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40AD5" w14:textId="77777777" w:rsidR="00DB00F6" w:rsidRDefault="00DB00F6" w:rsidP="00663C3B">
      <w:pPr>
        <w:pStyle w:val="1Bullet3"/>
        <w:jc w:val="center"/>
      </w:pPr>
    </w:p>
    <w:p w14:paraId="34D04D25" w14:textId="7ED2B444" w:rsidR="00E40824" w:rsidRPr="00734B6A" w:rsidRDefault="006756B1" w:rsidP="00663C3B">
      <w:pPr>
        <w:spacing w:before="0" w:after="0"/>
        <w:jc w:val="center"/>
        <w:rPr>
          <w:rFonts w:ascii="Myriad Pro Cond" w:hAnsi="Myriad Pro Cond" w:cstheme="minorHAnsi"/>
          <w:b/>
          <w:sz w:val="36"/>
        </w:rPr>
      </w:pPr>
      <w:r w:rsidRPr="00734B6A">
        <w:rPr>
          <w:rFonts w:ascii="Myriad Pro Cond" w:hAnsi="Myriad Pro Cond" w:cstheme="minorHAnsi"/>
          <w:b/>
          <w:noProof/>
          <w:sz w:val="72"/>
          <w:lang w:val="en-IN" w:eastAsia="en-IN"/>
        </w:rPr>
        <w:drawing>
          <wp:anchor distT="0" distB="0" distL="114300" distR="114300" simplePos="0" relativeHeight="251658240" behindDoc="0" locked="0" layoutInCell="1" allowOverlap="1" wp14:anchorId="60E48027" wp14:editId="7D26FC92">
            <wp:simplePos x="0" y="0"/>
            <wp:positionH relativeFrom="column">
              <wp:posOffset>2284010</wp:posOffset>
            </wp:positionH>
            <wp:positionV relativeFrom="paragraph">
              <wp:posOffset>10160</wp:posOffset>
            </wp:positionV>
            <wp:extent cx="793115" cy="752475"/>
            <wp:effectExtent l="0" t="0" r="6985" b="9525"/>
            <wp:wrapTopAndBottom/>
            <wp:docPr id="2" name="Picture 2" descr="logo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glish"/>
                    <pic:cNvPicPr>
                      <a:picLocks noChangeAspect="1" noChangeArrowheads="1"/>
                    </pic:cNvPicPr>
                  </pic:nvPicPr>
                  <pic:blipFill>
                    <a:blip r:embed="rId8" cstate="print">
                      <a:extLst>
                        <a:ext uri="{28A0092B-C50C-407E-A947-70E740481C1C}">
                          <a14:useLocalDpi xmlns:a14="http://schemas.microsoft.com/office/drawing/2010/main" val="0"/>
                        </a:ext>
                      </a:extLst>
                    </a:blip>
                    <a:srcRect l="19060" t="11458" r="9503" b="21893"/>
                    <a:stretch>
                      <a:fillRect/>
                    </a:stretch>
                  </pic:blipFill>
                  <pic:spPr bwMode="auto">
                    <a:xfrm>
                      <a:off x="0" y="0"/>
                      <a:ext cx="793115" cy="752475"/>
                    </a:xfrm>
                    <a:prstGeom prst="rect">
                      <a:avLst/>
                    </a:prstGeom>
                    <a:noFill/>
                    <a:ln w="9525">
                      <a:noFill/>
                      <a:miter lim="800000"/>
                      <a:headEnd/>
                      <a:tailEnd/>
                    </a:ln>
                  </pic:spPr>
                </pic:pic>
              </a:graphicData>
            </a:graphic>
          </wp:anchor>
        </w:drawing>
      </w:r>
      <w:r w:rsidR="00E40824" w:rsidRPr="00734B6A">
        <w:rPr>
          <w:rFonts w:ascii="Myriad Pro Cond" w:hAnsi="Myriad Pro Cond" w:cstheme="minorHAnsi"/>
          <w:b/>
          <w:sz w:val="36"/>
        </w:rPr>
        <w:t>National Tuberculosis</w:t>
      </w:r>
      <w:r w:rsidR="00E73DF7" w:rsidRPr="00734B6A">
        <w:rPr>
          <w:rFonts w:ascii="Myriad Pro Cond" w:hAnsi="Myriad Pro Cond" w:cstheme="minorHAnsi"/>
          <w:b/>
          <w:sz w:val="36"/>
        </w:rPr>
        <w:t xml:space="preserve"> </w:t>
      </w:r>
      <w:r w:rsidR="0096438F">
        <w:rPr>
          <w:rFonts w:ascii="Myriad Pro Cond" w:hAnsi="Myriad Pro Cond" w:cstheme="minorHAnsi"/>
          <w:b/>
          <w:sz w:val="36"/>
        </w:rPr>
        <w:t>Elimination</w:t>
      </w:r>
      <w:r w:rsidR="00E40824" w:rsidRPr="00734B6A">
        <w:rPr>
          <w:rFonts w:ascii="Myriad Pro Cond" w:hAnsi="Myriad Pro Cond" w:cstheme="minorHAnsi"/>
          <w:b/>
          <w:sz w:val="36"/>
        </w:rPr>
        <w:t xml:space="preserve"> Programme</w:t>
      </w:r>
    </w:p>
    <w:p w14:paraId="362C4E06" w14:textId="77777777" w:rsidR="003816EA" w:rsidRPr="00734B6A" w:rsidRDefault="003816EA" w:rsidP="00663C3B">
      <w:pPr>
        <w:jc w:val="center"/>
        <w:rPr>
          <w:rFonts w:asciiTheme="minorHAnsi" w:hAnsiTheme="minorHAnsi" w:cstheme="minorHAnsi"/>
        </w:rPr>
      </w:pPr>
    </w:p>
    <w:p w14:paraId="5CB9FDE4" w14:textId="77777777" w:rsidR="002F5B01" w:rsidRPr="00734B6A" w:rsidRDefault="002F5B01" w:rsidP="00663C3B">
      <w:pPr>
        <w:jc w:val="center"/>
        <w:rPr>
          <w:rFonts w:asciiTheme="minorHAnsi" w:hAnsiTheme="minorHAnsi" w:cstheme="minorHAnsi"/>
        </w:rPr>
      </w:pPr>
    </w:p>
    <w:p w14:paraId="664DF921" w14:textId="50D0484F" w:rsidR="000F3A8C" w:rsidRPr="00734B6A" w:rsidRDefault="000F3A8C" w:rsidP="00663C3B">
      <w:pPr>
        <w:spacing w:before="0" w:after="0" w:line="216" w:lineRule="auto"/>
        <w:jc w:val="center"/>
        <w:rPr>
          <w:rFonts w:ascii="Myriad Pro Cond" w:eastAsia="Times New Roman" w:hAnsi="Myriad Pro Cond" w:cstheme="minorHAnsi"/>
          <w:b/>
          <w:caps/>
          <w:noProof/>
          <w:sz w:val="72"/>
          <w:szCs w:val="60"/>
        </w:rPr>
      </w:pPr>
      <w:r w:rsidRPr="00734B6A">
        <w:rPr>
          <w:rFonts w:ascii="Myriad Pro Cond" w:eastAsia="Times New Roman" w:hAnsi="Myriad Pro Cond" w:cstheme="minorHAnsi"/>
          <w:b/>
          <w:caps/>
          <w:noProof/>
          <w:sz w:val="72"/>
          <w:szCs w:val="60"/>
        </w:rPr>
        <w:t xml:space="preserve">National Strategic Plan </w:t>
      </w:r>
      <w:r w:rsidR="0096438F">
        <w:rPr>
          <w:rFonts w:ascii="Myriad Pro Cond" w:eastAsia="Times New Roman" w:hAnsi="Myriad Pro Cond" w:cstheme="minorHAnsi"/>
          <w:b/>
          <w:caps/>
          <w:noProof/>
          <w:sz w:val="72"/>
          <w:szCs w:val="60"/>
        </w:rPr>
        <w:t xml:space="preserve">to END </w:t>
      </w:r>
      <w:r w:rsidRPr="00734B6A">
        <w:rPr>
          <w:rFonts w:ascii="Myriad Pro Cond" w:eastAsia="Times New Roman" w:hAnsi="Myriad Pro Cond" w:cstheme="minorHAnsi"/>
          <w:b/>
          <w:caps/>
          <w:noProof/>
          <w:sz w:val="72"/>
          <w:szCs w:val="60"/>
        </w:rPr>
        <w:t xml:space="preserve"> Tuberculosis </w:t>
      </w:r>
      <w:r w:rsidR="0096438F">
        <w:rPr>
          <w:rFonts w:ascii="Myriad Pro Cond" w:eastAsia="Times New Roman" w:hAnsi="Myriad Pro Cond" w:cstheme="minorHAnsi"/>
          <w:b/>
          <w:caps/>
          <w:noProof/>
          <w:sz w:val="72"/>
          <w:szCs w:val="60"/>
        </w:rPr>
        <w:t>in India</w:t>
      </w:r>
    </w:p>
    <w:p w14:paraId="585B5701" w14:textId="1C858DCE" w:rsidR="000F3A8C" w:rsidRDefault="000F3A8C" w:rsidP="00663C3B">
      <w:pPr>
        <w:spacing w:before="0" w:line="216" w:lineRule="auto"/>
        <w:jc w:val="center"/>
        <w:rPr>
          <w:rFonts w:ascii="Myriad Pro Cond" w:eastAsia="Times New Roman" w:hAnsi="Myriad Pro Cond" w:cstheme="minorHAnsi"/>
          <w:b/>
          <w:caps/>
          <w:noProof/>
          <w:sz w:val="72"/>
          <w:szCs w:val="60"/>
        </w:rPr>
      </w:pPr>
      <w:r>
        <w:rPr>
          <w:rFonts w:ascii="Myriad Pro Cond" w:eastAsia="Times New Roman" w:hAnsi="Myriad Pro Cond" w:cstheme="minorHAnsi"/>
          <w:b/>
          <w:caps/>
          <w:noProof/>
          <w:sz w:val="72"/>
          <w:szCs w:val="60"/>
        </w:rPr>
        <w:t>20</w:t>
      </w:r>
      <w:r w:rsidR="00BD4AB1">
        <w:rPr>
          <w:rFonts w:ascii="Myriad Pro Cond" w:eastAsia="Times New Roman" w:hAnsi="Myriad Pro Cond" w:cstheme="minorHAnsi"/>
          <w:b/>
          <w:caps/>
          <w:noProof/>
          <w:sz w:val="72"/>
          <w:szCs w:val="60"/>
        </w:rPr>
        <w:t>2</w:t>
      </w:r>
      <w:r>
        <w:rPr>
          <w:rFonts w:ascii="Myriad Pro Cond" w:eastAsia="Times New Roman" w:hAnsi="Myriad Pro Cond" w:cstheme="minorHAnsi"/>
          <w:b/>
          <w:caps/>
          <w:noProof/>
          <w:sz w:val="72"/>
          <w:szCs w:val="60"/>
        </w:rPr>
        <w:t>0</w:t>
      </w:r>
      <w:r w:rsidRPr="00734B6A">
        <w:rPr>
          <w:rFonts w:ascii="Myriad Pro Cond" w:eastAsia="Times New Roman" w:hAnsi="Myriad Pro Cond" w:cstheme="minorHAnsi"/>
          <w:b/>
          <w:caps/>
          <w:noProof/>
          <w:sz w:val="72"/>
          <w:szCs w:val="60"/>
        </w:rPr>
        <w:t>–25</w:t>
      </w:r>
    </w:p>
    <w:p w14:paraId="4325B068" w14:textId="340CB26D" w:rsidR="00EB7E9E" w:rsidRPr="00734B6A" w:rsidRDefault="00F16084" w:rsidP="00663C3B">
      <w:pPr>
        <w:shd w:val="clear" w:color="auto" w:fill="151C48" w:themeFill="accent1" w:themeFillShade="80"/>
        <w:spacing w:before="240"/>
        <w:jc w:val="center"/>
        <w:rPr>
          <w:rFonts w:asciiTheme="minorHAnsi" w:hAnsiTheme="minorHAnsi" w:cstheme="minorHAnsi"/>
        </w:rPr>
      </w:pPr>
      <w:r>
        <w:rPr>
          <w:rFonts w:ascii="Myriad Pro Cond" w:eastAsia="Times New Roman" w:hAnsi="Myriad Pro Cond" w:cstheme="minorHAnsi"/>
          <w:b/>
          <w:caps/>
          <w:noProof/>
          <w:sz w:val="40"/>
          <w:szCs w:val="60"/>
        </w:rPr>
        <w:t xml:space="preserve">Accelerating the national response </w:t>
      </w:r>
      <w:r w:rsidR="00B5645B" w:rsidRPr="00B5645B">
        <w:rPr>
          <w:rFonts w:ascii="Myriad Pro Cond" w:eastAsia="Times New Roman" w:hAnsi="Myriad Pro Cond" w:cstheme="minorHAnsi"/>
          <w:b/>
          <w:caps/>
          <w:noProof/>
          <w:sz w:val="40"/>
          <w:szCs w:val="60"/>
        </w:rPr>
        <w:t xml:space="preserve">for </w:t>
      </w:r>
      <w:r>
        <w:rPr>
          <w:rFonts w:ascii="Myriad Pro Cond" w:eastAsia="Times New Roman" w:hAnsi="Myriad Pro Cond" w:cstheme="minorHAnsi"/>
          <w:b/>
          <w:caps/>
          <w:noProof/>
          <w:sz w:val="40"/>
          <w:szCs w:val="60"/>
        </w:rPr>
        <w:t xml:space="preserve">expanded coverage and </w:t>
      </w:r>
      <w:r w:rsidR="00B5645B" w:rsidRPr="00B5645B">
        <w:rPr>
          <w:rFonts w:ascii="Myriad Pro Cond" w:eastAsia="Times New Roman" w:hAnsi="Myriad Pro Cond" w:cstheme="minorHAnsi"/>
          <w:b/>
          <w:caps/>
          <w:noProof/>
          <w:sz w:val="40"/>
          <w:szCs w:val="60"/>
        </w:rPr>
        <w:t>sustained impact at scale to END TB in India</w:t>
      </w:r>
    </w:p>
    <w:p w14:paraId="17ED66F7" w14:textId="77777777" w:rsidR="00EB7E9E" w:rsidRPr="00734B6A" w:rsidRDefault="00EB7E9E" w:rsidP="00663C3B">
      <w:pPr>
        <w:jc w:val="center"/>
        <w:rPr>
          <w:rFonts w:asciiTheme="minorHAnsi" w:hAnsiTheme="minorHAnsi" w:cstheme="minorHAnsi"/>
        </w:rPr>
      </w:pPr>
    </w:p>
    <w:p w14:paraId="0993DBC3" w14:textId="77777777" w:rsidR="00EB7E9E" w:rsidRPr="00734B6A" w:rsidRDefault="00EB7E9E" w:rsidP="00663C3B">
      <w:pPr>
        <w:jc w:val="center"/>
        <w:rPr>
          <w:rFonts w:asciiTheme="minorHAnsi" w:hAnsiTheme="minorHAnsi" w:cstheme="minorHAnsi"/>
        </w:rPr>
      </w:pPr>
    </w:p>
    <w:p w14:paraId="08628D01" w14:textId="77777777" w:rsidR="003816EA" w:rsidRPr="00734B6A" w:rsidRDefault="003816EA" w:rsidP="00663C3B">
      <w:pPr>
        <w:jc w:val="center"/>
        <w:rPr>
          <w:rFonts w:asciiTheme="minorHAnsi" w:hAnsiTheme="minorHAnsi" w:cstheme="minorHAnsi"/>
        </w:rPr>
      </w:pPr>
    </w:p>
    <w:p w14:paraId="47C80594" w14:textId="77777777" w:rsidR="00640622" w:rsidRPr="00734B6A" w:rsidRDefault="00640622" w:rsidP="00663C3B">
      <w:pPr>
        <w:jc w:val="center"/>
        <w:rPr>
          <w:rFonts w:asciiTheme="minorHAnsi" w:hAnsiTheme="minorHAnsi" w:cstheme="minorHAnsi"/>
        </w:rPr>
      </w:pPr>
    </w:p>
    <w:p w14:paraId="5F8ACAAB" w14:textId="77777777" w:rsidR="00640622" w:rsidRPr="00734B6A" w:rsidRDefault="00640622" w:rsidP="00663C3B">
      <w:pPr>
        <w:jc w:val="center"/>
        <w:rPr>
          <w:rFonts w:asciiTheme="minorHAnsi" w:hAnsiTheme="minorHAnsi" w:cstheme="minorHAnsi"/>
        </w:rPr>
      </w:pPr>
    </w:p>
    <w:p w14:paraId="6A8DDC08" w14:textId="77777777" w:rsidR="00640622" w:rsidRPr="00734B6A" w:rsidRDefault="00640622" w:rsidP="00663C3B">
      <w:pPr>
        <w:jc w:val="center"/>
        <w:rPr>
          <w:rFonts w:asciiTheme="minorHAnsi" w:hAnsiTheme="minorHAnsi" w:cstheme="minorHAnsi"/>
        </w:rPr>
      </w:pPr>
    </w:p>
    <w:p w14:paraId="5F3F1DE8" w14:textId="77777777" w:rsidR="00640622" w:rsidRPr="00734B6A" w:rsidRDefault="00640622" w:rsidP="00663C3B">
      <w:pPr>
        <w:jc w:val="center"/>
        <w:rPr>
          <w:rFonts w:asciiTheme="minorHAnsi" w:hAnsiTheme="minorHAnsi" w:cstheme="minorHAnsi"/>
        </w:rPr>
      </w:pPr>
    </w:p>
    <w:p w14:paraId="136B48EA" w14:textId="77777777" w:rsidR="003816EA" w:rsidRPr="00734B6A" w:rsidRDefault="003816EA" w:rsidP="00663C3B">
      <w:pPr>
        <w:jc w:val="center"/>
        <w:rPr>
          <w:rFonts w:asciiTheme="minorHAnsi" w:hAnsiTheme="minorHAnsi" w:cstheme="minorHAnsi"/>
        </w:rPr>
      </w:pPr>
    </w:p>
    <w:p w14:paraId="15D9079C" w14:textId="77777777" w:rsidR="006B232D" w:rsidRPr="00734B6A" w:rsidRDefault="00640622" w:rsidP="00663C3B">
      <w:pPr>
        <w:jc w:val="center"/>
        <w:rPr>
          <w:rFonts w:asciiTheme="minorHAnsi" w:hAnsiTheme="minorHAnsi" w:cstheme="minorHAnsi"/>
        </w:rPr>
      </w:pPr>
      <w:r w:rsidRPr="00734B6A">
        <w:rPr>
          <w:rFonts w:asciiTheme="minorHAnsi" w:hAnsiTheme="minorHAnsi" w:cstheme="minorHAnsi"/>
          <w:b/>
          <w:noProof/>
          <w:lang w:val="en-IN" w:eastAsia="en-IN"/>
        </w:rPr>
        <w:drawing>
          <wp:inline distT="0" distB="0" distL="0" distR="0" wp14:anchorId="00540410" wp14:editId="5BB47170">
            <wp:extent cx="647065" cy="760730"/>
            <wp:effectExtent l="19050" t="0" r="635" b="0"/>
            <wp:docPr id="3" name="Picture 4" descr="ASHO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HOKA1"/>
                    <pic:cNvPicPr>
                      <a:picLocks noChangeAspect="1" noChangeArrowheads="1"/>
                    </pic:cNvPicPr>
                  </pic:nvPicPr>
                  <pic:blipFill>
                    <a:blip r:embed="rId9" cstate="print"/>
                    <a:srcRect/>
                    <a:stretch>
                      <a:fillRect/>
                    </a:stretch>
                  </pic:blipFill>
                  <pic:spPr bwMode="auto">
                    <a:xfrm>
                      <a:off x="0" y="0"/>
                      <a:ext cx="647065" cy="760730"/>
                    </a:xfrm>
                    <a:prstGeom prst="rect">
                      <a:avLst/>
                    </a:prstGeom>
                    <a:noFill/>
                    <a:ln w="9525">
                      <a:noFill/>
                      <a:miter lim="800000"/>
                      <a:headEnd/>
                      <a:tailEnd/>
                    </a:ln>
                  </pic:spPr>
                </pic:pic>
              </a:graphicData>
            </a:graphic>
          </wp:inline>
        </w:drawing>
      </w:r>
    </w:p>
    <w:p w14:paraId="4205B3E7" w14:textId="77777777" w:rsidR="002F5B01" w:rsidRPr="00734B6A" w:rsidRDefault="002F5B01" w:rsidP="00663C3B">
      <w:pPr>
        <w:jc w:val="center"/>
        <w:rPr>
          <w:rFonts w:asciiTheme="minorHAnsi" w:hAnsiTheme="minorHAnsi" w:cstheme="minorHAnsi"/>
        </w:rPr>
      </w:pPr>
    </w:p>
    <w:p w14:paraId="6FD382A7" w14:textId="3E1529A3" w:rsidR="006B232D" w:rsidRPr="004C5EAF" w:rsidRDefault="00BD4AB1" w:rsidP="00663C3B">
      <w:pPr>
        <w:spacing w:before="0" w:after="0"/>
        <w:jc w:val="center"/>
        <w:rPr>
          <w:rFonts w:ascii="Myriad Pro Cond" w:eastAsia="Times New Roman" w:hAnsi="Myriad Pro Cond" w:cstheme="minorHAnsi"/>
          <w:b/>
          <w:szCs w:val="20"/>
        </w:rPr>
      </w:pPr>
      <w:r>
        <w:rPr>
          <w:rFonts w:ascii="Myriad Pro Cond" w:eastAsia="Times New Roman" w:hAnsi="Myriad Pro Cond" w:cstheme="minorHAnsi"/>
          <w:b/>
          <w:szCs w:val="20"/>
        </w:rPr>
        <w:t>June</w:t>
      </w:r>
      <w:r w:rsidR="00481442" w:rsidRPr="004C5EAF">
        <w:rPr>
          <w:rFonts w:ascii="Myriad Pro Cond" w:eastAsia="Times New Roman" w:hAnsi="Myriad Pro Cond" w:cstheme="minorHAnsi"/>
          <w:b/>
          <w:szCs w:val="20"/>
        </w:rPr>
        <w:t xml:space="preserve"> </w:t>
      </w:r>
      <w:r w:rsidR="009D7952" w:rsidRPr="004C5EAF">
        <w:rPr>
          <w:rFonts w:ascii="Myriad Pro Cond" w:eastAsia="Times New Roman" w:hAnsi="Myriad Pro Cond" w:cstheme="minorHAnsi"/>
          <w:b/>
          <w:szCs w:val="20"/>
        </w:rPr>
        <w:t>20</w:t>
      </w:r>
      <w:r w:rsidR="004C5EAF" w:rsidRPr="004C5EAF">
        <w:rPr>
          <w:rFonts w:ascii="Myriad Pro Cond" w:eastAsia="Times New Roman" w:hAnsi="Myriad Pro Cond" w:cstheme="minorHAnsi"/>
          <w:b/>
          <w:szCs w:val="20"/>
        </w:rPr>
        <w:t>20</w:t>
      </w:r>
    </w:p>
    <w:p w14:paraId="2048236D" w14:textId="77777777" w:rsidR="009F7E43" w:rsidRPr="00734B6A" w:rsidRDefault="009F7E43" w:rsidP="00663C3B">
      <w:pPr>
        <w:spacing w:before="0" w:after="0"/>
        <w:jc w:val="center"/>
        <w:rPr>
          <w:rFonts w:ascii="Myriad Pro Cond" w:eastAsia="Times New Roman" w:hAnsi="Myriad Pro Cond" w:cstheme="minorHAnsi"/>
          <w:b/>
          <w:szCs w:val="20"/>
        </w:rPr>
      </w:pPr>
    </w:p>
    <w:p w14:paraId="0A83CFA9" w14:textId="77777777" w:rsidR="007B50EA" w:rsidRPr="00734B6A" w:rsidRDefault="00373659" w:rsidP="00663C3B">
      <w:pPr>
        <w:spacing w:before="0" w:after="0"/>
        <w:jc w:val="center"/>
        <w:rPr>
          <w:rFonts w:ascii="Myriad Pro Cond" w:eastAsia="Times New Roman" w:hAnsi="Myriad Pro Cond" w:cstheme="minorHAnsi"/>
          <w:szCs w:val="20"/>
        </w:rPr>
      </w:pPr>
      <w:r w:rsidRPr="00734B6A">
        <w:rPr>
          <w:rFonts w:ascii="Myriad Pro Cond" w:eastAsia="Times New Roman" w:hAnsi="Myriad Pro Cond" w:cstheme="minorHAnsi"/>
          <w:szCs w:val="20"/>
        </w:rPr>
        <w:t xml:space="preserve">Ministry of Health </w:t>
      </w:r>
      <w:r w:rsidR="00FB69FB" w:rsidRPr="00734B6A">
        <w:rPr>
          <w:rFonts w:ascii="Myriad Pro Cond" w:eastAsia="Times New Roman" w:hAnsi="Myriad Pro Cond" w:cstheme="minorHAnsi"/>
          <w:szCs w:val="20"/>
        </w:rPr>
        <w:t>with</w:t>
      </w:r>
      <w:r w:rsidRPr="00734B6A">
        <w:rPr>
          <w:rFonts w:ascii="Myriad Pro Cond" w:eastAsia="Times New Roman" w:hAnsi="Myriad Pro Cond" w:cstheme="minorHAnsi"/>
          <w:szCs w:val="20"/>
        </w:rPr>
        <w:t xml:space="preserve"> Family Welfare, Nirman </w:t>
      </w:r>
      <w:r w:rsidR="004C38B5" w:rsidRPr="00734B6A">
        <w:rPr>
          <w:rFonts w:ascii="Myriad Pro Cond" w:eastAsia="Times New Roman" w:hAnsi="Myriad Pro Cond" w:cstheme="minorHAnsi"/>
          <w:szCs w:val="20"/>
        </w:rPr>
        <w:t>Bhawan</w:t>
      </w:r>
      <w:r w:rsidRPr="00734B6A">
        <w:rPr>
          <w:rFonts w:ascii="Myriad Pro Cond" w:eastAsia="Times New Roman" w:hAnsi="Myriad Pro Cond" w:cstheme="minorHAnsi"/>
          <w:szCs w:val="20"/>
        </w:rPr>
        <w:t>, New Delhi – 110 108</w:t>
      </w:r>
    </w:p>
    <w:p w14:paraId="7DC24FAC" w14:textId="77777777" w:rsidR="007B50EA" w:rsidRPr="00734B6A" w:rsidRDefault="007B50EA" w:rsidP="00663C3B">
      <w:pPr>
        <w:spacing w:before="0" w:after="0"/>
        <w:jc w:val="center"/>
        <w:rPr>
          <w:rFonts w:asciiTheme="minorHAnsi" w:hAnsiTheme="minorHAnsi" w:cstheme="minorHAnsi"/>
          <w:szCs w:val="18"/>
        </w:rPr>
      </w:pPr>
      <w:r w:rsidRPr="00734B6A">
        <w:rPr>
          <w:rFonts w:asciiTheme="minorHAnsi" w:hAnsiTheme="minorHAnsi" w:cstheme="minorHAnsi"/>
          <w:szCs w:val="18"/>
        </w:rPr>
        <w:br w:type="page"/>
      </w:r>
    </w:p>
    <w:p w14:paraId="22776C0D" w14:textId="77777777" w:rsidR="00F15884" w:rsidRPr="00734B6A" w:rsidRDefault="00F15884" w:rsidP="00663C3B">
      <w:pPr>
        <w:spacing w:before="0" w:after="0"/>
        <w:jc w:val="center"/>
        <w:rPr>
          <w:rFonts w:asciiTheme="minorHAnsi" w:hAnsiTheme="minorHAnsi" w:cstheme="minorHAnsi"/>
          <w:szCs w:val="18"/>
        </w:rPr>
        <w:sectPr w:rsidR="00F15884" w:rsidRPr="00734B6A" w:rsidSect="00D02C5D">
          <w:headerReference w:type="default" r:id="rId10"/>
          <w:footerReference w:type="even" r:id="rId11"/>
          <w:headerReference w:type="first" r:id="rId12"/>
          <w:footerReference w:type="first" r:id="rId13"/>
          <w:pgSz w:w="11907" w:h="16839" w:code="9"/>
          <w:pgMar w:top="1440" w:right="1440" w:bottom="1728" w:left="1440" w:header="720" w:footer="720" w:gutter="0"/>
          <w:cols w:space="720"/>
          <w:titlePg/>
          <w:docGrid w:linePitch="360"/>
        </w:sectPr>
      </w:pPr>
    </w:p>
    <w:p w14:paraId="50D1761A" w14:textId="08157BEA" w:rsidR="001F5684" w:rsidRPr="001F5684" w:rsidRDefault="001F5684" w:rsidP="00A91B99">
      <w:pPr>
        <w:pStyle w:val="Heading0"/>
        <w:shd w:val="clear" w:color="auto" w:fill="auto"/>
        <w:spacing w:after="1320"/>
        <w:ind w:right="-418"/>
        <w:jc w:val="left"/>
        <w:rPr>
          <w:rFonts w:asciiTheme="minorHAnsi" w:hAnsiTheme="minorHAnsi" w:cstheme="minorHAnsi"/>
          <w:b/>
          <w:color w:val="auto"/>
        </w:rPr>
      </w:pPr>
      <w:bookmarkStart w:id="0" w:name="_Toc476682923"/>
      <w:bookmarkStart w:id="1" w:name="_Toc420106742"/>
      <w:r w:rsidRPr="001F5684">
        <w:rPr>
          <w:rFonts w:asciiTheme="minorHAnsi" w:hAnsiTheme="minorHAnsi" w:cstheme="minorHAnsi"/>
          <w:b/>
          <w:color w:val="auto"/>
        </w:rPr>
        <w:lastRenderedPageBreak/>
        <w:t>Contents</w:t>
      </w:r>
      <w:bookmarkEnd w:id="0"/>
      <w:r w:rsidRPr="005D30D0">
        <w:rPr>
          <w:rFonts w:asciiTheme="minorHAnsi" w:hAnsiTheme="minorHAnsi" w:cstheme="minorHAnsi"/>
          <w:b/>
          <w:color w:val="auto"/>
          <w:sz w:val="144"/>
        </w:rPr>
        <w:t xml:space="preserve"> </w:t>
      </w:r>
    </w:p>
    <w:p w14:paraId="4E721719" w14:textId="77777777" w:rsidR="00A04E72" w:rsidRPr="00194FAC" w:rsidRDefault="00A04E72" w:rsidP="00A91B99">
      <w:pPr>
        <w:pStyle w:val="NormalWeb"/>
        <w:ind w:left="2160"/>
        <w:rPr>
          <w:rFonts w:asciiTheme="minorHAnsi" w:eastAsia="+mn-ea" w:hAnsiTheme="minorHAnsi" w:cstheme="minorHAnsi"/>
          <w:b/>
          <w:bCs/>
          <w:kern w:val="24"/>
          <w:szCs w:val="18"/>
          <w:lang w:val="en-US"/>
        </w:rPr>
      </w:pPr>
      <w:r w:rsidRPr="00194FAC">
        <w:rPr>
          <w:rFonts w:asciiTheme="minorHAnsi" w:eastAsia="+mn-ea" w:hAnsiTheme="minorHAnsi" w:cstheme="minorHAnsi"/>
          <w:b/>
          <w:bCs/>
          <w:kern w:val="24"/>
          <w:szCs w:val="18"/>
          <w:lang w:val="en-US"/>
        </w:rPr>
        <w:t>Contents</w:t>
      </w:r>
    </w:p>
    <w:p w14:paraId="09ECF4E6" w14:textId="77777777" w:rsidR="00A04E72" w:rsidRPr="00194FAC" w:rsidRDefault="00A04E72" w:rsidP="00A91B99">
      <w:pPr>
        <w:pStyle w:val="NormalWeb"/>
        <w:ind w:left="2160"/>
        <w:rPr>
          <w:rFonts w:asciiTheme="minorHAnsi" w:eastAsia="+mn-ea" w:hAnsiTheme="minorHAnsi" w:cstheme="minorHAnsi"/>
          <w:b/>
          <w:bCs/>
          <w:kern w:val="24"/>
          <w:szCs w:val="18"/>
          <w:lang w:val="en-US"/>
        </w:rPr>
      </w:pPr>
      <w:r w:rsidRPr="00194FAC">
        <w:rPr>
          <w:rFonts w:asciiTheme="minorHAnsi" w:eastAsia="+mn-ea" w:hAnsiTheme="minorHAnsi" w:cstheme="minorHAnsi"/>
          <w:b/>
          <w:bCs/>
          <w:kern w:val="24"/>
          <w:szCs w:val="18"/>
          <w:lang w:val="en-US"/>
        </w:rPr>
        <w:t>Abbreviations</w:t>
      </w:r>
    </w:p>
    <w:p w14:paraId="627BD4B9" w14:textId="77777777" w:rsidR="00A04E72" w:rsidRPr="00194FAC" w:rsidRDefault="00A04E72" w:rsidP="00A91B99">
      <w:pPr>
        <w:pStyle w:val="NormalWeb"/>
        <w:ind w:left="2160"/>
        <w:rPr>
          <w:rFonts w:asciiTheme="minorHAnsi" w:hAnsiTheme="minorHAnsi" w:cstheme="minorHAnsi"/>
          <w:szCs w:val="18"/>
        </w:rPr>
      </w:pPr>
      <w:r w:rsidRPr="00194FAC">
        <w:rPr>
          <w:rFonts w:asciiTheme="minorHAnsi" w:eastAsia="+mn-ea" w:hAnsiTheme="minorHAnsi" w:cstheme="minorHAnsi"/>
          <w:b/>
          <w:bCs/>
          <w:kern w:val="24"/>
          <w:szCs w:val="18"/>
          <w:lang w:val="en-US"/>
        </w:rPr>
        <w:t>Acknowledgements</w:t>
      </w:r>
      <w:r w:rsidRPr="00194FAC">
        <w:rPr>
          <w:rFonts w:asciiTheme="minorHAnsi" w:eastAsia="+mn-ea" w:hAnsiTheme="minorHAnsi" w:cstheme="minorHAnsi"/>
          <w:b/>
          <w:bCs/>
          <w:kern w:val="24"/>
          <w:szCs w:val="18"/>
          <w:lang w:val="en-US"/>
        </w:rPr>
        <w:tab/>
      </w:r>
    </w:p>
    <w:p w14:paraId="439CADC0" w14:textId="77777777" w:rsidR="00A04E72" w:rsidRPr="00194FAC" w:rsidRDefault="00A04E72" w:rsidP="00A91B99">
      <w:pPr>
        <w:pStyle w:val="NormalWeb"/>
        <w:ind w:left="2160"/>
        <w:rPr>
          <w:rFonts w:asciiTheme="minorHAnsi" w:eastAsia="+mn-ea" w:hAnsiTheme="minorHAnsi" w:cstheme="minorHAnsi"/>
          <w:b/>
          <w:bCs/>
          <w:kern w:val="24"/>
          <w:szCs w:val="18"/>
          <w:lang w:val="en-US"/>
        </w:rPr>
      </w:pPr>
      <w:r w:rsidRPr="00194FAC">
        <w:rPr>
          <w:rFonts w:asciiTheme="minorHAnsi" w:eastAsia="+mn-ea" w:hAnsiTheme="minorHAnsi" w:cstheme="minorHAnsi"/>
          <w:b/>
          <w:bCs/>
          <w:kern w:val="24"/>
          <w:szCs w:val="18"/>
          <w:lang w:val="en-US"/>
        </w:rPr>
        <w:t>Foreword</w:t>
      </w:r>
    </w:p>
    <w:p w14:paraId="6CC271D8" w14:textId="503B0341" w:rsidR="00A04E72" w:rsidRPr="00194FAC" w:rsidRDefault="00A04E72" w:rsidP="00A91B99">
      <w:pPr>
        <w:pStyle w:val="NormalWeb"/>
        <w:ind w:left="2160"/>
        <w:rPr>
          <w:rFonts w:asciiTheme="minorHAnsi" w:eastAsia="+mn-ea" w:hAnsiTheme="minorHAnsi" w:cstheme="minorHAnsi"/>
          <w:b/>
          <w:bCs/>
          <w:kern w:val="24"/>
          <w:szCs w:val="18"/>
          <w:lang w:val="en-US"/>
        </w:rPr>
      </w:pPr>
      <w:r w:rsidRPr="00194FAC">
        <w:rPr>
          <w:rFonts w:asciiTheme="minorHAnsi" w:eastAsia="+mn-ea" w:hAnsiTheme="minorHAnsi" w:cstheme="minorHAnsi"/>
          <w:b/>
          <w:bCs/>
          <w:kern w:val="24"/>
          <w:szCs w:val="18"/>
          <w:lang w:val="en-US"/>
        </w:rPr>
        <w:t>Executive Summary</w:t>
      </w:r>
      <w:r w:rsidR="004F6D4B">
        <w:rPr>
          <w:rFonts w:asciiTheme="minorHAnsi" w:eastAsia="+mn-ea" w:hAnsiTheme="minorHAnsi" w:cstheme="minorHAnsi"/>
          <w:b/>
          <w:bCs/>
          <w:kern w:val="24"/>
          <w:szCs w:val="18"/>
          <w:lang w:val="en-US"/>
        </w:rPr>
        <w:t xml:space="preserve"> </w:t>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t>1</w:t>
      </w:r>
    </w:p>
    <w:p w14:paraId="7A96562A" w14:textId="77777777" w:rsidR="00A04E72" w:rsidRPr="00953A98" w:rsidRDefault="00A04E72" w:rsidP="00A91B99">
      <w:pPr>
        <w:pStyle w:val="NormalWeb"/>
        <w:ind w:left="2160"/>
        <w:rPr>
          <w:rFonts w:asciiTheme="minorHAnsi" w:eastAsia="+mn-ea" w:hAnsiTheme="minorHAnsi" w:cstheme="minorHAnsi"/>
          <w:b/>
          <w:bCs/>
          <w:kern w:val="24"/>
          <w:sz w:val="6"/>
          <w:szCs w:val="4"/>
          <w:lang w:val="en-US"/>
        </w:rPr>
      </w:pPr>
    </w:p>
    <w:p w14:paraId="74747C45" w14:textId="77777777" w:rsidR="00A04E72" w:rsidRPr="00B2204C" w:rsidRDefault="00A04E72" w:rsidP="00A91B99">
      <w:pPr>
        <w:pStyle w:val="NormalWeb"/>
        <w:shd w:val="clear" w:color="auto" w:fill="202A6B" w:themeFill="accent1" w:themeFillShade="BF"/>
        <w:ind w:left="2160"/>
        <w:rPr>
          <w:rFonts w:asciiTheme="minorHAnsi" w:hAnsiTheme="minorHAnsi" w:cstheme="minorHAnsi"/>
          <w:color w:val="FFFFFF" w:themeColor="background1"/>
          <w:sz w:val="22"/>
          <w:szCs w:val="18"/>
        </w:rPr>
      </w:pPr>
      <w:r w:rsidRPr="00B2204C">
        <w:rPr>
          <w:rFonts w:asciiTheme="minorHAnsi" w:eastAsia="+mn-ea" w:hAnsiTheme="minorHAnsi" w:cstheme="minorHAnsi"/>
          <w:b/>
          <w:bCs/>
          <w:color w:val="FFFFFF" w:themeColor="background1"/>
          <w:kern w:val="24"/>
          <w:sz w:val="22"/>
          <w:szCs w:val="18"/>
          <w:lang w:val="en-US"/>
        </w:rPr>
        <w:t>SECTION 1</w:t>
      </w:r>
      <w:r w:rsidRPr="00B2204C">
        <w:rPr>
          <w:rFonts w:asciiTheme="minorHAnsi" w:eastAsia="+mn-ea" w:hAnsiTheme="minorHAnsi" w:cstheme="minorHAnsi"/>
          <w:b/>
          <w:bCs/>
          <w:color w:val="FFFFFF" w:themeColor="background1"/>
          <w:kern w:val="24"/>
          <w:sz w:val="22"/>
          <w:szCs w:val="18"/>
          <w:lang w:val="en-US"/>
        </w:rPr>
        <w:tab/>
      </w:r>
    </w:p>
    <w:p w14:paraId="33D05C60" w14:textId="77777777" w:rsidR="00A04E72" w:rsidRPr="00B2204C" w:rsidRDefault="00A04E72" w:rsidP="00A91B99">
      <w:pPr>
        <w:pStyle w:val="NormalWeb"/>
        <w:ind w:left="2160"/>
        <w:rPr>
          <w:rFonts w:asciiTheme="minorHAnsi" w:eastAsia="+mn-ea" w:hAnsiTheme="minorHAnsi" w:cstheme="minorHAnsi"/>
          <w:b/>
          <w:bCs/>
          <w:kern w:val="24"/>
          <w:sz w:val="6"/>
          <w:szCs w:val="4"/>
          <w:lang w:val="en-US"/>
        </w:rPr>
      </w:pPr>
    </w:p>
    <w:p w14:paraId="5B74ABB6" w14:textId="2FBBC839" w:rsidR="00A04E72" w:rsidRPr="00B2204C" w:rsidRDefault="00A04E72" w:rsidP="0056659C">
      <w:pPr>
        <w:pStyle w:val="NormalWeb"/>
        <w:shd w:val="clear" w:color="auto" w:fill="C6D9F1" w:themeFill="text2" w:themeFillTint="33"/>
        <w:ind w:left="2160"/>
        <w:rPr>
          <w:rFonts w:asciiTheme="minorHAnsi" w:hAnsiTheme="minorHAnsi" w:cstheme="minorHAnsi"/>
          <w:szCs w:val="18"/>
        </w:rPr>
      </w:pPr>
      <w:r w:rsidRPr="00B2204C">
        <w:rPr>
          <w:rFonts w:asciiTheme="minorHAnsi" w:eastAsia="+mn-ea" w:hAnsiTheme="minorHAnsi" w:cstheme="minorHAnsi"/>
          <w:b/>
          <w:bCs/>
          <w:kern w:val="24"/>
          <w:szCs w:val="18"/>
          <w:lang w:val="en-US"/>
        </w:rPr>
        <w:t>CHAPTER 1: INTRODUCTION</w:t>
      </w:r>
      <w:r w:rsidRPr="00B2204C">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t>6</w:t>
      </w:r>
    </w:p>
    <w:p w14:paraId="25EC40FB" w14:textId="77777777" w:rsidR="00A04E72" w:rsidRPr="00B2204C" w:rsidRDefault="00A04E72" w:rsidP="00A91B99">
      <w:pPr>
        <w:pStyle w:val="NormalWeb"/>
        <w:ind w:left="2160"/>
        <w:rPr>
          <w:rFonts w:asciiTheme="minorHAnsi" w:hAnsiTheme="minorHAnsi" w:cstheme="minorHAnsi"/>
          <w:sz w:val="4"/>
          <w:szCs w:val="18"/>
        </w:rPr>
      </w:pPr>
    </w:p>
    <w:p w14:paraId="7385AB2E" w14:textId="54F52E49"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 2: INDIA: EVOLVING COUNTRY CONTEXT</w:t>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t>11</w:t>
      </w:r>
    </w:p>
    <w:p w14:paraId="6A050748" w14:textId="77777777" w:rsidR="00A04E72" w:rsidRPr="00B2204C" w:rsidRDefault="00A04E72" w:rsidP="00A91B99">
      <w:pPr>
        <w:pStyle w:val="NormalWeb"/>
        <w:ind w:left="2160"/>
        <w:rPr>
          <w:rFonts w:asciiTheme="minorHAnsi" w:eastAsia="+mn-ea" w:hAnsiTheme="minorHAnsi" w:cstheme="minorHAnsi"/>
          <w:b/>
          <w:bCs/>
          <w:kern w:val="24"/>
          <w:sz w:val="4"/>
          <w:szCs w:val="18"/>
          <w:lang w:val="en-US"/>
        </w:rPr>
      </w:pPr>
    </w:p>
    <w:p w14:paraId="5DF553DC" w14:textId="4E5E2A84"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 3: JOINT MONITORING MISSION OF NTEP</w:t>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t>21</w:t>
      </w:r>
    </w:p>
    <w:p w14:paraId="279EFEAF" w14:textId="77777777" w:rsidR="00A04E72" w:rsidRPr="00B2204C" w:rsidRDefault="00A04E72" w:rsidP="00A91B99">
      <w:pPr>
        <w:pStyle w:val="NormalWeb"/>
        <w:ind w:left="2160"/>
        <w:rPr>
          <w:rFonts w:asciiTheme="minorHAnsi" w:eastAsia="+mn-ea" w:hAnsiTheme="minorHAnsi" w:cstheme="minorHAnsi"/>
          <w:b/>
          <w:bCs/>
          <w:kern w:val="24"/>
          <w:sz w:val="4"/>
          <w:szCs w:val="18"/>
          <w:lang w:val="en-US"/>
        </w:rPr>
      </w:pPr>
    </w:p>
    <w:p w14:paraId="199D384C" w14:textId="05789ECF"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 xml:space="preserve">CHAPTER 4: SITUATION ANALYSIS </w:t>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t>25</w:t>
      </w:r>
    </w:p>
    <w:p w14:paraId="3F858258" w14:textId="77777777" w:rsidR="00A04E72" w:rsidRPr="00B2204C" w:rsidRDefault="00A04E72" w:rsidP="00A91B99">
      <w:pPr>
        <w:pStyle w:val="NormalWeb"/>
        <w:ind w:left="2160"/>
        <w:rPr>
          <w:rFonts w:asciiTheme="minorHAnsi" w:eastAsia="+mn-ea" w:hAnsiTheme="minorHAnsi" w:cstheme="minorHAnsi"/>
          <w:b/>
          <w:bCs/>
          <w:kern w:val="24"/>
          <w:sz w:val="4"/>
          <w:szCs w:val="18"/>
          <w:lang w:val="en-US"/>
        </w:rPr>
      </w:pPr>
    </w:p>
    <w:p w14:paraId="7FE62F6C" w14:textId="221FC846"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 5: ENVI</w:t>
      </w:r>
      <w:r w:rsidR="002F2E41">
        <w:rPr>
          <w:rFonts w:asciiTheme="minorHAnsi" w:eastAsia="+mn-ea" w:hAnsiTheme="minorHAnsi" w:cstheme="minorHAnsi"/>
          <w:b/>
          <w:bCs/>
          <w:kern w:val="24"/>
          <w:szCs w:val="18"/>
          <w:lang w:val="en-US"/>
        </w:rPr>
        <w:t>R</w:t>
      </w:r>
      <w:r w:rsidRPr="00B2204C">
        <w:rPr>
          <w:rFonts w:asciiTheme="minorHAnsi" w:eastAsia="+mn-ea" w:hAnsiTheme="minorHAnsi" w:cstheme="minorHAnsi"/>
          <w:b/>
          <w:bCs/>
          <w:kern w:val="24"/>
          <w:szCs w:val="18"/>
          <w:lang w:val="en-US"/>
        </w:rPr>
        <w:t>ONM</w:t>
      </w:r>
      <w:r w:rsidR="0077224D">
        <w:rPr>
          <w:rFonts w:asciiTheme="minorHAnsi" w:eastAsia="+mn-ea" w:hAnsiTheme="minorHAnsi" w:cstheme="minorHAnsi"/>
          <w:b/>
          <w:bCs/>
          <w:kern w:val="24"/>
          <w:szCs w:val="18"/>
          <w:lang w:val="en-US"/>
        </w:rPr>
        <w:t>E</w:t>
      </w:r>
      <w:r w:rsidRPr="00B2204C">
        <w:rPr>
          <w:rFonts w:asciiTheme="minorHAnsi" w:eastAsia="+mn-ea" w:hAnsiTheme="minorHAnsi" w:cstheme="minorHAnsi"/>
          <w:b/>
          <w:bCs/>
          <w:kern w:val="24"/>
          <w:szCs w:val="18"/>
          <w:lang w:val="en-US"/>
        </w:rPr>
        <w:t>NTAL ANALYSIS OF NTEP</w:t>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t>31</w:t>
      </w:r>
    </w:p>
    <w:p w14:paraId="3CB6510C" w14:textId="77777777" w:rsidR="00A04E72" w:rsidRPr="00B2204C" w:rsidRDefault="00A04E72" w:rsidP="00A91B99">
      <w:pPr>
        <w:pStyle w:val="NormalWeb"/>
        <w:ind w:left="2430"/>
        <w:rPr>
          <w:rFonts w:asciiTheme="minorHAnsi" w:eastAsia="+mn-ea" w:hAnsiTheme="minorHAnsi" w:cstheme="minorHAnsi"/>
          <w:bCs/>
          <w:kern w:val="24"/>
          <w:sz w:val="4"/>
          <w:szCs w:val="16"/>
          <w:lang w:val="en-US"/>
        </w:rPr>
      </w:pPr>
      <w:r w:rsidRPr="00B2204C">
        <w:rPr>
          <w:rFonts w:asciiTheme="minorHAnsi" w:eastAsia="+mn-ea" w:hAnsiTheme="minorHAnsi" w:cstheme="minorHAnsi"/>
          <w:bCs/>
          <w:kern w:val="24"/>
          <w:sz w:val="4"/>
          <w:szCs w:val="16"/>
          <w:lang w:val="en-US"/>
        </w:rPr>
        <w:t xml:space="preserve"> </w:t>
      </w:r>
      <w:r w:rsidRPr="00B2204C">
        <w:rPr>
          <w:rFonts w:asciiTheme="minorHAnsi" w:eastAsia="+mn-ea" w:hAnsiTheme="minorHAnsi" w:cstheme="minorHAnsi"/>
          <w:bCs/>
          <w:kern w:val="24"/>
          <w:sz w:val="4"/>
          <w:szCs w:val="16"/>
          <w:lang w:val="en-US"/>
        </w:rPr>
        <w:tab/>
      </w:r>
    </w:p>
    <w:p w14:paraId="5133CF3B" w14:textId="77777777" w:rsidR="00A04E72" w:rsidRPr="00B2204C" w:rsidRDefault="00A04E72" w:rsidP="00A91B99">
      <w:pPr>
        <w:pStyle w:val="NormalWeb"/>
        <w:ind w:left="2160"/>
        <w:rPr>
          <w:rFonts w:asciiTheme="minorHAnsi" w:eastAsia="+mn-ea" w:hAnsiTheme="minorHAnsi" w:cstheme="minorHAnsi"/>
          <w:b/>
          <w:bCs/>
          <w:kern w:val="24"/>
          <w:sz w:val="4"/>
          <w:szCs w:val="18"/>
          <w:lang w:val="en-US"/>
        </w:rPr>
      </w:pPr>
    </w:p>
    <w:p w14:paraId="4BA1F31C" w14:textId="77777777" w:rsidR="00A04E72" w:rsidRPr="00B2204C" w:rsidRDefault="00A04E72" w:rsidP="00A91B99">
      <w:pPr>
        <w:pStyle w:val="NormalWeb"/>
        <w:shd w:val="clear" w:color="auto" w:fill="202A6B" w:themeFill="accent1" w:themeFillShade="BF"/>
        <w:ind w:left="2160"/>
        <w:rPr>
          <w:rFonts w:asciiTheme="minorHAnsi" w:eastAsia="+mn-ea" w:hAnsiTheme="minorHAnsi" w:cstheme="minorHAnsi"/>
          <w:b/>
          <w:bCs/>
          <w:color w:val="FFFFFF" w:themeColor="background1"/>
          <w:kern w:val="24"/>
          <w:sz w:val="22"/>
          <w:szCs w:val="18"/>
          <w:lang w:val="en-US"/>
        </w:rPr>
      </w:pPr>
      <w:r w:rsidRPr="00B2204C">
        <w:rPr>
          <w:rFonts w:asciiTheme="minorHAnsi" w:eastAsia="+mn-ea" w:hAnsiTheme="minorHAnsi" w:cstheme="minorHAnsi"/>
          <w:b/>
          <w:bCs/>
          <w:color w:val="FFFFFF" w:themeColor="background1"/>
          <w:kern w:val="24"/>
          <w:sz w:val="22"/>
          <w:szCs w:val="18"/>
          <w:lang w:val="en-US"/>
        </w:rPr>
        <w:t>SECTION 2</w:t>
      </w:r>
      <w:r w:rsidRPr="00B2204C">
        <w:rPr>
          <w:rFonts w:asciiTheme="minorHAnsi" w:eastAsia="+mn-ea" w:hAnsiTheme="minorHAnsi" w:cstheme="minorHAnsi"/>
          <w:b/>
          <w:bCs/>
          <w:color w:val="FFFFFF" w:themeColor="background1"/>
          <w:kern w:val="24"/>
          <w:sz w:val="22"/>
          <w:szCs w:val="18"/>
          <w:lang w:val="en-US"/>
        </w:rPr>
        <w:tab/>
      </w:r>
    </w:p>
    <w:p w14:paraId="1EF8497F" w14:textId="77777777" w:rsidR="00A04E72" w:rsidRPr="00B2204C" w:rsidRDefault="00A04E72" w:rsidP="00A91B99">
      <w:pPr>
        <w:pStyle w:val="NormalWeb"/>
        <w:ind w:left="2160"/>
        <w:rPr>
          <w:rFonts w:asciiTheme="minorHAnsi" w:eastAsia="+mn-ea" w:hAnsiTheme="minorHAnsi" w:cstheme="minorHAnsi"/>
          <w:b/>
          <w:bCs/>
          <w:kern w:val="24"/>
          <w:sz w:val="6"/>
          <w:szCs w:val="18"/>
          <w:lang w:val="en-US"/>
        </w:rPr>
      </w:pPr>
    </w:p>
    <w:p w14:paraId="7A20A13A" w14:textId="0B86F368" w:rsidR="008E3043" w:rsidRDefault="00D514CD" w:rsidP="0056659C">
      <w:pPr>
        <w:pStyle w:val="NormalWeb"/>
        <w:shd w:val="clear" w:color="auto" w:fill="C6D9F1" w:themeFill="text2" w:themeFillTint="33"/>
        <w:ind w:left="2160"/>
        <w:rPr>
          <w:rFonts w:asciiTheme="minorHAnsi" w:eastAsia="+mn-ea" w:hAnsiTheme="minorHAnsi" w:cstheme="minorHAnsi"/>
          <w:b/>
          <w:bCs/>
          <w:kern w:val="24"/>
          <w:szCs w:val="18"/>
          <w:shd w:val="clear" w:color="auto" w:fill="C6D9F1" w:themeFill="text2" w:themeFillTint="33"/>
          <w:lang w:val="en-US"/>
        </w:rPr>
      </w:pPr>
      <w:r>
        <w:rPr>
          <w:rFonts w:asciiTheme="minorHAnsi" w:eastAsia="+mn-ea" w:hAnsiTheme="minorHAnsi" w:cstheme="minorHAnsi"/>
          <w:b/>
          <w:bCs/>
          <w:kern w:val="24"/>
          <w:szCs w:val="18"/>
          <w:shd w:val="clear" w:color="auto" w:fill="C6D9F1" w:themeFill="text2" w:themeFillTint="33"/>
          <w:lang w:val="en-US"/>
        </w:rPr>
        <w:t>CHAPTER 6</w:t>
      </w:r>
      <w:r w:rsidR="00A04E72" w:rsidRPr="0056659C">
        <w:rPr>
          <w:rFonts w:asciiTheme="minorHAnsi" w:eastAsia="+mn-ea" w:hAnsiTheme="minorHAnsi" w:cstheme="minorHAnsi"/>
          <w:b/>
          <w:bCs/>
          <w:kern w:val="24"/>
          <w:szCs w:val="18"/>
          <w:shd w:val="clear" w:color="auto" w:fill="C6D9F1" w:themeFill="text2" w:themeFillTint="33"/>
          <w:lang w:val="en-US"/>
        </w:rPr>
        <w:t xml:space="preserve">: </w:t>
      </w:r>
      <w:r w:rsidR="008E3043">
        <w:rPr>
          <w:rFonts w:asciiTheme="minorHAnsi" w:eastAsia="+mn-ea" w:hAnsiTheme="minorHAnsi" w:cstheme="minorHAnsi"/>
          <w:b/>
          <w:bCs/>
          <w:kern w:val="24"/>
          <w:szCs w:val="18"/>
          <w:shd w:val="clear" w:color="auto" w:fill="C6D9F1" w:themeFill="text2" w:themeFillTint="33"/>
          <w:lang w:val="en-US"/>
        </w:rPr>
        <w:t>NTEP IMPACT PROJECTIONS</w:t>
      </w:r>
      <w:r w:rsidR="004F6D4B">
        <w:rPr>
          <w:rFonts w:asciiTheme="minorHAnsi" w:eastAsia="+mn-ea" w:hAnsiTheme="minorHAnsi" w:cstheme="minorHAnsi"/>
          <w:b/>
          <w:bCs/>
          <w:kern w:val="24"/>
          <w:szCs w:val="18"/>
          <w:shd w:val="clear" w:color="auto" w:fill="C6D9F1" w:themeFill="text2" w:themeFillTint="33"/>
          <w:lang w:val="en-US"/>
        </w:rPr>
        <w:tab/>
      </w:r>
      <w:r w:rsidR="004F6D4B">
        <w:rPr>
          <w:rFonts w:asciiTheme="minorHAnsi" w:eastAsia="+mn-ea" w:hAnsiTheme="minorHAnsi" w:cstheme="minorHAnsi"/>
          <w:b/>
          <w:bCs/>
          <w:kern w:val="24"/>
          <w:szCs w:val="18"/>
          <w:shd w:val="clear" w:color="auto" w:fill="C6D9F1" w:themeFill="text2" w:themeFillTint="33"/>
          <w:lang w:val="en-US"/>
        </w:rPr>
        <w:tab/>
      </w:r>
      <w:r w:rsidR="004F6D4B">
        <w:rPr>
          <w:rFonts w:asciiTheme="minorHAnsi" w:eastAsia="+mn-ea" w:hAnsiTheme="minorHAnsi" w:cstheme="minorHAnsi"/>
          <w:b/>
          <w:bCs/>
          <w:kern w:val="24"/>
          <w:szCs w:val="18"/>
          <w:shd w:val="clear" w:color="auto" w:fill="C6D9F1" w:themeFill="text2" w:themeFillTint="33"/>
          <w:lang w:val="en-US"/>
        </w:rPr>
        <w:tab/>
      </w:r>
      <w:r w:rsidR="004F6D4B">
        <w:rPr>
          <w:rFonts w:asciiTheme="minorHAnsi" w:eastAsia="+mn-ea" w:hAnsiTheme="minorHAnsi" w:cstheme="minorHAnsi"/>
          <w:b/>
          <w:bCs/>
          <w:kern w:val="24"/>
          <w:szCs w:val="18"/>
          <w:shd w:val="clear" w:color="auto" w:fill="C6D9F1" w:themeFill="text2" w:themeFillTint="33"/>
          <w:lang w:val="en-US"/>
        </w:rPr>
        <w:tab/>
      </w:r>
      <w:r w:rsidR="004F6D4B">
        <w:rPr>
          <w:rFonts w:asciiTheme="minorHAnsi" w:eastAsia="+mn-ea" w:hAnsiTheme="minorHAnsi" w:cstheme="minorHAnsi"/>
          <w:b/>
          <w:bCs/>
          <w:kern w:val="24"/>
          <w:szCs w:val="18"/>
          <w:shd w:val="clear" w:color="auto" w:fill="C6D9F1" w:themeFill="text2" w:themeFillTint="33"/>
          <w:lang w:val="en-US"/>
        </w:rPr>
        <w:tab/>
        <w:t>34</w:t>
      </w:r>
    </w:p>
    <w:p w14:paraId="3F70F4C7" w14:textId="77777777" w:rsidR="008E3043" w:rsidRPr="008E3043" w:rsidRDefault="008E3043" w:rsidP="008E3043">
      <w:pPr>
        <w:pStyle w:val="NormalWeb"/>
        <w:ind w:left="2160"/>
        <w:rPr>
          <w:rFonts w:asciiTheme="minorHAnsi" w:eastAsia="+mn-ea" w:hAnsiTheme="minorHAnsi" w:cstheme="minorHAnsi"/>
          <w:b/>
          <w:bCs/>
          <w:kern w:val="24"/>
          <w:sz w:val="4"/>
          <w:szCs w:val="4"/>
          <w:shd w:val="clear" w:color="auto" w:fill="C6D9F1" w:themeFill="text2" w:themeFillTint="33"/>
          <w:lang w:val="en-US"/>
        </w:rPr>
      </w:pPr>
    </w:p>
    <w:p w14:paraId="36285C30" w14:textId="2F3BE491" w:rsidR="00A04E72" w:rsidRPr="00B2204C" w:rsidRDefault="008E3043"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Pr>
          <w:rFonts w:asciiTheme="minorHAnsi" w:eastAsia="+mn-ea" w:hAnsiTheme="minorHAnsi" w:cstheme="minorHAnsi"/>
          <w:b/>
          <w:bCs/>
          <w:kern w:val="24"/>
          <w:szCs w:val="18"/>
          <w:shd w:val="clear" w:color="auto" w:fill="C6D9F1" w:themeFill="text2" w:themeFillTint="33"/>
          <w:lang w:val="en-US"/>
        </w:rPr>
        <w:t xml:space="preserve">CHAPTER 7: </w:t>
      </w:r>
      <w:r w:rsidR="00A04E72" w:rsidRPr="0056659C">
        <w:rPr>
          <w:rFonts w:asciiTheme="minorHAnsi" w:eastAsia="+mn-ea" w:hAnsiTheme="minorHAnsi" w:cstheme="minorHAnsi"/>
          <w:b/>
          <w:bCs/>
          <w:kern w:val="24"/>
          <w:szCs w:val="18"/>
          <w:shd w:val="clear" w:color="auto" w:fill="C6D9F1" w:themeFill="text2" w:themeFillTint="33"/>
          <w:lang w:val="en-US"/>
        </w:rPr>
        <w:t>STRATEGIC DIRECTION OF THE NSP, THE NSP RESULTS FRAMEWORK</w:t>
      </w:r>
      <w:r w:rsidR="00A04E72" w:rsidRPr="00B2204C">
        <w:rPr>
          <w:rFonts w:asciiTheme="minorHAnsi" w:eastAsia="+mn-ea" w:hAnsiTheme="minorHAnsi" w:cstheme="minorHAnsi"/>
          <w:b/>
          <w:bCs/>
          <w:kern w:val="24"/>
          <w:szCs w:val="18"/>
          <w:lang w:val="en-US"/>
        </w:rPr>
        <w:t xml:space="preserve"> AND PERFORMANCE MEASURES </w:t>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4F6D4B">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37</w:t>
      </w:r>
    </w:p>
    <w:p w14:paraId="4565691D" w14:textId="77777777" w:rsidR="00A04E72" w:rsidRPr="00B2204C" w:rsidRDefault="00A04E72" w:rsidP="00A91B99">
      <w:pPr>
        <w:pStyle w:val="NormalWeb"/>
        <w:ind w:left="2160"/>
        <w:rPr>
          <w:rFonts w:asciiTheme="minorHAnsi" w:eastAsia="+mn-ea" w:hAnsiTheme="minorHAnsi" w:cstheme="minorHAnsi"/>
          <w:kern w:val="24"/>
          <w:sz w:val="4"/>
          <w:szCs w:val="2"/>
          <w:lang w:val="en-US"/>
        </w:rPr>
      </w:pPr>
    </w:p>
    <w:p w14:paraId="5E7E68E8" w14:textId="77777777" w:rsidR="00A04E72" w:rsidRPr="00B2204C" w:rsidRDefault="00A04E72" w:rsidP="00A91B99">
      <w:pPr>
        <w:pStyle w:val="NormalWeb"/>
        <w:shd w:val="clear" w:color="auto" w:fill="151C48" w:themeFill="accent1" w:themeFillShade="80"/>
        <w:ind w:left="2160"/>
        <w:rPr>
          <w:rFonts w:asciiTheme="minorHAnsi" w:eastAsia="+mn-ea" w:hAnsiTheme="minorHAnsi" w:cstheme="minorHAnsi"/>
          <w:b/>
          <w:bCs/>
          <w:color w:val="FFFFFF" w:themeColor="background1"/>
          <w:kern w:val="24"/>
          <w:szCs w:val="18"/>
          <w:lang w:val="en-US"/>
        </w:rPr>
      </w:pPr>
      <w:r w:rsidRPr="00B2204C">
        <w:rPr>
          <w:rFonts w:asciiTheme="minorHAnsi" w:eastAsia="+mn-ea" w:hAnsiTheme="minorHAnsi" w:cstheme="minorHAnsi"/>
          <w:b/>
          <w:bCs/>
          <w:color w:val="FFFFFF" w:themeColor="background1"/>
          <w:kern w:val="24"/>
          <w:szCs w:val="18"/>
          <w:lang w:val="en-US"/>
        </w:rPr>
        <w:t>NSP OBJECTIVE 1: BUILD</w:t>
      </w:r>
    </w:p>
    <w:p w14:paraId="328B7149" w14:textId="77777777" w:rsidR="00A04E72" w:rsidRPr="00B2204C" w:rsidRDefault="00A04E72" w:rsidP="00A91B99">
      <w:pPr>
        <w:pStyle w:val="NormalWeb"/>
        <w:ind w:left="2160"/>
        <w:rPr>
          <w:rFonts w:asciiTheme="minorHAnsi" w:eastAsia="+mn-ea" w:hAnsiTheme="minorHAnsi" w:cstheme="minorHAnsi"/>
          <w:b/>
          <w:bCs/>
          <w:kern w:val="24"/>
          <w:sz w:val="4"/>
          <w:szCs w:val="18"/>
          <w:lang w:val="en-US"/>
        </w:rPr>
      </w:pPr>
    </w:p>
    <w:p w14:paraId="2A85D1AA" w14:textId="03446CB7" w:rsidR="00A04E72" w:rsidRPr="00B2204C" w:rsidRDefault="00AE2A09"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Pr>
          <w:rFonts w:asciiTheme="minorHAnsi" w:eastAsia="+mn-ea" w:hAnsiTheme="minorHAnsi" w:cstheme="minorHAnsi"/>
          <w:b/>
          <w:bCs/>
          <w:kern w:val="24"/>
          <w:szCs w:val="18"/>
          <w:lang w:val="en-US"/>
        </w:rPr>
        <w:t>CHAPTER 8</w:t>
      </w:r>
      <w:r w:rsidR="00A04E72" w:rsidRPr="00B2204C">
        <w:rPr>
          <w:rFonts w:asciiTheme="minorHAnsi" w:eastAsia="+mn-ea" w:hAnsiTheme="minorHAnsi" w:cstheme="minorHAnsi"/>
          <w:b/>
          <w:bCs/>
          <w:kern w:val="24"/>
          <w:szCs w:val="18"/>
          <w:lang w:val="en-US"/>
        </w:rPr>
        <w:t>: ENSURE A FULLY FUNDED NSP</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46</w:t>
      </w:r>
    </w:p>
    <w:p w14:paraId="6AC93FEC" w14:textId="77777777" w:rsidR="00A04E72" w:rsidRPr="00B2204C" w:rsidRDefault="00A04E72" w:rsidP="00A91B99">
      <w:pPr>
        <w:pStyle w:val="NormalWeb"/>
        <w:ind w:left="2160"/>
        <w:rPr>
          <w:rFonts w:asciiTheme="minorHAnsi" w:eastAsia="+mn-ea" w:hAnsiTheme="minorHAnsi" w:cstheme="minorHAnsi"/>
          <w:kern w:val="24"/>
          <w:sz w:val="4"/>
          <w:szCs w:val="2"/>
          <w:lang w:val="en-US"/>
        </w:rPr>
      </w:pPr>
    </w:p>
    <w:p w14:paraId="45A6206B" w14:textId="2B0FA454" w:rsidR="00A04E72" w:rsidRPr="00B2204C" w:rsidRDefault="00AE2A09"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Pr>
          <w:rFonts w:asciiTheme="minorHAnsi" w:eastAsia="+mn-ea" w:hAnsiTheme="minorHAnsi" w:cstheme="minorHAnsi"/>
          <w:b/>
          <w:bCs/>
          <w:kern w:val="24"/>
          <w:szCs w:val="18"/>
          <w:lang w:val="en-US"/>
        </w:rPr>
        <w:t>CHAPTER 9</w:t>
      </w:r>
      <w:r w:rsidR="00A04E72" w:rsidRPr="00B2204C">
        <w:rPr>
          <w:rFonts w:asciiTheme="minorHAnsi" w:eastAsia="+mn-ea" w:hAnsiTheme="minorHAnsi" w:cstheme="minorHAnsi"/>
          <w:b/>
          <w:bCs/>
          <w:kern w:val="24"/>
          <w:szCs w:val="18"/>
          <w:lang w:val="en-US"/>
        </w:rPr>
        <w:t xml:space="preserve">: HUMAN RESOURCE MANAGEMENT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48</w:t>
      </w:r>
    </w:p>
    <w:p w14:paraId="11368111" w14:textId="77777777" w:rsidR="00A04E72" w:rsidRPr="00B2204C" w:rsidRDefault="00A04E72" w:rsidP="00A91B99">
      <w:pPr>
        <w:pStyle w:val="NormalWeb"/>
        <w:ind w:left="2160"/>
        <w:rPr>
          <w:rFonts w:asciiTheme="minorHAnsi" w:eastAsia="+mn-ea" w:hAnsiTheme="minorHAnsi" w:cstheme="minorHAnsi"/>
          <w:kern w:val="24"/>
          <w:sz w:val="4"/>
          <w:szCs w:val="2"/>
          <w:lang w:val="en-US"/>
        </w:rPr>
      </w:pPr>
    </w:p>
    <w:p w14:paraId="730214A2" w14:textId="02FAD1CE" w:rsidR="00A04E72" w:rsidRPr="00B2204C" w:rsidRDefault="00AE2A09"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Pr>
          <w:rFonts w:asciiTheme="minorHAnsi" w:eastAsia="+mn-ea" w:hAnsiTheme="minorHAnsi" w:cstheme="minorHAnsi"/>
          <w:b/>
          <w:bCs/>
          <w:kern w:val="24"/>
          <w:szCs w:val="18"/>
          <w:lang w:val="en-US"/>
        </w:rPr>
        <w:t>CHAPTER 10</w:t>
      </w:r>
      <w:r w:rsidR="00A04E72" w:rsidRPr="00B2204C">
        <w:rPr>
          <w:rFonts w:asciiTheme="minorHAnsi" w:eastAsia="+mn-ea" w:hAnsiTheme="minorHAnsi" w:cstheme="minorHAnsi"/>
          <w:b/>
          <w:bCs/>
          <w:kern w:val="24"/>
          <w:szCs w:val="18"/>
          <w:lang w:val="en-US"/>
        </w:rPr>
        <w:t>: GOVERNANCE AND MANAGEMENT OF NTEP</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53</w:t>
      </w:r>
    </w:p>
    <w:p w14:paraId="31DE722E" w14:textId="77777777" w:rsidR="00A04E72" w:rsidRPr="00B2204C" w:rsidRDefault="00A04E72" w:rsidP="00A91B99">
      <w:pPr>
        <w:pStyle w:val="NormalWeb"/>
        <w:ind w:left="2160"/>
        <w:rPr>
          <w:rFonts w:asciiTheme="minorHAnsi" w:eastAsia="+mn-ea" w:hAnsiTheme="minorHAnsi" w:cstheme="minorHAnsi"/>
          <w:kern w:val="24"/>
          <w:sz w:val="4"/>
          <w:szCs w:val="2"/>
          <w:lang w:val="en-US"/>
        </w:rPr>
      </w:pPr>
    </w:p>
    <w:p w14:paraId="3DCF14C5" w14:textId="7793E465" w:rsidR="00A04E72" w:rsidRPr="00B2204C" w:rsidRDefault="00AE2A09"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Pr>
          <w:rFonts w:asciiTheme="minorHAnsi" w:eastAsia="+mn-ea" w:hAnsiTheme="minorHAnsi" w:cstheme="minorHAnsi"/>
          <w:b/>
          <w:bCs/>
          <w:kern w:val="24"/>
          <w:szCs w:val="18"/>
          <w:lang w:val="en-US"/>
        </w:rPr>
        <w:t>CHAPTER 11</w:t>
      </w:r>
      <w:r w:rsidR="00A04E72" w:rsidRPr="00B2204C">
        <w:rPr>
          <w:rFonts w:asciiTheme="minorHAnsi" w:eastAsia="+mn-ea" w:hAnsiTheme="minorHAnsi" w:cstheme="minorHAnsi"/>
          <w:b/>
          <w:bCs/>
          <w:kern w:val="24"/>
          <w:szCs w:val="18"/>
          <w:lang w:val="en-US"/>
        </w:rPr>
        <w:t>:</w:t>
      </w:r>
      <w:r w:rsidR="009B397B">
        <w:rPr>
          <w:rFonts w:asciiTheme="minorHAnsi" w:eastAsia="+mn-ea" w:hAnsiTheme="minorHAnsi" w:cstheme="minorHAnsi"/>
          <w:b/>
          <w:bCs/>
          <w:kern w:val="24"/>
          <w:szCs w:val="18"/>
          <w:lang w:val="en-US"/>
        </w:rPr>
        <w:t xml:space="preserve"> </w:t>
      </w:r>
      <w:r w:rsidR="009B397B" w:rsidRPr="00B2204C">
        <w:rPr>
          <w:rFonts w:asciiTheme="minorHAnsi" w:eastAsia="+mn-ea" w:hAnsiTheme="minorHAnsi" w:cstheme="minorHAnsi"/>
          <w:b/>
          <w:bCs/>
          <w:kern w:val="24"/>
          <w:szCs w:val="18"/>
          <w:lang w:val="en-US"/>
        </w:rPr>
        <w:t xml:space="preserve">MULTISECTORAL </w:t>
      </w:r>
      <w:r w:rsidR="009B397B">
        <w:rPr>
          <w:rFonts w:asciiTheme="minorHAnsi" w:eastAsia="+mn-ea" w:hAnsiTheme="minorHAnsi" w:cstheme="minorHAnsi"/>
          <w:b/>
          <w:bCs/>
          <w:kern w:val="24"/>
          <w:szCs w:val="18"/>
          <w:lang w:val="en-US"/>
        </w:rPr>
        <w:t>ACCOUNTABILITY AND</w:t>
      </w:r>
      <w:r w:rsidR="009B397B" w:rsidRPr="00B2204C">
        <w:rPr>
          <w:rFonts w:asciiTheme="minorHAnsi" w:eastAsia="+mn-ea" w:hAnsiTheme="minorHAnsi" w:cstheme="minorHAnsi"/>
          <w:b/>
          <w:bCs/>
          <w:kern w:val="24"/>
          <w:szCs w:val="18"/>
          <w:lang w:val="en-US"/>
        </w:rPr>
        <w:t xml:space="preserve"> ENGAGEMENT</w:t>
      </w:r>
      <w:r w:rsidR="009B397B">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59</w:t>
      </w:r>
    </w:p>
    <w:p w14:paraId="4C5C9D09" w14:textId="77777777" w:rsidR="00A04E72" w:rsidRPr="00B2204C" w:rsidRDefault="00A04E72" w:rsidP="00A91B99">
      <w:pPr>
        <w:pStyle w:val="NormalWeb"/>
        <w:ind w:left="2160"/>
        <w:rPr>
          <w:rFonts w:asciiTheme="minorHAnsi" w:eastAsia="+mn-ea" w:hAnsiTheme="minorHAnsi" w:cstheme="minorHAnsi"/>
          <w:kern w:val="24"/>
          <w:sz w:val="4"/>
          <w:szCs w:val="2"/>
          <w:lang w:val="en-US"/>
        </w:rPr>
      </w:pPr>
    </w:p>
    <w:p w14:paraId="18014973" w14:textId="4C5929CE" w:rsidR="00A04E72" w:rsidRPr="0056659C" w:rsidRDefault="00AE2A09"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Pr>
          <w:rFonts w:asciiTheme="minorHAnsi" w:eastAsia="+mn-ea" w:hAnsiTheme="minorHAnsi" w:cstheme="minorHAnsi"/>
          <w:b/>
          <w:bCs/>
          <w:kern w:val="24"/>
          <w:szCs w:val="18"/>
          <w:lang w:val="en-US"/>
        </w:rPr>
        <w:t>CHAPTER 12</w:t>
      </w:r>
      <w:r w:rsidR="00A04E72" w:rsidRPr="00B2204C">
        <w:rPr>
          <w:rFonts w:asciiTheme="minorHAnsi" w:eastAsia="+mn-ea" w:hAnsiTheme="minorHAnsi" w:cstheme="minorHAnsi"/>
          <w:b/>
          <w:bCs/>
          <w:kern w:val="24"/>
          <w:szCs w:val="18"/>
          <w:lang w:val="en-US"/>
        </w:rPr>
        <w:t xml:space="preserve">: </w:t>
      </w:r>
      <w:r w:rsidR="009B397B" w:rsidRPr="00B2204C">
        <w:rPr>
          <w:rFonts w:asciiTheme="minorHAnsi" w:eastAsia="+mn-ea" w:hAnsiTheme="minorHAnsi" w:cstheme="minorHAnsi"/>
          <w:b/>
          <w:bCs/>
          <w:kern w:val="24"/>
          <w:szCs w:val="18"/>
          <w:lang w:val="en-US"/>
        </w:rPr>
        <w:t>PRIVATE SECTOR ENGAGEMENT</w:t>
      </w:r>
      <w:r w:rsidR="009B397B">
        <w:rPr>
          <w:rFonts w:asciiTheme="minorHAnsi" w:eastAsia="+mn-ea" w:hAnsiTheme="minorHAnsi" w:cstheme="minorHAnsi"/>
          <w:b/>
          <w:bCs/>
          <w:kern w:val="24"/>
          <w:szCs w:val="18"/>
          <w:lang w:val="en-US"/>
        </w:rPr>
        <w:tab/>
      </w:r>
      <w:r w:rsidR="009B397B">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65</w:t>
      </w:r>
    </w:p>
    <w:p w14:paraId="046B78D4" w14:textId="77777777" w:rsidR="00A04E72" w:rsidRPr="00B2204C" w:rsidRDefault="00A04E72" w:rsidP="00A91B99">
      <w:pPr>
        <w:pStyle w:val="NormalWeb"/>
        <w:ind w:left="2160"/>
        <w:rPr>
          <w:rFonts w:asciiTheme="minorHAnsi" w:eastAsia="+mn-ea" w:hAnsiTheme="minorHAnsi" w:cstheme="minorHAnsi"/>
          <w:b/>
          <w:kern w:val="24"/>
          <w:sz w:val="4"/>
          <w:szCs w:val="2"/>
          <w:lang w:val="en-US"/>
        </w:rPr>
      </w:pPr>
    </w:p>
    <w:p w14:paraId="2A070B66" w14:textId="7AD1CAAC"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13</w:t>
      </w:r>
      <w:r w:rsidRPr="0056659C">
        <w:rPr>
          <w:rFonts w:asciiTheme="minorHAnsi" w:eastAsia="+mn-ea" w:hAnsiTheme="minorHAnsi" w:cstheme="minorHAnsi"/>
          <w:b/>
          <w:bCs/>
          <w:kern w:val="24"/>
          <w:szCs w:val="18"/>
          <w:lang w:val="en-US"/>
        </w:rPr>
        <w:t>: ENGAGED AND EMPOWERED COMMUNITIES</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71</w:t>
      </w:r>
    </w:p>
    <w:p w14:paraId="6B4D0C3D" w14:textId="77777777" w:rsidR="00A04E72" w:rsidRPr="00B2204C" w:rsidRDefault="00A04E72" w:rsidP="00A91B99">
      <w:pPr>
        <w:pStyle w:val="NormalWeb"/>
        <w:ind w:left="2160"/>
        <w:rPr>
          <w:rFonts w:asciiTheme="minorHAnsi" w:eastAsia="+mn-ea" w:hAnsiTheme="minorHAnsi" w:cstheme="minorHAnsi"/>
          <w:b/>
          <w:kern w:val="24"/>
          <w:sz w:val="4"/>
          <w:szCs w:val="2"/>
          <w:lang w:val="en-US"/>
        </w:rPr>
      </w:pPr>
      <w:r w:rsidRPr="00B2204C">
        <w:rPr>
          <w:rFonts w:asciiTheme="minorHAnsi" w:eastAsia="+mn-ea" w:hAnsiTheme="minorHAnsi" w:cstheme="minorHAnsi"/>
          <w:b/>
          <w:kern w:val="24"/>
          <w:szCs w:val="18"/>
        </w:rPr>
        <w:tab/>
      </w:r>
      <w:r w:rsidRPr="00B2204C">
        <w:rPr>
          <w:rFonts w:asciiTheme="minorHAnsi" w:eastAsia="+mn-ea" w:hAnsiTheme="minorHAnsi" w:cstheme="minorHAnsi"/>
          <w:b/>
          <w:kern w:val="24"/>
          <w:szCs w:val="18"/>
        </w:rPr>
        <w:tab/>
      </w:r>
    </w:p>
    <w:p w14:paraId="05DB653E" w14:textId="60BBEA54"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14</w:t>
      </w:r>
      <w:r w:rsidRPr="0056659C">
        <w:rPr>
          <w:rFonts w:asciiTheme="minorHAnsi" w:eastAsia="+mn-ea" w:hAnsiTheme="minorHAnsi" w:cstheme="minorHAnsi"/>
          <w:b/>
          <w:bCs/>
          <w:kern w:val="24"/>
          <w:szCs w:val="18"/>
          <w:lang w:val="en-US"/>
        </w:rPr>
        <w:t>: ADVOCACY AND STRATEGIC COMMUNICATIONS</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77</w:t>
      </w:r>
    </w:p>
    <w:p w14:paraId="4CC7B059" w14:textId="77777777" w:rsidR="00A04E72" w:rsidRPr="00B2204C" w:rsidRDefault="00A04E72" w:rsidP="00A91B99">
      <w:pPr>
        <w:pStyle w:val="NormalWeb"/>
        <w:ind w:left="2160"/>
        <w:rPr>
          <w:rFonts w:asciiTheme="minorHAnsi" w:eastAsia="+mn-ea" w:hAnsiTheme="minorHAnsi" w:cstheme="minorHAnsi"/>
          <w:b/>
          <w:bCs/>
          <w:kern w:val="24"/>
          <w:sz w:val="4"/>
          <w:szCs w:val="2"/>
          <w:lang w:val="en-US"/>
        </w:rPr>
      </w:pPr>
    </w:p>
    <w:p w14:paraId="23C52259" w14:textId="48BEB875"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15</w:t>
      </w:r>
      <w:r w:rsidR="0077224D">
        <w:rPr>
          <w:rFonts w:asciiTheme="minorHAnsi" w:eastAsia="+mn-ea" w:hAnsiTheme="minorHAnsi" w:cstheme="minorHAnsi"/>
          <w:b/>
          <w:bCs/>
          <w:kern w:val="24"/>
          <w:szCs w:val="18"/>
          <w:lang w:val="en-US"/>
        </w:rPr>
        <w:t xml:space="preserve">: </w:t>
      </w:r>
      <w:r w:rsidR="002F2E41">
        <w:rPr>
          <w:rFonts w:ascii="Calibri" w:hAnsi="Calibri" w:cs="Calibri"/>
          <w:b/>
          <w:color w:val="000000"/>
          <w:szCs w:val="20"/>
        </w:rPr>
        <w:t>SURVEILLANCE</w:t>
      </w:r>
      <w:r w:rsidRPr="0056659C">
        <w:rPr>
          <w:rFonts w:asciiTheme="minorHAnsi" w:eastAsia="+mn-ea" w:hAnsiTheme="minorHAnsi" w:cstheme="minorHAnsi"/>
          <w:b/>
          <w:bCs/>
          <w:kern w:val="24"/>
          <w:szCs w:val="18"/>
          <w:lang w:val="en-US"/>
        </w:rPr>
        <w:t>, MONITORING AND SUPERVISION</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81</w:t>
      </w:r>
    </w:p>
    <w:p w14:paraId="5CC365E8"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4F294A40" w14:textId="57B744E9"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16</w:t>
      </w:r>
      <w:r w:rsidRPr="0056659C">
        <w:rPr>
          <w:rFonts w:asciiTheme="minorHAnsi" w:eastAsia="+mn-ea" w:hAnsiTheme="minorHAnsi" w:cstheme="minorHAnsi"/>
          <w:b/>
          <w:bCs/>
          <w:kern w:val="24"/>
          <w:szCs w:val="18"/>
          <w:lang w:val="en-US"/>
        </w:rPr>
        <w:t>: RESEARCH</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84</w:t>
      </w:r>
    </w:p>
    <w:p w14:paraId="7E125256"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1FEDAC53" w14:textId="78574857"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17</w:t>
      </w:r>
      <w:r w:rsidRPr="0056659C">
        <w:rPr>
          <w:rFonts w:asciiTheme="minorHAnsi" w:eastAsia="+mn-ea" w:hAnsiTheme="minorHAnsi" w:cstheme="minorHAnsi"/>
          <w:b/>
          <w:bCs/>
          <w:kern w:val="24"/>
          <w:szCs w:val="18"/>
          <w:lang w:val="en-US"/>
        </w:rPr>
        <w:t>: STRENGTHEN PROCUREMENT AND SUPPLY CHAIN</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88</w:t>
      </w:r>
    </w:p>
    <w:p w14:paraId="7BF8A206"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0C6CB106" w14:textId="28EA2CC4"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18</w:t>
      </w:r>
      <w:r w:rsidRPr="0056659C">
        <w:rPr>
          <w:rFonts w:asciiTheme="minorHAnsi" w:eastAsia="+mn-ea" w:hAnsiTheme="minorHAnsi" w:cstheme="minorHAnsi"/>
          <w:b/>
          <w:bCs/>
          <w:kern w:val="24"/>
          <w:szCs w:val="18"/>
          <w:lang w:val="en-US"/>
        </w:rPr>
        <w:t>:  DIGITAL INFORMATION ECOSYSTEM FOR TB CARE</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91</w:t>
      </w:r>
    </w:p>
    <w:p w14:paraId="40CFFBEF" w14:textId="77777777" w:rsidR="00A04E72" w:rsidRPr="00B2204C" w:rsidRDefault="00A04E72" w:rsidP="00A91B99">
      <w:pPr>
        <w:pStyle w:val="NormalWeb"/>
        <w:ind w:left="2160"/>
        <w:rPr>
          <w:rFonts w:asciiTheme="minorHAnsi" w:eastAsia="+mn-ea" w:hAnsiTheme="minorHAnsi" w:cstheme="minorHAnsi"/>
          <w:b/>
          <w:bCs/>
          <w:kern w:val="24"/>
          <w:sz w:val="4"/>
          <w:szCs w:val="2"/>
          <w:lang w:val="en-US"/>
        </w:rPr>
      </w:pPr>
    </w:p>
    <w:p w14:paraId="0600E7FA" w14:textId="3AC4363E" w:rsidR="00A04E72" w:rsidRPr="00B2204C" w:rsidRDefault="00AE2A09"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Pr>
          <w:rFonts w:asciiTheme="minorHAnsi" w:eastAsia="+mn-ea" w:hAnsiTheme="minorHAnsi" w:cstheme="minorHAnsi"/>
          <w:b/>
          <w:bCs/>
          <w:kern w:val="24"/>
          <w:szCs w:val="18"/>
          <w:lang w:val="en-US"/>
        </w:rPr>
        <w:t>CHAPTER 19</w:t>
      </w:r>
      <w:r w:rsidR="00A04E72" w:rsidRPr="00B2204C">
        <w:rPr>
          <w:rFonts w:asciiTheme="minorHAnsi" w:eastAsia="+mn-ea" w:hAnsiTheme="minorHAnsi" w:cstheme="minorHAnsi"/>
          <w:b/>
          <w:bCs/>
          <w:kern w:val="24"/>
          <w:szCs w:val="18"/>
          <w:lang w:val="en-US"/>
        </w:rPr>
        <w:t>: TECHNICAL ASSISTANCE TO NTEP</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100</w:t>
      </w:r>
    </w:p>
    <w:p w14:paraId="6BD027BA" w14:textId="77777777" w:rsidR="00A04E72" w:rsidRPr="00B2204C" w:rsidRDefault="00A04E72" w:rsidP="00A91B99">
      <w:pPr>
        <w:pStyle w:val="NormalWeb"/>
        <w:ind w:left="2160"/>
        <w:rPr>
          <w:rFonts w:asciiTheme="minorHAnsi" w:eastAsia="+mn-ea" w:hAnsiTheme="minorHAnsi" w:cstheme="minorHAnsi"/>
          <w:b/>
          <w:bCs/>
          <w:kern w:val="24"/>
          <w:sz w:val="4"/>
          <w:szCs w:val="2"/>
          <w:lang w:val="en-US"/>
        </w:rPr>
      </w:pPr>
    </w:p>
    <w:p w14:paraId="2B90F678" w14:textId="6E507D7D" w:rsidR="00A04E72" w:rsidRPr="00B2204C" w:rsidRDefault="00AE2A09"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Pr>
          <w:rFonts w:asciiTheme="minorHAnsi" w:eastAsia="+mn-ea" w:hAnsiTheme="minorHAnsi" w:cstheme="minorHAnsi"/>
          <w:b/>
          <w:bCs/>
          <w:kern w:val="24"/>
          <w:szCs w:val="18"/>
          <w:shd w:val="clear" w:color="auto" w:fill="C6D9F1" w:themeFill="text2" w:themeFillTint="33"/>
          <w:lang w:val="en-US"/>
        </w:rPr>
        <w:t>CHAPTER 20</w:t>
      </w:r>
      <w:r w:rsidR="00F417E3">
        <w:rPr>
          <w:rFonts w:asciiTheme="minorHAnsi" w:eastAsia="+mn-ea" w:hAnsiTheme="minorHAnsi" w:cstheme="minorHAnsi"/>
          <w:b/>
          <w:bCs/>
          <w:kern w:val="24"/>
          <w:szCs w:val="18"/>
          <w:shd w:val="clear" w:color="auto" w:fill="C6D9F1" w:themeFill="text2" w:themeFillTint="33"/>
          <w:lang w:val="en-US"/>
        </w:rPr>
        <w:t>: ADDRESSING</w:t>
      </w:r>
      <w:r w:rsidR="00A04E72" w:rsidRPr="0056659C">
        <w:rPr>
          <w:rFonts w:asciiTheme="minorHAnsi" w:eastAsia="+mn-ea" w:hAnsiTheme="minorHAnsi" w:cstheme="minorHAnsi"/>
          <w:b/>
          <w:bCs/>
          <w:kern w:val="24"/>
          <w:szCs w:val="18"/>
          <w:shd w:val="clear" w:color="auto" w:fill="C6D9F1" w:themeFill="text2" w:themeFillTint="33"/>
          <w:lang w:val="en-US"/>
        </w:rPr>
        <w:t xml:space="preserve"> HUMAN RIGHTS AND GENDER RELATED BARRIERS TO TB</w:t>
      </w:r>
      <w:r w:rsidR="004F6D4B">
        <w:rPr>
          <w:rFonts w:asciiTheme="minorHAnsi" w:eastAsia="+mn-ea" w:hAnsiTheme="minorHAnsi" w:cstheme="minorHAnsi"/>
          <w:b/>
          <w:bCs/>
          <w:kern w:val="24"/>
          <w:szCs w:val="18"/>
          <w:shd w:val="clear" w:color="auto" w:fill="C6D9F1" w:themeFill="text2" w:themeFillTint="33"/>
          <w:lang w:val="en-US"/>
        </w:rPr>
        <w:t xml:space="preserve"> </w:t>
      </w:r>
      <w:r w:rsidR="00A04E72" w:rsidRPr="00B2204C">
        <w:rPr>
          <w:rFonts w:asciiTheme="minorHAnsi" w:eastAsia="+mn-ea" w:hAnsiTheme="minorHAnsi" w:cstheme="minorHAnsi"/>
          <w:b/>
          <w:bCs/>
          <w:kern w:val="24"/>
          <w:szCs w:val="18"/>
          <w:lang w:val="en-US"/>
        </w:rPr>
        <w:t>SERVICES</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102</w:t>
      </w:r>
    </w:p>
    <w:p w14:paraId="734C22A5"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4ADA17F7" w14:textId="6DBAA552"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 2</w:t>
      </w:r>
      <w:r w:rsidR="00AE2A09">
        <w:rPr>
          <w:rFonts w:asciiTheme="minorHAnsi" w:eastAsia="+mn-ea" w:hAnsiTheme="minorHAnsi" w:cstheme="minorHAnsi"/>
          <w:b/>
          <w:bCs/>
          <w:kern w:val="24"/>
          <w:szCs w:val="18"/>
          <w:lang w:val="en-US"/>
        </w:rPr>
        <w:t>1</w:t>
      </w:r>
      <w:r w:rsidRPr="00B2204C">
        <w:rPr>
          <w:rFonts w:asciiTheme="minorHAnsi" w:eastAsia="+mn-ea" w:hAnsiTheme="minorHAnsi" w:cstheme="minorHAnsi"/>
          <w:b/>
          <w:bCs/>
          <w:kern w:val="24"/>
          <w:szCs w:val="18"/>
          <w:lang w:val="en-US"/>
        </w:rPr>
        <w:t>:  TB CARE IN THE ERA OF COVID</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107</w:t>
      </w:r>
    </w:p>
    <w:p w14:paraId="2BD63AAB" w14:textId="77777777" w:rsidR="00A04E72" w:rsidRPr="00B2204C" w:rsidRDefault="00A04E72" w:rsidP="00A91B99">
      <w:pPr>
        <w:pStyle w:val="NormalWeb"/>
        <w:ind w:left="2160"/>
        <w:rPr>
          <w:rFonts w:asciiTheme="minorHAnsi" w:eastAsia="+mn-ea" w:hAnsiTheme="minorHAnsi" w:cstheme="minorHAnsi"/>
          <w:b/>
          <w:bCs/>
          <w:color w:val="FFFFFF" w:themeColor="background1"/>
          <w:kern w:val="24"/>
          <w:sz w:val="6"/>
          <w:szCs w:val="6"/>
          <w:lang w:val="en-US"/>
        </w:rPr>
      </w:pPr>
    </w:p>
    <w:p w14:paraId="54958717" w14:textId="77777777" w:rsidR="00A04E72" w:rsidRPr="00B2204C" w:rsidRDefault="00A04E72" w:rsidP="00A91B99">
      <w:pPr>
        <w:pStyle w:val="NormalWeb"/>
        <w:shd w:val="clear" w:color="auto" w:fill="151C48" w:themeFill="accent1" w:themeFillShade="80"/>
        <w:ind w:left="2160"/>
        <w:rPr>
          <w:rFonts w:asciiTheme="minorHAnsi" w:eastAsia="+mn-ea" w:hAnsiTheme="minorHAnsi" w:cstheme="minorHAnsi"/>
          <w:b/>
          <w:bCs/>
          <w:color w:val="FFFFFF" w:themeColor="background1"/>
          <w:kern w:val="24"/>
          <w:szCs w:val="18"/>
          <w:lang w:val="en-US"/>
        </w:rPr>
      </w:pPr>
      <w:r w:rsidRPr="00B2204C">
        <w:rPr>
          <w:rFonts w:asciiTheme="minorHAnsi" w:eastAsia="+mn-ea" w:hAnsiTheme="minorHAnsi" w:cstheme="minorHAnsi"/>
          <w:b/>
          <w:bCs/>
          <w:color w:val="FFFFFF" w:themeColor="background1"/>
          <w:kern w:val="24"/>
          <w:szCs w:val="18"/>
          <w:lang w:val="en-US"/>
        </w:rPr>
        <w:t>NSP OBJECTIVE 2: PREVENT</w:t>
      </w:r>
    </w:p>
    <w:p w14:paraId="076C5673" w14:textId="77777777" w:rsidR="00A04E72" w:rsidRPr="00B2204C" w:rsidRDefault="00A04E72" w:rsidP="00A91B99">
      <w:pPr>
        <w:pStyle w:val="NormalWeb"/>
        <w:ind w:left="2160"/>
        <w:rPr>
          <w:rFonts w:asciiTheme="minorHAnsi" w:eastAsia="+mn-ea" w:hAnsiTheme="minorHAnsi" w:cstheme="minorHAnsi"/>
          <w:b/>
          <w:bCs/>
          <w:color w:val="FFFFFF" w:themeColor="background1"/>
          <w:kern w:val="24"/>
          <w:sz w:val="4"/>
          <w:szCs w:val="4"/>
          <w:lang w:val="en-US"/>
        </w:rPr>
      </w:pPr>
    </w:p>
    <w:p w14:paraId="623D2C21" w14:textId="41BA7DD9"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Pr="0056659C">
        <w:rPr>
          <w:rFonts w:asciiTheme="minorHAnsi" w:eastAsia="+mn-ea" w:hAnsiTheme="minorHAnsi" w:cstheme="minorHAnsi"/>
          <w:b/>
          <w:bCs/>
          <w:kern w:val="24"/>
          <w:szCs w:val="18"/>
          <w:lang w:val="en-US"/>
        </w:rPr>
        <w:t xml:space="preserve"> </w:t>
      </w:r>
      <w:r w:rsidR="00AE2A09">
        <w:rPr>
          <w:rFonts w:asciiTheme="minorHAnsi" w:eastAsia="+mn-ea" w:hAnsiTheme="minorHAnsi" w:cstheme="minorHAnsi"/>
          <w:b/>
          <w:bCs/>
          <w:kern w:val="24"/>
          <w:szCs w:val="18"/>
          <w:lang w:val="en-US"/>
        </w:rPr>
        <w:t>22</w:t>
      </w:r>
      <w:r w:rsidRPr="0056659C">
        <w:rPr>
          <w:rFonts w:asciiTheme="minorHAnsi" w:eastAsia="+mn-ea" w:hAnsiTheme="minorHAnsi" w:cstheme="minorHAnsi"/>
          <w:b/>
          <w:bCs/>
          <w:kern w:val="24"/>
          <w:szCs w:val="18"/>
          <w:lang w:val="en-US"/>
        </w:rPr>
        <w:t xml:space="preserve">: </w:t>
      </w:r>
      <w:r w:rsidRPr="00B2204C">
        <w:rPr>
          <w:rFonts w:asciiTheme="minorHAnsi" w:eastAsia="+mn-ea" w:hAnsiTheme="minorHAnsi" w:cstheme="minorHAnsi"/>
          <w:b/>
          <w:bCs/>
          <w:kern w:val="24"/>
          <w:szCs w:val="18"/>
          <w:lang w:val="en-US"/>
        </w:rPr>
        <w:t>TB PREVENTIVE TREATMENT AND PROGRAMMATIC MANAGEMENT OF LATENT TB INFECTION</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111</w:t>
      </w:r>
    </w:p>
    <w:p w14:paraId="5FD2CA39" w14:textId="77777777" w:rsidR="00A04E72" w:rsidRPr="00B2204C" w:rsidRDefault="00A04E72" w:rsidP="00A91B99">
      <w:pPr>
        <w:pStyle w:val="NormalWeb"/>
        <w:ind w:left="2160"/>
        <w:rPr>
          <w:rFonts w:asciiTheme="minorHAnsi" w:eastAsia="+mn-ea" w:hAnsiTheme="minorHAnsi" w:cstheme="minorHAnsi"/>
          <w:b/>
          <w:kern w:val="24"/>
          <w:sz w:val="4"/>
          <w:szCs w:val="2"/>
          <w:lang w:val="en-US"/>
        </w:rPr>
      </w:pPr>
      <w:r w:rsidRPr="00B2204C">
        <w:rPr>
          <w:rFonts w:asciiTheme="minorHAnsi" w:eastAsia="+mn-ea" w:hAnsiTheme="minorHAnsi" w:cstheme="minorHAnsi"/>
          <w:b/>
          <w:kern w:val="24"/>
          <w:szCs w:val="18"/>
        </w:rPr>
        <w:tab/>
      </w:r>
      <w:r w:rsidRPr="00B2204C">
        <w:rPr>
          <w:rFonts w:asciiTheme="minorHAnsi" w:eastAsia="+mn-ea" w:hAnsiTheme="minorHAnsi" w:cstheme="minorHAnsi"/>
          <w:b/>
          <w:kern w:val="24"/>
          <w:szCs w:val="18"/>
        </w:rPr>
        <w:tab/>
      </w:r>
    </w:p>
    <w:p w14:paraId="34A4DD8D" w14:textId="6D4F14A1"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23</w:t>
      </w:r>
      <w:r w:rsidRPr="0056659C">
        <w:rPr>
          <w:rFonts w:asciiTheme="minorHAnsi" w:eastAsia="+mn-ea" w:hAnsiTheme="minorHAnsi" w:cstheme="minorHAnsi"/>
          <w:b/>
          <w:bCs/>
          <w:kern w:val="24"/>
          <w:szCs w:val="18"/>
          <w:lang w:val="en-US"/>
        </w:rPr>
        <w:t xml:space="preserve">: </w:t>
      </w:r>
      <w:r w:rsidRPr="00B2204C">
        <w:rPr>
          <w:rFonts w:asciiTheme="minorHAnsi" w:eastAsia="+mn-ea" w:hAnsiTheme="minorHAnsi" w:cstheme="minorHAnsi"/>
          <w:b/>
          <w:bCs/>
          <w:kern w:val="24"/>
          <w:szCs w:val="18"/>
          <w:lang w:val="en-US"/>
        </w:rPr>
        <w:t>AIRBORNE INFECTION CONTROL</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114</w:t>
      </w:r>
    </w:p>
    <w:p w14:paraId="33D432D4"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r w:rsidRPr="00B2204C">
        <w:rPr>
          <w:rFonts w:asciiTheme="minorHAnsi" w:eastAsia="+mn-ea" w:hAnsiTheme="minorHAnsi" w:cstheme="minorHAnsi"/>
          <w:b/>
          <w:bCs/>
          <w:kern w:val="24"/>
          <w:szCs w:val="18"/>
          <w:lang w:val="en-US"/>
        </w:rPr>
        <w:tab/>
      </w:r>
    </w:p>
    <w:p w14:paraId="6EAEC93A" w14:textId="77777777" w:rsidR="00A04E72" w:rsidRPr="00B2204C" w:rsidRDefault="00A04E72" w:rsidP="00A91B99">
      <w:pPr>
        <w:pStyle w:val="NormalWeb"/>
        <w:shd w:val="clear" w:color="auto" w:fill="151C48" w:themeFill="accent1" w:themeFillShade="80"/>
        <w:ind w:left="2160"/>
        <w:rPr>
          <w:rFonts w:asciiTheme="minorHAnsi" w:eastAsia="+mn-ea" w:hAnsiTheme="minorHAnsi" w:cstheme="minorHAnsi"/>
          <w:b/>
          <w:bCs/>
          <w:color w:val="FFFFFF" w:themeColor="background1"/>
          <w:kern w:val="24"/>
          <w:szCs w:val="18"/>
          <w:lang w:val="en-US"/>
        </w:rPr>
      </w:pPr>
      <w:r w:rsidRPr="00B2204C">
        <w:rPr>
          <w:rFonts w:asciiTheme="minorHAnsi" w:eastAsia="+mn-ea" w:hAnsiTheme="minorHAnsi" w:cstheme="minorHAnsi"/>
          <w:b/>
          <w:bCs/>
          <w:color w:val="FFFFFF" w:themeColor="background1"/>
          <w:kern w:val="24"/>
          <w:szCs w:val="18"/>
          <w:lang w:val="en-US"/>
        </w:rPr>
        <w:t>NSP OBJECTIVE 3: DETECT</w:t>
      </w:r>
    </w:p>
    <w:p w14:paraId="426AAA96"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111F015B" w14:textId="174A6233"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24</w:t>
      </w:r>
      <w:r w:rsidRPr="0056659C">
        <w:rPr>
          <w:rFonts w:asciiTheme="minorHAnsi" w:eastAsia="+mn-ea" w:hAnsiTheme="minorHAnsi" w:cstheme="minorHAnsi"/>
          <w:b/>
          <w:bCs/>
          <w:kern w:val="24"/>
          <w:szCs w:val="18"/>
          <w:lang w:val="en-US"/>
        </w:rPr>
        <w:t>: LABORATORY AND DIAGNOSTIC SYSTEMS</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117</w:t>
      </w:r>
    </w:p>
    <w:p w14:paraId="6D83B0C2"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70210539" w14:textId="492D976E"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25</w:t>
      </w:r>
      <w:r w:rsidRPr="0056659C">
        <w:rPr>
          <w:rFonts w:asciiTheme="minorHAnsi" w:eastAsia="+mn-ea" w:hAnsiTheme="minorHAnsi" w:cstheme="minorHAnsi"/>
          <w:b/>
          <w:bCs/>
          <w:kern w:val="24"/>
          <w:szCs w:val="18"/>
          <w:lang w:val="en-US"/>
        </w:rPr>
        <w:t>: TB CASE FINDING</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121</w:t>
      </w:r>
    </w:p>
    <w:p w14:paraId="3DD25A90"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49E90DB8" w14:textId="77777777" w:rsidR="00A04E72" w:rsidRPr="00B2204C" w:rsidRDefault="00A04E72" w:rsidP="00A91B99">
      <w:pPr>
        <w:pStyle w:val="NormalWeb"/>
        <w:shd w:val="clear" w:color="auto" w:fill="151C48" w:themeFill="accent1" w:themeFillShade="80"/>
        <w:ind w:left="2160"/>
        <w:rPr>
          <w:rFonts w:asciiTheme="minorHAnsi" w:eastAsia="+mn-ea" w:hAnsiTheme="minorHAnsi" w:cstheme="minorHAnsi"/>
          <w:b/>
          <w:bCs/>
          <w:color w:val="FFFFFF" w:themeColor="background1"/>
          <w:kern w:val="24"/>
          <w:szCs w:val="18"/>
          <w:lang w:val="en-US"/>
        </w:rPr>
      </w:pPr>
      <w:r w:rsidRPr="00B2204C">
        <w:rPr>
          <w:rFonts w:asciiTheme="minorHAnsi" w:eastAsia="+mn-ea" w:hAnsiTheme="minorHAnsi" w:cstheme="minorHAnsi"/>
          <w:b/>
          <w:bCs/>
          <w:color w:val="FFFFFF" w:themeColor="background1"/>
          <w:kern w:val="24"/>
          <w:szCs w:val="18"/>
          <w:lang w:val="en-US"/>
        </w:rPr>
        <w:t>NSP OBJECTIVE 4: TREAT</w:t>
      </w:r>
    </w:p>
    <w:p w14:paraId="0CC029A8"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430AD564" w14:textId="16C06E40"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Pr="0056659C">
        <w:rPr>
          <w:rFonts w:asciiTheme="minorHAnsi" w:eastAsia="+mn-ea" w:hAnsiTheme="minorHAnsi" w:cstheme="minorHAnsi"/>
          <w:b/>
          <w:bCs/>
          <w:kern w:val="24"/>
          <w:szCs w:val="18"/>
          <w:lang w:val="en-US"/>
        </w:rPr>
        <w:t xml:space="preserve"> </w:t>
      </w:r>
      <w:r w:rsidR="00AE2A09">
        <w:rPr>
          <w:rFonts w:asciiTheme="minorHAnsi" w:eastAsia="+mn-ea" w:hAnsiTheme="minorHAnsi" w:cstheme="minorHAnsi"/>
          <w:b/>
          <w:bCs/>
          <w:kern w:val="24"/>
          <w:szCs w:val="18"/>
          <w:lang w:val="en-US"/>
        </w:rPr>
        <w:t>26</w:t>
      </w:r>
      <w:r w:rsidRPr="0056659C">
        <w:rPr>
          <w:rFonts w:asciiTheme="minorHAnsi" w:eastAsia="+mn-ea" w:hAnsiTheme="minorHAnsi" w:cstheme="minorHAnsi"/>
          <w:b/>
          <w:bCs/>
          <w:kern w:val="24"/>
          <w:szCs w:val="18"/>
          <w:lang w:val="en-US"/>
        </w:rPr>
        <w:t xml:space="preserve">: TREATMENT OF </w:t>
      </w:r>
      <w:r w:rsidR="002F2E41">
        <w:rPr>
          <w:rFonts w:ascii="Calibri" w:hAnsi="Calibri" w:cs="Calibri"/>
          <w:b/>
          <w:color w:val="000000"/>
          <w:szCs w:val="20"/>
        </w:rPr>
        <w:t>DRUG SENSITIVE TB</w:t>
      </w:r>
      <w:r w:rsidR="0071640E">
        <w:rPr>
          <w:rFonts w:ascii="Calibri" w:hAnsi="Calibri" w:cs="Calibri"/>
          <w:b/>
          <w:color w:val="000000"/>
          <w:szCs w:val="20"/>
        </w:rPr>
        <w:t xml:space="preserve"> </w:t>
      </w:r>
      <w:r w:rsidR="0071640E">
        <w:rPr>
          <w:rFonts w:ascii="Calibri" w:hAnsi="Calibri" w:cs="Calibri"/>
          <w:b/>
          <w:color w:val="000000"/>
          <w:szCs w:val="20"/>
        </w:rPr>
        <w:tab/>
      </w:r>
      <w:r w:rsidR="0071640E">
        <w:rPr>
          <w:rFonts w:ascii="Calibri" w:hAnsi="Calibri" w:cs="Calibri"/>
          <w:b/>
          <w:color w:val="000000"/>
          <w:szCs w:val="20"/>
        </w:rPr>
        <w:tab/>
      </w:r>
      <w:r w:rsidR="0071640E">
        <w:rPr>
          <w:rFonts w:ascii="Calibri" w:hAnsi="Calibri" w:cs="Calibri"/>
          <w:b/>
          <w:color w:val="000000"/>
          <w:szCs w:val="20"/>
        </w:rPr>
        <w:tab/>
      </w:r>
      <w:r w:rsidR="0071640E">
        <w:rPr>
          <w:rFonts w:ascii="Calibri" w:hAnsi="Calibri" w:cs="Calibri"/>
          <w:b/>
          <w:color w:val="000000"/>
          <w:szCs w:val="20"/>
        </w:rPr>
        <w:tab/>
        <w:t>125</w:t>
      </w:r>
    </w:p>
    <w:p w14:paraId="11A9427C"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25684AC4" w14:textId="2DBF2C98"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lastRenderedPageBreak/>
        <w:t>CHAPTER</w:t>
      </w:r>
      <w:r w:rsidR="00AE2A09">
        <w:rPr>
          <w:rFonts w:asciiTheme="minorHAnsi" w:eastAsia="+mn-ea" w:hAnsiTheme="minorHAnsi" w:cstheme="minorHAnsi"/>
          <w:b/>
          <w:bCs/>
          <w:kern w:val="24"/>
          <w:szCs w:val="18"/>
          <w:lang w:val="en-US"/>
        </w:rPr>
        <w:t xml:space="preserve"> 27</w:t>
      </w:r>
      <w:r w:rsidRPr="0056659C">
        <w:rPr>
          <w:rFonts w:asciiTheme="minorHAnsi" w:eastAsia="+mn-ea" w:hAnsiTheme="minorHAnsi" w:cstheme="minorHAnsi"/>
          <w:b/>
          <w:bCs/>
          <w:kern w:val="24"/>
          <w:szCs w:val="18"/>
          <w:lang w:val="en-US"/>
        </w:rPr>
        <w:t>: TREATMENT OF DRUG RESISTANT TB</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128</w:t>
      </w:r>
    </w:p>
    <w:p w14:paraId="2D091221"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5009360F" w14:textId="445CFB1A"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28</w:t>
      </w:r>
      <w:r w:rsidRPr="0056659C">
        <w:rPr>
          <w:rFonts w:asciiTheme="minorHAnsi" w:eastAsia="+mn-ea" w:hAnsiTheme="minorHAnsi" w:cstheme="minorHAnsi"/>
          <w:b/>
          <w:bCs/>
          <w:kern w:val="24"/>
          <w:szCs w:val="18"/>
          <w:lang w:val="en-US"/>
        </w:rPr>
        <w:t>: ADDRESSING TB IN PRIORITY POPULATIONS</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132</w:t>
      </w:r>
    </w:p>
    <w:p w14:paraId="0C6BAE86"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1A1312B0" w14:textId="3E19DD20"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29</w:t>
      </w:r>
      <w:r w:rsidRPr="0056659C">
        <w:rPr>
          <w:rFonts w:asciiTheme="minorHAnsi" w:eastAsia="+mn-ea" w:hAnsiTheme="minorHAnsi" w:cstheme="minorHAnsi"/>
          <w:b/>
          <w:bCs/>
          <w:kern w:val="24"/>
          <w:szCs w:val="18"/>
          <w:lang w:val="en-US"/>
        </w:rPr>
        <w:t>: PATIENT SUPPORT SYSTEMS</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140</w:t>
      </w:r>
      <w:r w:rsidRPr="0056659C">
        <w:rPr>
          <w:rFonts w:asciiTheme="minorHAnsi" w:eastAsia="+mn-ea" w:hAnsiTheme="minorHAnsi" w:cstheme="minorHAnsi"/>
          <w:b/>
          <w:bCs/>
          <w:kern w:val="24"/>
          <w:szCs w:val="18"/>
          <w:lang w:val="en-US"/>
        </w:rPr>
        <w:t xml:space="preserve"> </w:t>
      </w:r>
    </w:p>
    <w:p w14:paraId="68C0B2C4" w14:textId="77777777" w:rsidR="00A04E72" w:rsidRPr="00B2204C" w:rsidRDefault="00A04E72" w:rsidP="00A91B99">
      <w:pPr>
        <w:pStyle w:val="NormalWeb"/>
        <w:ind w:left="2160"/>
        <w:rPr>
          <w:rFonts w:asciiTheme="minorHAnsi" w:eastAsia="+mn-ea" w:hAnsiTheme="minorHAnsi" w:cstheme="minorHAnsi"/>
          <w:b/>
          <w:kern w:val="24"/>
          <w:sz w:val="4"/>
          <w:szCs w:val="2"/>
          <w:lang w:val="en-US"/>
        </w:rPr>
      </w:pPr>
      <w:r w:rsidRPr="00B2204C">
        <w:rPr>
          <w:rFonts w:asciiTheme="minorHAnsi" w:eastAsia="+mn-ea" w:hAnsiTheme="minorHAnsi" w:cstheme="minorHAnsi"/>
          <w:b/>
          <w:kern w:val="24"/>
          <w:szCs w:val="18"/>
        </w:rPr>
        <w:tab/>
      </w:r>
      <w:r w:rsidRPr="00B2204C">
        <w:rPr>
          <w:rFonts w:asciiTheme="minorHAnsi" w:eastAsia="+mn-ea" w:hAnsiTheme="minorHAnsi" w:cstheme="minorHAnsi"/>
          <w:b/>
          <w:kern w:val="24"/>
          <w:szCs w:val="18"/>
        </w:rPr>
        <w:tab/>
      </w:r>
    </w:p>
    <w:p w14:paraId="4396F852"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11C149F1" w14:textId="77777777" w:rsidR="00A04E72" w:rsidRPr="00B2204C" w:rsidRDefault="00A04E72" w:rsidP="00A91B99">
      <w:pPr>
        <w:pStyle w:val="NormalWeb"/>
        <w:shd w:val="clear" w:color="auto" w:fill="202A6B" w:themeFill="accent1" w:themeFillShade="BF"/>
        <w:ind w:left="2160"/>
        <w:rPr>
          <w:rFonts w:asciiTheme="minorHAnsi" w:eastAsia="+mn-ea" w:hAnsiTheme="minorHAnsi" w:cstheme="minorHAnsi"/>
          <w:b/>
          <w:bCs/>
          <w:color w:val="FFFFFF" w:themeColor="background1"/>
          <w:kern w:val="24"/>
          <w:sz w:val="22"/>
          <w:szCs w:val="18"/>
          <w:lang w:val="en-US"/>
        </w:rPr>
      </w:pPr>
      <w:r w:rsidRPr="00B2204C">
        <w:rPr>
          <w:rFonts w:asciiTheme="minorHAnsi" w:eastAsia="+mn-ea" w:hAnsiTheme="minorHAnsi" w:cstheme="minorHAnsi"/>
          <w:b/>
          <w:bCs/>
          <w:color w:val="FFFFFF" w:themeColor="background1"/>
          <w:kern w:val="24"/>
          <w:sz w:val="22"/>
          <w:szCs w:val="18"/>
          <w:lang w:val="en-US"/>
        </w:rPr>
        <w:t>SECTION 3</w:t>
      </w:r>
      <w:r w:rsidRPr="00B2204C">
        <w:rPr>
          <w:rFonts w:asciiTheme="minorHAnsi" w:eastAsia="+mn-ea" w:hAnsiTheme="minorHAnsi" w:cstheme="minorHAnsi"/>
          <w:b/>
          <w:bCs/>
          <w:color w:val="FFFFFF" w:themeColor="background1"/>
          <w:kern w:val="24"/>
          <w:sz w:val="22"/>
          <w:szCs w:val="18"/>
          <w:lang w:val="en-US"/>
        </w:rPr>
        <w:tab/>
      </w:r>
    </w:p>
    <w:p w14:paraId="3F3E6876"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583A3C66" w14:textId="0144F5D0" w:rsidR="00A04E72" w:rsidRPr="00B2204C" w:rsidRDefault="00A04E72" w:rsidP="0056659C">
      <w:pPr>
        <w:pStyle w:val="NormalWeb"/>
        <w:shd w:val="clear" w:color="auto" w:fill="C6D9F1" w:themeFill="text2" w:themeFillTint="33"/>
        <w:ind w:left="2160"/>
        <w:rPr>
          <w:rFonts w:asciiTheme="minorHAnsi" w:eastAsia="+mn-ea" w:hAnsiTheme="minorHAnsi" w:cstheme="minorHAnsi"/>
          <w:b/>
          <w:bCs/>
          <w:kern w:val="24"/>
          <w:szCs w:val="18"/>
          <w:lang w:val="en-US"/>
        </w:rPr>
      </w:pPr>
      <w:r w:rsidRPr="00B2204C">
        <w:rPr>
          <w:rFonts w:asciiTheme="minorHAnsi" w:eastAsia="+mn-ea" w:hAnsiTheme="minorHAnsi" w:cstheme="minorHAnsi"/>
          <w:b/>
          <w:bCs/>
          <w:kern w:val="24"/>
          <w:szCs w:val="18"/>
          <w:lang w:val="en-US"/>
        </w:rPr>
        <w:t>CHAPTER</w:t>
      </w:r>
      <w:r w:rsidR="00AE2A09">
        <w:rPr>
          <w:rFonts w:asciiTheme="minorHAnsi" w:eastAsia="+mn-ea" w:hAnsiTheme="minorHAnsi" w:cstheme="minorHAnsi"/>
          <w:b/>
          <w:bCs/>
          <w:kern w:val="24"/>
          <w:szCs w:val="18"/>
          <w:lang w:val="en-US"/>
        </w:rPr>
        <w:t xml:space="preserve"> 30</w:t>
      </w:r>
      <w:r w:rsidRPr="0056659C">
        <w:rPr>
          <w:rFonts w:asciiTheme="minorHAnsi" w:eastAsia="+mn-ea" w:hAnsiTheme="minorHAnsi" w:cstheme="minorHAnsi"/>
          <w:b/>
          <w:bCs/>
          <w:kern w:val="24"/>
          <w:szCs w:val="18"/>
          <w:lang w:val="en-US"/>
        </w:rPr>
        <w:t xml:space="preserve">: </w:t>
      </w:r>
      <w:r w:rsidRPr="00B2204C">
        <w:rPr>
          <w:rFonts w:asciiTheme="minorHAnsi" w:eastAsia="+mn-ea" w:hAnsiTheme="minorHAnsi" w:cstheme="minorHAnsi"/>
          <w:b/>
          <w:bCs/>
          <w:kern w:val="24"/>
          <w:szCs w:val="18"/>
          <w:lang w:val="en-US"/>
        </w:rPr>
        <w:t>BUDGETING AND COSTING THE NSP</w:t>
      </w:r>
      <w:r w:rsidR="0071640E">
        <w:rPr>
          <w:rFonts w:asciiTheme="minorHAnsi" w:eastAsia="+mn-ea" w:hAnsiTheme="minorHAnsi" w:cstheme="minorHAnsi"/>
          <w:b/>
          <w:bCs/>
          <w:kern w:val="24"/>
          <w:szCs w:val="18"/>
          <w:lang w:val="en-US"/>
        </w:rPr>
        <w:t xml:space="preserve"> </w:t>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r>
      <w:r w:rsidR="0071640E">
        <w:rPr>
          <w:rFonts w:asciiTheme="minorHAnsi" w:eastAsia="+mn-ea" w:hAnsiTheme="minorHAnsi" w:cstheme="minorHAnsi"/>
          <w:b/>
          <w:bCs/>
          <w:kern w:val="24"/>
          <w:szCs w:val="18"/>
          <w:lang w:val="en-US"/>
        </w:rPr>
        <w:tab/>
        <w:t>143</w:t>
      </w:r>
    </w:p>
    <w:p w14:paraId="4D2C0479" w14:textId="77777777" w:rsidR="00A04E72" w:rsidRPr="00B2204C" w:rsidRDefault="00A04E72" w:rsidP="00A91B99">
      <w:pPr>
        <w:pStyle w:val="NormalWeb"/>
        <w:ind w:left="2160"/>
        <w:rPr>
          <w:rFonts w:asciiTheme="minorHAnsi" w:eastAsia="+mn-ea" w:hAnsiTheme="minorHAnsi" w:cstheme="minorHAnsi"/>
          <w:b/>
          <w:bCs/>
          <w:kern w:val="24"/>
          <w:sz w:val="4"/>
          <w:szCs w:val="4"/>
          <w:lang w:val="en-US"/>
        </w:rPr>
      </w:pPr>
    </w:p>
    <w:p w14:paraId="12BDFF6F" w14:textId="77777777" w:rsidR="00130AA3" w:rsidRPr="00D96007" w:rsidRDefault="00130AA3" w:rsidP="00D96007">
      <w:pPr>
        <w:pStyle w:val="NormalWeb"/>
        <w:ind w:left="2160"/>
        <w:rPr>
          <w:rFonts w:asciiTheme="minorHAnsi" w:eastAsia="+mn-ea" w:hAnsiTheme="minorHAnsi" w:cstheme="minorHAnsi"/>
          <w:b/>
          <w:bCs/>
          <w:kern w:val="24"/>
          <w:sz w:val="4"/>
          <w:szCs w:val="18"/>
          <w:lang w:val="en-US"/>
        </w:rPr>
      </w:pPr>
    </w:p>
    <w:p w14:paraId="27272C3F" w14:textId="77777777" w:rsidR="00B476B5" w:rsidRDefault="00B476B5">
      <w:pPr>
        <w:spacing w:before="0" w:after="0"/>
        <w:rPr>
          <w:rFonts w:asciiTheme="minorHAnsi" w:hAnsiTheme="minorHAnsi" w:cstheme="minorHAnsi"/>
          <w:b/>
        </w:rPr>
      </w:pPr>
      <w:bookmarkStart w:id="2" w:name="_Toc2777238"/>
      <w:r>
        <w:rPr>
          <w:rFonts w:asciiTheme="minorHAnsi" w:hAnsiTheme="minorHAnsi" w:cstheme="minorHAnsi"/>
          <w:b/>
        </w:rPr>
        <w:br w:type="page"/>
      </w:r>
    </w:p>
    <w:p w14:paraId="3A33F084" w14:textId="3A71B0C4" w:rsidR="00B476B5" w:rsidRPr="001F5684" w:rsidRDefault="00B476B5" w:rsidP="00B476B5">
      <w:pPr>
        <w:pStyle w:val="Heading0"/>
        <w:shd w:val="clear" w:color="auto" w:fill="auto"/>
        <w:spacing w:after="1320"/>
        <w:ind w:right="-418"/>
        <w:jc w:val="left"/>
        <w:rPr>
          <w:rFonts w:asciiTheme="minorHAnsi" w:hAnsiTheme="minorHAnsi" w:cstheme="minorHAnsi"/>
          <w:b/>
          <w:color w:val="auto"/>
        </w:rPr>
      </w:pPr>
      <w:r>
        <w:rPr>
          <w:rFonts w:asciiTheme="minorHAnsi" w:hAnsiTheme="minorHAnsi" w:cstheme="minorHAnsi"/>
          <w:b/>
          <w:color w:val="auto"/>
        </w:rPr>
        <w:lastRenderedPageBreak/>
        <w:t>List of Tables</w:t>
      </w:r>
      <w:r w:rsidRPr="005D30D0">
        <w:rPr>
          <w:rFonts w:asciiTheme="minorHAnsi" w:hAnsiTheme="minorHAnsi" w:cstheme="minorHAnsi"/>
          <w:b/>
          <w:color w:val="auto"/>
          <w:sz w:val="144"/>
        </w:rPr>
        <w:t xml:space="preserve"> </w:t>
      </w:r>
    </w:p>
    <w:tbl>
      <w:tblPr>
        <w:tblStyle w:val="TableGrid"/>
        <w:tblW w:w="9423" w:type="dxa"/>
        <w:tblBorders>
          <w:insideV w:val="none" w:sz="0" w:space="0" w:color="auto"/>
        </w:tblBorders>
        <w:tblLook w:val="04A0" w:firstRow="1" w:lastRow="0" w:firstColumn="1" w:lastColumn="0" w:noHBand="0" w:noVBand="1"/>
      </w:tblPr>
      <w:tblGrid>
        <w:gridCol w:w="1039"/>
        <w:gridCol w:w="7431"/>
        <w:gridCol w:w="953"/>
      </w:tblGrid>
      <w:tr w:rsidR="002D26CE" w:rsidRPr="002D26CE" w14:paraId="68408335" w14:textId="77777777" w:rsidTr="00B240CD">
        <w:trPr>
          <w:cnfStyle w:val="100000000000" w:firstRow="1" w:lastRow="0" w:firstColumn="0" w:lastColumn="0" w:oddVBand="0" w:evenVBand="0" w:oddHBand="0" w:evenHBand="0" w:firstRowFirstColumn="0" w:firstRowLastColumn="0" w:lastRowFirstColumn="0" w:lastRowLastColumn="0"/>
          <w:trHeight w:val="600"/>
        </w:trPr>
        <w:tc>
          <w:tcPr>
            <w:tcW w:w="1039" w:type="dxa"/>
            <w:shd w:val="clear" w:color="auto" w:fill="17365D" w:themeFill="text2" w:themeFillShade="BF"/>
            <w:tcMar>
              <w:top w:w="14" w:type="dxa"/>
              <w:left w:w="115" w:type="dxa"/>
              <w:bottom w:w="14" w:type="dxa"/>
              <w:right w:w="115" w:type="dxa"/>
            </w:tcMar>
            <w:hideMark/>
          </w:tcPr>
          <w:p w14:paraId="5DE5944D" w14:textId="77777777" w:rsidR="00852BA1" w:rsidRPr="002D26CE" w:rsidRDefault="00852BA1" w:rsidP="002D26CE">
            <w:pPr>
              <w:spacing w:before="0" w:after="0"/>
              <w:rPr>
                <w:rFonts w:asciiTheme="minorHAnsi" w:hAnsiTheme="minorHAnsi" w:cstheme="minorHAnsi"/>
                <w:sz w:val="22"/>
              </w:rPr>
            </w:pPr>
            <w:r w:rsidRPr="002D26CE">
              <w:rPr>
                <w:rFonts w:asciiTheme="minorHAnsi" w:hAnsiTheme="minorHAnsi" w:cstheme="minorHAnsi"/>
                <w:sz w:val="22"/>
              </w:rPr>
              <w:t>Table number</w:t>
            </w:r>
          </w:p>
        </w:tc>
        <w:tc>
          <w:tcPr>
            <w:tcW w:w="7431" w:type="dxa"/>
            <w:shd w:val="clear" w:color="auto" w:fill="17365D" w:themeFill="text2" w:themeFillShade="BF"/>
            <w:tcMar>
              <w:top w:w="14" w:type="dxa"/>
              <w:left w:w="115" w:type="dxa"/>
              <w:bottom w:w="14" w:type="dxa"/>
              <w:right w:w="115" w:type="dxa"/>
            </w:tcMar>
            <w:hideMark/>
          </w:tcPr>
          <w:p w14:paraId="4B7736DF" w14:textId="77777777" w:rsidR="00852BA1" w:rsidRPr="002D26CE" w:rsidRDefault="00852BA1" w:rsidP="002D26CE">
            <w:pPr>
              <w:spacing w:before="0" w:after="0"/>
              <w:rPr>
                <w:rFonts w:asciiTheme="minorHAnsi" w:hAnsiTheme="minorHAnsi" w:cstheme="minorHAnsi"/>
                <w:sz w:val="22"/>
              </w:rPr>
            </w:pPr>
            <w:r w:rsidRPr="002D26CE">
              <w:rPr>
                <w:rFonts w:asciiTheme="minorHAnsi" w:hAnsiTheme="minorHAnsi" w:cstheme="minorHAnsi"/>
                <w:sz w:val="22"/>
              </w:rPr>
              <w:t>Description</w:t>
            </w:r>
          </w:p>
        </w:tc>
        <w:tc>
          <w:tcPr>
            <w:tcW w:w="953" w:type="dxa"/>
            <w:shd w:val="clear" w:color="auto" w:fill="17365D" w:themeFill="text2" w:themeFillShade="BF"/>
            <w:tcMar>
              <w:top w:w="14" w:type="dxa"/>
              <w:left w:w="115" w:type="dxa"/>
              <w:bottom w:w="14" w:type="dxa"/>
              <w:right w:w="115" w:type="dxa"/>
            </w:tcMar>
            <w:hideMark/>
          </w:tcPr>
          <w:p w14:paraId="3780EE3E" w14:textId="77777777" w:rsidR="00852BA1" w:rsidRPr="002D26CE" w:rsidRDefault="00852BA1" w:rsidP="002D26CE">
            <w:pPr>
              <w:spacing w:before="0" w:after="0"/>
              <w:rPr>
                <w:rFonts w:asciiTheme="minorHAnsi" w:hAnsiTheme="minorHAnsi" w:cstheme="minorHAnsi"/>
                <w:sz w:val="22"/>
              </w:rPr>
            </w:pPr>
            <w:r w:rsidRPr="002D26CE">
              <w:rPr>
                <w:rFonts w:asciiTheme="minorHAnsi" w:hAnsiTheme="minorHAnsi" w:cstheme="minorHAnsi"/>
                <w:sz w:val="22"/>
              </w:rPr>
              <w:t>Page number</w:t>
            </w:r>
          </w:p>
        </w:tc>
      </w:tr>
      <w:tr w:rsidR="00B240CD" w:rsidRPr="00852BA1" w14:paraId="6D29CA9A" w14:textId="77777777" w:rsidTr="00B240CD">
        <w:trPr>
          <w:trHeight w:val="300"/>
        </w:trPr>
        <w:tc>
          <w:tcPr>
            <w:tcW w:w="1039" w:type="dxa"/>
            <w:tcMar>
              <w:top w:w="14" w:type="dxa"/>
              <w:left w:w="115" w:type="dxa"/>
              <w:bottom w:w="14" w:type="dxa"/>
              <w:right w:w="115" w:type="dxa"/>
            </w:tcMar>
            <w:hideMark/>
          </w:tcPr>
          <w:p w14:paraId="0DF67B6C"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w:t>
            </w:r>
          </w:p>
        </w:tc>
        <w:tc>
          <w:tcPr>
            <w:tcW w:w="7431" w:type="dxa"/>
            <w:tcMar>
              <w:top w:w="14" w:type="dxa"/>
              <w:left w:w="115" w:type="dxa"/>
              <w:bottom w:w="14" w:type="dxa"/>
              <w:right w:w="115" w:type="dxa"/>
            </w:tcMar>
            <w:hideMark/>
          </w:tcPr>
          <w:p w14:paraId="43E998AE"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Strategic Framework to END TB in India</w:t>
            </w:r>
          </w:p>
        </w:tc>
        <w:tc>
          <w:tcPr>
            <w:tcW w:w="953" w:type="dxa"/>
            <w:tcMar>
              <w:top w:w="14" w:type="dxa"/>
              <w:left w:w="115" w:type="dxa"/>
              <w:bottom w:w="14" w:type="dxa"/>
              <w:right w:w="115" w:type="dxa"/>
            </w:tcMar>
            <w:hideMark/>
          </w:tcPr>
          <w:p w14:paraId="739318C2" w14:textId="353AAC53" w:rsidR="00B240CD" w:rsidRPr="004F6D4B" w:rsidRDefault="00B240CD" w:rsidP="00B240CD">
            <w:pPr>
              <w:spacing w:before="0" w:after="0"/>
              <w:rPr>
                <w:rFonts w:asciiTheme="minorHAnsi" w:hAnsiTheme="minorHAnsi" w:cstheme="minorHAnsi"/>
                <w:b/>
                <w:sz w:val="24"/>
              </w:rPr>
            </w:pPr>
            <w:r>
              <w:rPr>
                <w:rFonts w:asciiTheme="minorHAnsi" w:hAnsiTheme="minorHAnsi" w:cstheme="minorHAnsi"/>
                <w:b/>
              </w:rPr>
              <w:t>2</w:t>
            </w:r>
          </w:p>
        </w:tc>
      </w:tr>
      <w:tr w:rsidR="00B240CD" w:rsidRPr="00852BA1" w14:paraId="7AFFDB8C" w14:textId="77777777" w:rsidTr="00B240CD">
        <w:trPr>
          <w:trHeight w:val="300"/>
        </w:trPr>
        <w:tc>
          <w:tcPr>
            <w:tcW w:w="1039" w:type="dxa"/>
            <w:tcMar>
              <w:top w:w="14" w:type="dxa"/>
              <w:left w:w="115" w:type="dxa"/>
              <w:bottom w:w="14" w:type="dxa"/>
              <w:right w:w="115" w:type="dxa"/>
            </w:tcMar>
            <w:hideMark/>
          </w:tcPr>
          <w:p w14:paraId="774E6729"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2</w:t>
            </w:r>
          </w:p>
        </w:tc>
        <w:tc>
          <w:tcPr>
            <w:tcW w:w="7431" w:type="dxa"/>
            <w:tcMar>
              <w:top w:w="14" w:type="dxa"/>
              <w:left w:w="115" w:type="dxa"/>
              <w:bottom w:w="14" w:type="dxa"/>
              <w:right w:w="115" w:type="dxa"/>
            </w:tcMar>
            <w:hideMark/>
          </w:tcPr>
          <w:p w14:paraId="15D87B6B"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UNHLM Targets India</w:t>
            </w:r>
          </w:p>
        </w:tc>
        <w:tc>
          <w:tcPr>
            <w:tcW w:w="953" w:type="dxa"/>
            <w:tcMar>
              <w:top w:w="14" w:type="dxa"/>
              <w:left w:w="115" w:type="dxa"/>
              <w:bottom w:w="14" w:type="dxa"/>
              <w:right w:w="115" w:type="dxa"/>
            </w:tcMar>
            <w:hideMark/>
          </w:tcPr>
          <w:p w14:paraId="2D038486" w14:textId="221AABE8" w:rsidR="00B240CD" w:rsidRPr="00852BA1" w:rsidRDefault="00B240CD" w:rsidP="00B240CD">
            <w:pPr>
              <w:spacing w:before="0" w:after="0"/>
              <w:rPr>
                <w:rFonts w:asciiTheme="minorHAnsi" w:hAnsiTheme="minorHAnsi" w:cstheme="minorHAnsi"/>
                <w:b/>
              </w:rPr>
            </w:pPr>
            <w:r>
              <w:rPr>
                <w:rFonts w:asciiTheme="minorHAnsi" w:hAnsiTheme="minorHAnsi" w:cstheme="minorHAnsi"/>
                <w:b/>
              </w:rPr>
              <w:t>8</w:t>
            </w:r>
          </w:p>
        </w:tc>
      </w:tr>
      <w:tr w:rsidR="00B240CD" w:rsidRPr="00852BA1" w14:paraId="1057ECDB" w14:textId="77777777" w:rsidTr="00B240CD">
        <w:trPr>
          <w:trHeight w:val="300"/>
        </w:trPr>
        <w:tc>
          <w:tcPr>
            <w:tcW w:w="1039" w:type="dxa"/>
            <w:tcMar>
              <w:top w:w="14" w:type="dxa"/>
              <w:left w:w="115" w:type="dxa"/>
              <w:bottom w:w="14" w:type="dxa"/>
              <w:right w:w="115" w:type="dxa"/>
            </w:tcMar>
            <w:hideMark/>
          </w:tcPr>
          <w:p w14:paraId="44968604"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3</w:t>
            </w:r>
          </w:p>
        </w:tc>
        <w:tc>
          <w:tcPr>
            <w:tcW w:w="7431" w:type="dxa"/>
            <w:tcMar>
              <w:top w:w="14" w:type="dxa"/>
              <w:left w:w="115" w:type="dxa"/>
              <w:bottom w:w="14" w:type="dxa"/>
              <w:right w:w="115" w:type="dxa"/>
            </w:tcMar>
            <w:hideMark/>
          </w:tcPr>
          <w:p w14:paraId="5DA0208B"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Development Indicators: India</w:t>
            </w:r>
          </w:p>
        </w:tc>
        <w:tc>
          <w:tcPr>
            <w:tcW w:w="953" w:type="dxa"/>
            <w:tcMar>
              <w:top w:w="14" w:type="dxa"/>
              <w:left w:w="115" w:type="dxa"/>
              <w:bottom w:w="14" w:type="dxa"/>
              <w:right w:w="115" w:type="dxa"/>
            </w:tcMar>
            <w:hideMark/>
          </w:tcPr>
          <w:p w14:paraId="630D4D36" w14:textId="1766126E" w:rsidR="00B240CD" w:rsidRPr="00852BA1" w:rsidRDefault="00B240CD" w:rsidP="00B240CD">
            <w:pPr>
              <w:spacing w:before="0" w:after="0"/>
              <w:rPr>
                <w:rFonts w:asciiTheme="minorHAnsi" w:hAnsiTheme="minorHAnsi" w:cstheme="minorHAnsi"/>
                <w:b/>
              </w:rPr>
            </w:pPr>
            <w:r>
              <w:rPr>
                <w:rFonts w:asciiTheme="minorHAnsi" w:hAnsiTheme="minorHAnsi" w:cstheme="minorHAnsi"/>
                <w:b/>
              </w:rPr>
              <w:t>11</w:t>
            </w:r>
          </w:p>
        </w:tc>
      </w:tr>
      <w:tr w:rsidR="00B240CD" w:rsidRPr="00852BA1" w14:paraId="2CAAB707" w14:textId="77777777" w:rsidTr="00B240CD">
        <w:trPr>
          <w:trHeight w:val="218"/>
        </w:trPr>
        <w:tc>
          <w:tcPr>
            <w:tcW w:w="1039" w:type="dxa"/>
            <w:tcMar>
              <w:top w:w="14" w:type="dxa"/>
              <w:left w:w="115" w:type="dxa"/>
              <w:bottom w:w="14" w:type="dxa"/>
              <w:right w:w="115" w:type="dxa"/>
            </w:tcMar>
            <w:hideMark/>
          </w:tcPr>
          <w:p w14:paraId="1826580A"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4</w:t>
            </w:r>
          </w:p>
        </w:tc>
        <w:tc>
          <w:tcPr>
            <w:tcW w:w="7431" w:type="dxa"/>
            <w:tcMar>
              <w:top w:w="14" w:type="dxa"/>
              <w:left w:w="115" w:type="dxa"/>
              <w:bottom w:w="14" w:type="dxa"/>
              <w:right w:w="115" w:type="dxa"/>
            </w:tcMar>
            <w:hideMark/>
          </w:tcPr>
          <w:p w14:paraId="120C403E"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Subnational prevalence survey estimates, and prevalence to notification ratio</w:t>
            </w:r>
          </w:p>
        </w:tc>
        <w:tc>
          <w:tcPr>
            <w:tcW w:w="953" w:type="dxa"/>
            <w:tcMar>
              <w:top w:w="14" w:type="dxa"/>
              <w:left w:w="115" w:type="dxa"/>
              <w:bottom w:w="14" w:type="dxa"/>
              <w:right w:w="115" w:type="dxa"/>
            </w:tcMar>
            <w:hideMark/>
          </w:tcPr>
          <w:p w14:paraId="7B093E5F" w14:textId="74253814" w:rsidR="00B240CD" w:rsidRPr="00852BA1" w:rsidRDefault="00B240CD" w:rsidP="00B240CD">
            <w:pPr>
              <w:spacing w:before="0" w:after="0"/>
              <w:rPr>
                <w:rFonts w:asciiTheme="minorHAnsi" w:hAnsiTheme="minorHAnsi" w:cstheme="minorHAnsi"/>
                <w:b/>
              </w:rPr>
            </w:pPr>
            <w:r>
              <w:rPr>
                <w:rFonts w:asciiTheme="minorHAnsi" w:hAnsiTheme="minorHAnsi" w:cstheme="minorHAnsi"/>
                <w:b/>
              </w:rPr>
              <w:t>26</w:t>
            </w:r>
          </w:p>
        </w:tc>
      </w:tr>
      <w:tr w:rsidR="00B240CD" w:rsidRPr="00852BA1" w14:paraId="1FBDF9BE" w14:textId="77777777" w:rsidTr="00B240CD">
        <w:trPr>
          <w:trHeight w:val="300"/>
        </w:trPr>
        <w:tc>
          <w:tcPr>
            <w:tcW w:w="1039" w:type="dxa"/>
            <w:tcMar>
              <w:top w:w="14" w:type="dxa"/>
              <w:left w:w="115" w:type="dxa"/>
              <w:bottom w:w="14" w:type="dxa"/>
              <w:right w:w="115" w:type="dxa"/>
            </w:tcMar>
            <w:hideMark/>
          </w:tcPr>
          <w:p w14:paraId="2C3C4C67"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5</w:t>
            </w:r>
          </w:p>
        </w:tc>
        <w:tc>
          <w:tcPr>
            <w:tcW w:w="7431" w:type="dxa"/>
            <w:tcMar>
              <w:top w:w="14" w:type="dxa"/>
              <w:left w:w="115" w:type="dxa"/>
              <w:bottom w:w="14" w:type="dxa"/>
              <w:right w:w="115" w:type="dxa"/>
            </w:tcMar>
            <w:hideMark/>
          </w:tcPr>
          <w:p w14:paraId="204BE27D"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SWOT analysis of NTEP</w:t>
            </w:r>
          </w:p>
        </w:tc>
        <w:tc>
          <w:tcPr>
            <w:tcW w:w="953" w:type="dxa"/>
            <w:tcMar>
              <w:top w:w="14" w:type="dxa"/>
              <w:left w:w="115" w:type="dxa"/>
              <w:bottom w:w="14" w:type="dxa"/>
              <w:right w:w="115" w:type="dxa"/>
            </w:tcMar>
            <w:hideMark/>
          </w:tcPr>
          <w:p w14:paraId="1A3C8B70" w14:textId="4159BF5C" w:rsidR="00B240CD" w:rsidRPr="00852BA1" w:rsidRDefault="00B240CD" w:rsidP="00B240CD">
            <w:pPr>
              <w:spacing w:before="0" w:after="0"/>
              <w:rPr>
                <w:rFonts w:asciiTheme="minorHAnsi" w:hAnsiTheme="minorHAnsi" w:cstheme="minorHAnsi"/>
                <w:b/>
              </w:rPr>
            </w:pPr>
            <w:r>
              <w:rPr>
                <w:rFonts w:asciiTheme="minorHAnsi" w:hAnsiTheme="minorHAnsi" w:cstheme="minorHAnsi"/>
                <w:b/>
              </w:rPr>
              <w:t>31</w:t>
            </w:r>
          </w:p>
        </w:tc>
      </w:tr>
      <w:tr w:rsidR="00B240CD" w:rsidRPr="00852BA1" w14:paraId="66CC45F9" w14:textId="77777777" w:rsidTr="00B240CD">
        <w:trPr>
          <w:trHeight w:val="300"/>
        </w:trPr>
        <w:tc>
          <w:tcPr>
            <w:tcW w:w="1039" w:type="dxa"/>
            <w:tcMar>
              <w:top w:w="14" w:type="dxa"/>
              <w:left w:w="115" w:type="dxa"/>
              <w:bottom w:w="14" w:type="dxa"/>
              <w:right w:w="115" w:type="dxa"/>
            </w:tcMar>
            <w:hideMark/>
          </w:tcPr>
          <w:p w14:paraId="5622AE63"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6</w:t>
            </w:r>
          </w:p>
        </w:tc>
        <w:tc>
          <w:tcPr>
            <w:tcW w:w="7431" w:type="dxa"/>
            <w:tcMar>
              <w:top w:w="14" w:type="dxa"/>
              <w:left w:w="115" w:type="dxa"/>
              <w:bottom w:w="14" w:type="dxa"/>
              <w:right w:w="115" w:type="dxa"/>
            </w:tcMar>
            <w:hideMark/>
          </w:tcPr>
          <w:p w14:paraId="0B88E6EE"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 xml:space="preserve">Impact indicators based on the modelling scenarios </w:t>
            </w:r>
          </w:p>
        </w:tc>
        <w:tc>
          <w:tcPr>
            <w:tcW w:w="953" w:type="dxa"/>
            <w:tcMar>
              <w:top w:w="14" w:type="dxa"/>
              <w:left w:w="115" w:type="dxa"/>
              <w:bottom w:w="14" w:type="dxa"/>
              <w:right w:w="115" w:type="dxa"/>
            </w:tcMar>
            <w:hideMark/>
          </w:tcPr>
          <w:p w14:paraId="1E0FFF92" w14:textId="7C1C56BD" w:rsidR="00B240CD" w:rsidRPr="00852BA1" w:rsidRDefault="00B240CD" w:rsidP="00B240CD">
            <w:pPr>
              <w:spacing w:before="0" w:after="0"/>
              <w:rPr>
                <w:rFonts w:asciiTheme="minorHAnsi" w:hAnsiTheme="minorHAnsi" w:cstheme="minorHAnsi"/>
                <w:b/>
              </w:rPr>
            </w:pPr>
            <w:r>
              <w:rPr>
                <w:rFonts w:asciiTheme="minorHAnsi" w:hAnsiTheme="minorHAnsi" w:cstheme="minorHAnsi"/>
                <w:b/>
              </w:rPr>
              <w:t>35</w:t>
            </w:r>
          </w:p>
        </w:tc>
      </w:tr>
      <w:tr w:rsidR="00B240CD" w:rsidRPr="00852BA1" w14:paraId="49261BC1" w14:textId="77777777" w:rsidTr="00B240CD">
        <w:trPr>
          <w:trHeight w:val="300"/>
        </w:trPr>
        <w:tc>
          <w:tcPr>
            <w:tcW w:w="1039" w:type="dxa"/>
            <w:tcMar>
              <w:top w:w="14" w:type="dxa"/>
              <w:left w:w="115" w:type="dxa"/>
              <w:bottom w:w="14" w:type="dxa"/>
              <w:right w:w="115" w:type="dxa"/>
            </w:tcMar>
            <w:hideMark/>
          </w:tcPr>
          <w:p w14:paraId="45A55BAA"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7</w:t>
            </w:r>
          </w:p>
        </w:tc>
        <w:tc>
          <w:tcPr>
            <w:tcW w:w="7431" w:type="dxa"/>
            <w:tcMar>
              <w:top w:w="14" w:type="dxa"/>
              <w:left w:w="115" w:type="dxa"/>
              <w:bottom w:w="14" w:type="dxa"/>
              <w:right w:w="115" w:type="dxa"/>
            </w:tcMar>
            <w:hideMark/>
          </w:tcPr>
          <w:p w14:paraId="73BA6C69" w14:textId="193F587A"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Output and Outcome indicators based on the modelling scenarios</w:t>
            </w:r>
          </w:p>
        </w:tc>
        <w:tc>
          <w:tcPr>
            <w:tcW w:w="953" w:type="dxa"/>
            <w:tcMar>
              <w:top w:w="14" w:type="dxa"/>
              <w:left w:w="115" w:type="dxa"/>
              <w:bottom w:w="14" w:type="dxa"/>
              <w:right w:w="115" w:type="dxa"/>
            </w:tcMar>
            <w:hideMark/>
          </w:tcPr>
          <w:p w14:paraId="51DDE850" w14:textId="23006146" w:rsidR="00B240CD" w:rsidRPr="00852BA1" w:rsidRDefault="00B240CD" w:rsidP="00B240CD">
            <w:pPr>
              <w:spacing w:before="0" w:after="0"/>
              <w:rPr>
                <w:rFonts w:asciiTheme="minorHAnsi" w:hAnsiTheme="minorHAnsi" w:cstheme="minorHAnsi"/>
                <w:b/>
              </w:rPr>
            </w:pPr>
            <w:r>
              <w:rPr>
                <w:rFonts w:asciiTheme="minorHAnsi" w:hAnsiTheme="minorHAnsi" w:cstheme="minorHAnsi"/>
                <w:b/>
              </w:rPr>
              <w:t>35</w:t>
            </w:r>
          </w:p>
        </w:tc>
      </w:tr>
      <w:tr w:rsidR="00B240CD" w:rsidRPr="00852BA1" w14:paraId="10DF24CB" w14:textId="77777777" w:rsidTr="00B240CD">
        <w:trPr>
          <w:trHeight w:val="300"/>
        </w:trPr>
        <w:tc>
          <w:tcPr>
            <w:tcW w:w="1039" w:type="dxa"/>
            <w:tcMar>
              <w:top w:w="14" w:type="dxa"/>
              <w:left w:w="115" w:type="dxa"/>
              <w:bottom w:w="14" w:type="dxa"/>
              <w:right w:w="115" w:type="dxa"/>
            </w:tcMar>
            <w:hideMark/>
          </w:tcPr>
          <w:p w14:paraId="56039B05"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8</w:t>
            </w:r>
          </w:p>
        </w:tc>
        <w:tc>
          <w:tcPr>
            <w:tcW w:w="7431" w:type="dxa"/>
            <w:noWrap/>
            <w:tcMar>
              <w:top w:w="14" w:type="dxa"/>
              <w:left w:w="115" w:type="dxa"/>
              <w:bottom w:w="14" w:type="dxa"/>
              <w:right w:w="115" w:type="dxa"/>
            </w:tcMar>
            <w:hideMark/>
          </w:tcPr>
          <w:p w14:paraId="635EFBD6"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 xml:space="preserve">Pillars, Objectives, Strategic area and Interventions in the NSP 2021-25 </w:t>
            </w:r>
          </w:p>
        </w:tc>
        <w:tc>
          <w:tcPr>
            <w:tcW w:w="953" w:type="dxa"/>
            <w:tcMar>
              <w:top w:w="14" w:type="dxa"/>
              <w:left w:w="115" w:type="dxa"/>
              <w:bottom w:w="14" w:type="dxa"/>
              <w:right w:w="115" w:type="dxa"/>
            </w:tcMar>
            <w:hideMark/>
          </w:tcPr>
          <w:p w14:paraId="4DF02598" w14:textId="0779B9E0" w:rsidR="00B240CD" w:rsidRPr="00852BA1" w:rsidRDefault="00B240CD" w:rsidP="00B240CD">
            <w:pPr>
              <w:spacing w:before="0" w:after="0"/>
              <w:rPr>
                <w:rFonts w:asciiTheme="minorHAnsi" w:hAnsiTheme="minorHAnsi" w:cstheme="minorHAnsi"/>
                <w:b/>
              </w:rPr>
            </w:pPr>
            <w:r>
              <w:rPr>
                <w:rFonts w:asciiTheme="minorHAnsi" w:hAnsiTheme="minorHAnsi" w:cstheme="minorHAnsi"/>
                <w:b/>
              </w:rPr>
              <w:t>38</w:t>
            </w:r>
          </w:p>
        </w:tc>
      </w:tr>
      <w:tr w:rsidR="00B240CD" w:rsidRPr="00852BA1" w14:paraId="51286831" w14:textId="77777777" w:rsidTr="00B240CD">
        <w:trPr>
          <w:trHeight w:val="300"/>
        </w:trPr>
        <w:tc>
          <w:tcPr>
            <w:tcW w:w="1039" w:type="dxa"/>
            <w:tcMar>
              <w:top w:w="14" w:type="dxa"/>
              <w:left w:w="115" w:type="dxa"/>
              <w:bottom w:w="14" w:type="dxa"/>
              <w:right w:w="115" w:type="dxa"/>
            </w:tcMar>
            <w:hideMark/>
          </w:tcPr>
          <w:p w14:paraId="5B933ACA"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9</w:t>
            </w:r>
          </w:p>
        </w:tc>
        <w:tc>
          <w:tcPr>
            <w:tcW w:w="7431" w:type="dxa"/>
            <w:tcMar>
              <w:top w:w="14" w:type="dxa"/>
              <w:left w:w="115" w:type="dxa"/>
              <w:bottom w:w="14" w:type="dxa"/>
              <w:right w:w="115" w:type="dxa"/>
            </w:tcMar>
            <w:hideMark/>
          </w:tcPr>
          <w:p w14:paraId="3A433651"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Key indicators for the priority programmatic areas and the targets: NSP 2020-25 India</w:t>
            </w:r>
          </w:p>
        </w:tc>
        <w:tc>
          <w:tcPr>
            <w:tcW w:w="953" w:type="dxa"/>
            <w:tcMar>
              <w:top w:w="14" w:type="dxa"/>
              <w:left w:w="115" w:type="dxa"/>
              <w:bottom w:w="14" w:type="dxa"/>
              <w:right w:w="115" w:type="dxa"/>
            </w:tcMar>
            <w:hideMark/>
          </w:tcPr>
          <w:p w14:paraId="3F87A096" w14:textId="1EFBB22F" w:rsidR="00B240CD" w:rsidRPr="00852BA1" w:rsidRDefault="00B240CD" w:rsidP="00B240CD">
            <w:pPr>
              <w:spacing w:before="0" w:after="0"/>
              <w:rPr>
                <w:rFonts w:asciiTheme="minorHAnsi" w:hAnsiTheme="minorHAnsi" w:cstheme="minorHAnsi"/>
                <w:b/>
              </w:rPr>
            </w:pPr>
            <w:r>
              <w:rPr>
                <w:rFonts w:asciiTheme="minorHAnsi" w:hAnsiTheme="minorHAnsi" w:cstheme="minorHAnsi"/>
                <w:b/>
              </w:rPr>
              <w:t>43</w:t>
            </w:r>
          </w:p>
        </w:tc>
      </w:tr>
      <w:tr w:rsidR="00B240CD" w:rsidRPr="00852BA1" w14:paraId="24813151" w14:textId="77777777" w:rsidTr="00B240CD">
        <w:trPr>
          <w:trHeight w:val="263"/>
        </w:trPr>
        <w:tc>
          <w:tcPr>
            <w:tcW w:w="1039" w:type="dxa"/>
            <w:tcMar>
              <w:top w:w="14" w:type="dxa"/>
              <w:left w:w="115" w:type="dxa"/>
              <w:bottom w:w="14" w:type="dxa"/>
              <w:right w:w="115" w:type="dxa"/>
            </w:tcMar>
            <w:hideMark/>
          </w:tcPr>
          <w:p w14:paraId="16320781"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10</w:t>
            </w:r>
          </w:p>
        </w:tc>
        <w:tc>
          <w:tcPr>
            <w:tcW w:w="7431" w:type="dxa"/>
            <w:noWrap/>
            <w:tcMar>
              <w:top w:w="14" w:type="dxa"/>
              <w:left w:w="115" w:type="dxa"/>
              <w:bottom w:w="14" w:type="dxa"/>
              <w:right w:w="115" w:type="dxa"/>
            </w:tcMar>
            <w:hideMark/>
          </w:tcPr>
          <w:p w14:paraId="1856A254"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Sub-National Certification of Disease Free Status</w:t>
            </w:r>
          </w:p>
        </w:tc>
        <w:tc>
          <w:tcPr>
            <w:tcW w:w="953" w:type="dxa"/>
            <w:tcMar>
              <w:top w:w="14" w:type="dxa"/>
              <w:left w:w="115" w:type="dxa"/>
              <w:bottom w:w="14" w:type="dxa"/>
              <w:right w:w="115" w:type="dxa"/>
            </w:tcMar>
            <w:hideMark/>
          </w:tcPr>
          <w:p w14:paraId="4E9E2869" w14:textId="5764AE89" w:rsidR="00B240CD" w:rsidRPr="00852BA1" w:rsidRDefault="00B240CD" w:rsidP="00B240CD">
            <w:pPr>
              <w:spacing w:before="0" w:after="0"/>
              <w:rPr>
                <w:rFonts w:asciiTheme="minorHAnsi" w:hAnsiTheme="minorHAnsi" w:cstheme="minorHAnsi"/>
                <w:b/>
              </w:rPr>
            </w:pPr>
            <w:r>
              <w:rPr>
                <w:rFonts w:asciiTheme="minorHAnsi" w:hAnsiTheme="minorHAnsi" w:cstheme="minorHAnsi"/>
                <w:b/>
              </w:rPr>
              <w:t>56</w:t>
            </w:r>
          </w:p>
        </w:tc>
      </w:tr>
      <w:tr w:rsidR="00B240CD" w:rsidRPr="00852BA1" w14:paraId="6C673AA1" w14:textId="77777777" w:rsidTr="00B240CD">
        <w:trPr>
          <w:trHeight w:val="300"/>
        </w:trPr>
        <w:tc>
          <w:tcPr>
            <w:tcW w:w="1039" w:type="dxa"/>
            <w:tcMar>
              <w:top w:w="14" w:type="dxa"/>
              <w:left w:w="115" w:type="dxa"/>
              <w:bottom w:w="14" w:type="dxa"/>
              <w:right w:w="115" w:type="dxa"/>
            </w:tcMar>
            <w:hideMark/>
          </w:tcPr>
          <w:p w14:paraId="0B4DBCDB"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11</w:t>
            </w:r>
          </w:p>
        </w:tc>
        <w:tc>
          <w:tcPr>
            <w:tcW w:w="7431" w:type="dxa"/>
            <w:noWrap/>
            <w:tcMar>
              <w:top w:w="14" w:type="dxa"/>
              <w:left w:w="115" w:type="dxa"/>
              <w:bottom w:w="14" w:type="dxa"/>
              <w:right w:w="115" w:type="dxa"/>
            </w:tcMar>
            <w:hideMark/>
          </w:tcPr>
          <w:p w14:paraId="4052DB86"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Awards on achieving milestones of disease free status</w:t>
            </w:r>
          </w:p>
        </w:tc>
        <w:tc>
          <w:tcPr>
            <w:tcW w:w="953" w:type="dxa"/>
            <w:tcMar>
              <w:top w:w="14" w:type="dxa"/>
              <w:left w:w="115" w:type="dxa"/>
              <w:bottom w:w="14" w:type="dxa"/>
              <w:right w:w="115" w:type="dxa"/>
            </w:tcMar>
            <w:hideMark/>
          </w:tcPr>
          <w:p w14:paraId="45BC85D6" w14:textId="2FFEE3E7" w:rsidR="00B240CD" w:rsidRPr="00852BA1" w:rsidRDefault="00B240CD" w:rsidP="00B240CD">
            <w:pPr>
              <w:spacing w:before="0" w:after="0"/>
              <w:rPr>
                <w:rFonts w:asciiTheme="minorHAnsi" w:hAnsiTheme="minorHAnsi" w:cstheme="minorHAnsi"/>
                <w:b/>
              </w:rPr>
            </w:pPr>
            <w:r>
              <w:rPr>
                <w:rFonts w:asciiTheme="minorHAnsi" w:hAnsiTheme="minorHAnsi" w:cstheme="minorHAnsi"/>
                <w:b/>
              </w:rPr>
              <w:t>56</w:t>
            </w:r>
          </w:p>
        </w:tc>
      </w:tr>
      <w:tr w:rsidR="00B240CD" w:rsidRPr="00852BA1" w14:paraId="52C6D7BF" w14:textId="77777777" w:rsidTr="00B240CD">
        <w:trPr>
          <w:trHeight w:val="300"/>
        </w:trPr>
        <w:tc>
          <w:tcPr>
            <w:tcW w:w="1039" w:type="dxa"/>
            <w:tcMar>
              <w:top w:w="14" w:type="dxa"/>
              <w:left w:w="115" w:type="dxa"/>
              <w:bottom w:w="14" w:type="dxa"/>
              <w:right w:w="115" w:type="dxa"/>
            </w:tcMar>
            <w:hideMark/>
          </w:tcPr>
          <w:p w14:paraId="4F41352A"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12</w:t>
            </w:r>
          </w:p>
        </w:tc>
        <w:tc>
          <w:tcPr>
            <w:tcW w:w="7431" w:type="dxa"/>
            <w:noWrap/>
            <w:tcMar>
              <w:top w:w="14" w:type="dxa"/>
              <w:left w:w="115" w:type="dxa"/>
              <w:bottom w:w="14" w:type="dxa"/>
              <w:right w:w="115" w:type="dxa"/>
            </w:tcMar>
            <w:hideMark/>
          </w:tcPr>
          <w:p w14:paraId="13A15DB5"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Models for NTEP - private sector partnership</w:t>
            </w:r>
          </w:p>
        </w:tc>
        <w:tc>
          <w:tcPr>
            <w:tcW w:w="953" w:type="dxa"/>
            <w:tcMar>
              <w:top w:w="14" w:type="dxa"/>
              <w:left w:w="115" w:type="dxa"/>
              <w:bottom w:w="14" w:type="dxa"/>
              <w:right w:w="115" w:type="dxa"/>
            </w:tcMar>
            <w:hideMark/>
          </w:tcPr>
          <w:p w14:paraId="3094AD3D" w14:textId="41A0F073" w:rsidR="00B240CD" w:rsidRPr="00852BA1" w:rsidRDefault="00B240CD" w:rsidP="00B240CD">
            <w:pPr>
              <w:spacing w:before="0" w:after="0"/>
              <w:rPr>
                <w:rFonts w:asciiTheme="minorHAnsi" w:hAnsiTheme="minorHAnsi" w:cstheme="minorHAnsi"/>
                <w:b/>
              </w:rPr>
            </w:pPr>
            <w:r>
              <w:rPr>
                <w:rFonts w:asciiTheme="minorHAnsi" w:hAnsiTheme="minorHAnsi" w:cstheme="minorHAnsi"/>
                <w:b/>
              </w:rPr>
              <w:t>67</w:t>
            </w:r>
          </w:p>
        </w:tc>
      </w:tr>
      <w:tr w:rsidR="00B240CD" w:rsidRPr="00852BA1" w14:paraId="57733F63" w14:textId="77777777" w:rsidTr="00B240CD">
        <w:trPr>
          <w:trHeight w:val="300"/>
        </w:trPr>
        <w:tc>
          <w:tcPr>
            <w:tcW w:w="1039" w:type="dxa"/>
            <w:tcMar>
              <w:top w:w="14" w:type="dxa"/>
              <w:left w:w="115" w:type="dxa"/>
              <w:bottom w:w="14" w:type="dxa"/>
              <w:right w:w="115" w:type="dxa"/>
            </w:tcMar>
            <w:hideMark/>
          </w:tcPr>
          <w:p w14:paraId="314FAB61"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13</w:t>
            </w:r>
          </w:p>
        </w:tc>
        <w:tc>
          <w:tcPr>
            <w:tcW w:w="7431" w:type="dxa"/>
            <w:noWrap/>
            <w:tcMar>
              <w:top w:w="14" w:type="dxa"/>
              <w:left w:w="115" w:type="dxa"/>
              <w:bottom w:w="14" w:type="dxa"/>
              <w:right w:w="115" w:type="dxa"/>
            </w:tcMar>
            <w:hideMark/>
          </w:tcPr>
          <w:p w14:paraId="586E7EC7"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An illustrative list of B6sources for funding research).</w:t>
            </w:r>
          </w:p>
        </w:tc>
        <w:tc>
          <w:tcPr>
            <w:tcW w:w="953" w:type="dxa"/>
            <w:tcMar>
              <w:top w:w="14" w:type="dxa"/>
              <w:left w:w="115" w:type="dxa"/>
              <w:bottom w:w="14" w:type="dxa"/>
              <w:right w:w="115" w:type="dxa"/>
            </w:tcMar>
            <w:hideMark/>
          </w:tcPr>
          <w:p w14:paraId="220290A1" w14:textId="5457F499" w:rsidR="00B240CD" w:rsidRPr="00852BA1" w:rsidRDefault="00B240CD" w:rsidP="00B240CD">
            <w:pPr>
              <w:spacing w:before="0" w:after="0"/>
              <w:rPr>
                <w:rFonts w:asciiTheme="minorHAnsi" w:hAnsiTheme="minorHAnsi" w:cstheme="minorHAnsi"/>
                <w:b/>
              </w:rPr>
            </w:pPr>
            <w:r>
              <w:rPr>
                <w:rFonts w:asciiTheme="minorHAnsi" w:hAnsiTheme="minorHAnsi" w:cstheme="minorHAnsi"/>
                <w:b/>
              </w:rPr>
              <w:t>84</w:t>
            </w:r>
          </w:p>
        </w:tc>
      </w:tr>
      <w:tr w:rsidR="00B240CD" w:rsidRPr="00852BA1" w14:paraId="7523D545" w14:textId="77777777" w:rsidTr="00B240CD">
        <w:trPr>
          <w:trHeight w:val="300"/>
        </w:trPr>
        <w:tc>
          <w:tcPr>
            <w:tcW w:w="1039" w:type="dxa"/>
            <w:tcMar>
              <w:top w:w="14" w:type="dxa"/>
              <w:left w:w="115" w:type="dxa"/>
              <w:bottom w:w="14" w:type="dxa"/>
              <w:right w:w="115" w:type="dxa"/>
            </w:tcMar>
            <w:hideMark/>
          </w:tcPr>
          <w:p w14:paraId="7B539D11"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14</w:t>
            </w:r>
          </w:p>
        </w:tc>
        <w:tc>
          <w:tcPr>
            <w:tcW w:w="7431" w:type="dxa"/>
            <w:noWrap/>
            <w:tcMar>
              <w:top w:w="14" w:type="dxa"/>
              <w:left w:w="115" w:type="dxa"/>
              <w:bottom w:w="14" w:type="dxa"/>
              <w:right w:w="115" w:type="dxa"/>
            </w:tcMar>
            <w:hideMark/>
          </w:tcPr>
          <w:p w14:paraId="51BD88CA"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Diagnostic facilities in NTEP</w:t>
            </w:r>
          </w:p>
        </w:tc>
        <w:tc>
          <w:tcPr>
            <w:tcW w:w="953" w:type="dxa"/>
            <w:tcMar>
              <w:top w:w="14" w:type="dxa"/>
              <w:left w:w="115" w:type="dxa"/>
              <w:bottom w:w="14" w:type="dxa"/>
              <w:right w:w="115" w:type="dxa"/>
            </w:tcMar>
            <w:hideMark/>
          </w:tcPr>
          <w:p w14:paraId="6F3591B6" w14:textId="79661096" w:rsidR="00B240CD" w:rsidRPr="00852BA1" w:rsidRDefault="00B240CD" w:rsidP="00B240CD">
            <w:pPr>
              <w:spacing w:before="0" w:after="0"/>
              <w:rPr>
                <w:rFonts w:asciiTheme="minorHAnsi" w:hAnsiTheme="minorHAnsi" w:cstheme="minorHAnsi"/>
                <w:b/>
              </w:rPr>
            </w:pPr>
            <w:r>
              <w:rPr>
                <w:rFonts w:asciiTheme="minorHAnsi" w:hAnsiTheme="minorHAnsi" w:cstheme="minorHAnsi"/>
                <w:b/>
              </w:rPr>
              <w:t>118</w:t>
            </w:r>
          </w:p>
        </w:tc>
      </w:tr>
      <w:tr w:rsidR="00B240CD" w:rsidRPr="00852BA1" w14:paraId="0FC481D9" w14:textId="77777777" w:rsidTr="00B240CD">
        <w:trPr>
          <w:trHeight w:val="300"/>
        </w:trPr>
        <w:tc>
          <w:tcPr>
            <w:tcW w:w="1039" w:type="dxa"/>
            <w:tcMar>
              <w:top w:w="14" w:type="dxa"/>
              <w:left w:w="115" w:type="dxa"/>
              <w:bottom w:w="14" w:type="dxa"/>
              <w:right w:w="115" w:type="dxa"/>
            </w:tcMar>
            <w:hideMark/>
          </w:tcPr>
          <w:p w14:paraId="7AB9B678"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15</w:t>
            </w:r>
          </w:p>
        </w:tc>
        <w:tc>
          <w:tcPr>
            <w:tcW w:w="7431" w:type="dxa"/>
            <w:noWrap/>
            <w:tcMar>
              <w:top w:w="14" w:type="dxa"/>
              <w:left w:w="115" w:type="dxa"/>
              <w:bottom w:w="14" w:type="dxa"/>
              <w:right w:w="115" w:type="dxa"/>
            </w:tcMar>
            <w:hideMark/>
          </w:tcPr>
          <w:p w14:paraId="419A03EB"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Yield from case finding activities amongst vulnerable population</w:t>
            </w:r>
          </w:p>
        </w:tc>
        <w:tc>
          <w:tcPr>
            <w:tcW w:w="953" w:type="dxa"/>
            <w:tcMar>
              <w:top w:w="14" w:type="dxa"/>
              <w:left w:w="115" w:type="dxa"/>
              <w:bottom w:w="14" w:type="dxa"/>
              <w:right w:w="115" w:type="dxa"/>
            </w:tcMar>
            <w:hideMark/>
          </w:tcPr>
          <w:p w14:paraId="4C951E9E" w14:textId="55364A8D" w:rsidR="00B240CD" w:rsidRPr="00852BA1" w:rsidRDefault="00B240CD" w:rsidP="00B240CD">
            <w:pPr>
              <w:spacing w:before="0" w:after="0"/>
              <w:rPr>
                <w:rFonts w:asciiTheme="minorHAnsi" w:hAnsiTheme="minorHAnsi" w:cstheme="minorHAnsi"/>
                <w:b/>
              </w:rPr>
            </w:pPr>
            <w:r>
              <w:rPr>
                <w:rFonts w:asciiTheme="minorHAnsi" w:hAnsiTheme="minorHAnsi" w:cstheme="minorHAnsi"/>
                <w:b/>
              </w:rPr>
              <w:t>121</w:t>
            </w:r>
          </w:p>
        </w:tc>
      </w:tr>
      <w:tr w:rsidR="00B240CD" w:rsidRPr="00852BA1" w14:paraId="248C6E70" w14:textId="77777777" w:rsidTr="00B240CD">
        <w:trPr>
          <w:trHeight w:val="300"/>
        </w:trPr>
        <w:tc>
          <w:tcPr>
            <w:tcW w:w="1039" w:type="dxa"/>
            <w:tcMar>
              <w:top w:w="14" w:type="dxa"/>
              <w:left w:w="115" w:type="dxa"/>
              <w:bottom w:w="14" w:type="dxa"/>
              <w:right w:w="115" w:type="dxa"/>
            </w:tcMar>
            <w:hideMark/>
          </w:tcPr>
          <w:p w14:paraId="00B60B46"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16</w:t>
            </w:r>
          </w:p>
        </w:tc>
        <w:tc>
          <w:tcPr>
            <w:tcW w:w="7431" w:type="dxa"/>
            <w:noWrap/>
            <w:tcMar>
              <w:top w:w="14" w:type="dxa"/>
              <w:left w:w="115" w:type="dxa"/>
              <w:bottom w:w="14" w:type="dxa"/>
              <w:right w:w="115" w:type="dxa"/>
            </w:tcMar>
            <w:hideMark/>
          </w:tcPr>
          <w:p w14:paraId="62DB1AB3"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rPr>
              <w:t>Prioritization of vulnerable groups</w:t>
            </w:r>
          </w:p>
        </w:tc>
        <w:tc>
          <w:tcPr>
            <w:tcW w:w="953" w:type="dxa"/>
            <w:tcMar>
              <w:top w:w="14" w:type="dxa"/>
              <w:left w:w="115" w:type="dxa"/>
              <w:bottom w:w="14" w:type="dxa"/>
              <w:right w:w="115" w:type="dxa"/>
            </w:tcMar>
            <w:hideMark/>
          </w:tcPr>
          <w:p w14:paraId="0A9C2D8F" w14:textId="36A6010F" w:rsidR="00B240CD" w:rsidRPr="00852BA1" w:rsidRDefault="00B240CD" w:rsidP="00B240CD">
            <w:pPr>
              <w:spacing w:before="0" w:after="0"/>
              <w:rPr>
                <w:rFonts w:asciiTheme="minorHAnsi" w:hAnsiTheme="minorHAnsi" w:cstheme="minorHAnsi"/>
                <w:b/>
              </w:rPr>
            </w:pPr>
            <w:r>
              <w:rPr>
                <w:rFonts w:asciiTheme="minorHAnsi" w:hAnsiTheme="minorHAnsi" w:cstheme="minorHAnsi"/>
                <w:b/>
              </w:rPr>
              <w:t>123</w:t>
            </w:r>
          </w:p>
        </w:tc>
      </w:tr>
      <w:tr w:rsidR="00B240CD" w:rsidRPr="00852BA1" w14:paraId="13DF81A6" w14:textId="77777777" w:rsidTr="00B240CD">
        <w:trPr>
          <w:trHeight w:val="300"/>
        </w:trPr>
        <w:tc>
          <w:tcPr>
            <w:tcW w:w="1039" w:type="dxa"/>
            <w:tcMar>
              <w:top w:w="14" w:type="dxa"/>
              <w:left w:w="115" w:type="dxa"/>
              <w:bottom w:w="14" w:type="dxa"/>
              <w:right w:w="115" w:type="dxa"/>
            </w:tcMar>
            <w:hideMark/>
          </w:tcPr>
          <w:p w14:paraId="3A758DF6"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17</w:t>
            </w:r>
          </w:p>
        </w:tc>
        <w:tc>
          <w:tcPr>
            <w:tcW w:w="7431" w:type="dxa"/>
            <w:noWrap/>
            <w:tcMar>
              <w:top w:w="14" w:type="dxa"/>
              <w:left w:w="115" w:type="dxa"/>
              <w:bottom w:w="14" w:type="dxa"/>
              <w:right w:w="115" w:type="dxa"/>
            </w:tcMar>
            <w:hideMark/>
          </w:tcPr>
          <w:p w14:paraId="4AD3F6F3"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lang w:val="en"/>
              </w:rPr>
              <w:t>Funding TB control in India</w:t>
            </w:r>
          </w:p>
        </w:tc>
        <w:tc>
          <w:tcPr>
            <w:tcW w:w="953" w:type="dxa"/>
            <w:tcMar>
              <w:top w:w="14" w:type="dxa"/>
              <w:left w:w="115" w:type="dxa"/>
              <w:bottom w:w="14" w:type="dxa"/>
              <w:right w:w="115" w:type="dxa"/>
            </w:tcMar>
            <w:hideMark/>
          </w:tcPr>
          <w:p w14:paraId="40B5A749" w14:textId="62B42E2F" w:rsidR="00B240CD" w:rsidRPr="00852BA1" w:rsidRDefault="00B240CD" w:rsidP="00B240CD">
            <w:pPr>
              <w:spacing w:before="0" w:after="0"/>
              <w:rPr>
                <w:rFonts w:asciiTheme="minorHAnsi" w:hAnsiTheme="minorHAnsi" w:cstheme="minorHAnsi"/>
                <w:b/>
              </w:rPr>
            </w:pPr>
            <w:r>
              <w:rPr>
                <w:rFonts w:asciiTheme="minorHAnsi" w:hAnsiTheme="minorHAnsi" w:cstheme="minorHAnsi"/>
                <w:b/>
              </w:rPr>
              <w:t>143</w:t>
            </w:r>
          </w:p>
        </w:tc>
      </w:tr>
      <w:tr w:rsidR="00B240CD" w:rsidRPr="00852BA1" w14:paraId="7A8526C9" w14:textId="77777777" w:rsidTr="00B240CD">
        <w:trPr>
          <w:trHeight w:val="300"/>
        </w:trPr>
        <w:tc>
          <w:tcPr>
            <w:tcW w:w="1039" w:type="dxa"/>
            <w:tcMar>
              <w:top w:w="14" w:type="dxa"/>
              <w:left w:w="115" w:type="dxa"/>
              <w:bottom w:w="14" w:type="dxa"/>
              <w:right w:w="115" w:type="dxa"/>
            </w:tcMar>
            <w:hideMark/>
          </w:tcPr>
          <w:p w14:paraId="007D86E3"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18</w:t>
            </w:r>
          </w:p>
        </w:tc>
        <w:tc>
          <w:tcPr>
            <w:tcW w:w="7431" w:type="dxa"/>
            <w:noWrap/>
            <w:tcMar>
              <w:top w:w="14" w:type="dxa"/>
              <w:left w:w="115" w:type="dxa"/>
              <w:bottom w:w="14" w:type="dxa"/>
              <w:right w:w="115" w:type="dxa"/>
            </w:tcMar>
            <w:hideMark/>
          </w:tcPr>
          <w:p w14:paraId="6AAC742D"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lang w:val="en"/>
              </w:rPr>
              <w:t xml:space="preserve">Budget for financial years 2020-24 </w:t>
            </w:r>
          </w:p>
        </w:tc>
        <w:tc>
          <w:tcPr>
            <w:tcW w:w="953" w:type="dxa"/>
            <w:tcMar>
              <w:top w:w="14" w:type="dxa"/>
              <w:left w:w="115" w:type="dxa"/>
              <w:bottom w:w="14" w:type="dxa"/>
              <w:right w:w="115" w:type="dxa"/>
            </w:tcMar>
            <w:hideMark/>
          </w:tcPr>
          <w:p w14:paraId="74F1C7A6" w14:textId="355CA76D" w:rsidR="00B240CD" w:rsidRPr="00852BA1" w:rsidRDefault="00B240CD" w:rsidP="00B240CD">
            <w:pPr>
              <w:spacing w:before="0" w:after="0"/>
              <w:rPr>
                <w:rFonts w:asciiTheme="minorHAnsi" w:hAnsiTheme="minorHAnsi" w:cstheme="minorHAnsi"/>
                <w:b/>
                <w:bCs/>
              </w:rPr>
            </w:pPr>
            <w:r>
              <w:rPr>
                <w:rFonts w:asciiTheme="minorHAnsi" w:hAnsiTheme="minorHAnsi" w:cstheme="minorHAnsi"/>
                <w:b/>
                <w:bCs/>
              </w:rPr>
              <w:t>145</w:t>
            </w:r>
          </w:p>
        </w:tc>
      </w:tr>
      <w:tr w:rsidR="00B240CD" w:rsidRPr="00852BA1" w14:paraId="697F8B79" w14:textId="77777777" w:rsidTr="00B240CD">
        <w:trPr>
          <w:trHeight w:val="300"/>
        </w:trPr>
        <w:tc>
          <w:tcPr>
            <w:tcW w:w="1039" w:type="dxa"/>
            <w:tcMar>
              <w:top w:w="14" w:type="dxa"/>
              <w:left w:w="115" w:type="dxa"/>
              <w:bottom w:w="14" w:type="dxa"/>
              <w:right w:w="115" w:type="dxa"/>
            </w:tcMar>
            <w:hideMark/>
          </w:tcPr>
          <w:p w14:paraId="612DD40B"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19</w:t>
            </w:r>
          </w:p>
        </w:tc>
        <w:tc>
          <w:tcPr>
            <w:tcW w:w="7431" w:type="dxa"/>
            <w:noWrap/>
            <w:tcMar>
              <w:top w:w="14" w:type="dxa"/>
              <w:left w:w="115" w:type="dxa"/>
              <w:bottom w:w="14" w:type="dxa"/>
              <w:right w:w="115" w:type="dxa"/>
            </w:tcMar>
            <w:hideMark/>
          </w:tcPr>
          <w:p w14:paraId="362CA0E9"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lang w:val="en"/>
              </w:rPr>
              <w:t xml:space="preserve">Budget by key programmatic areas for financial years 2020-24 </w:t>
            </w:r>
          </w:p>
        </w:tc>
        <w:tc>
          <w:tcPr>
            <w:tcW w:w="953" w:type="dxa"/>
            <w:tcMar>
              <w:top w:w="14" w:type="dxa"/>
              <w:left w:w="115" w:type="dxa"/>
              <w:bottom w:w="14" w:type="dxa"/>
              <w:right w:w="115" w:type="dxa"/>
            </w:tcMar>
            <w:hideMark/>
          </w:tcPr>
          <w:p w14:paraId="6925C83C" w14:textId="3E8FDF15" w:rsidR="00B240CD" w:rsidRPr="00852BA1" w:rsidRDefault="00B240CD" w:rsidP="00B240CD">
            <w:pPr>
              <w:spacing w:before="0" w:after="0"/>
              <w:rPr>
                <w:rFonts w:asciiTheme="minorHAnsi" w:hAnsiTheme="minorHAnsi" w:cstheme="minorHAnsi"/>
                <w:b/>
                <w:bCs/>
              </w:rPr>
            </w:pPr>
            <w:r>
              <w:rPr>
                <w:rFonts w:asciiTheme="minorHAnsi" w:hAnsiTheme="minorHAnsi" w:cstheme="minorHAnsi"/>
                <w:b/>
                <w:bCs/>
              </w:rPr>
              <w:t>145</w:t>
            </w:r>
          </w:p>
        </w:tc>
      </w:tr>
      <w:tr w:rsidR="00B240CD" w:rsidRPr="00852BA1" w14:paraId="32EB0413" w14:textId="77777777" w:rsidTr="00B240CD">
        <w:trPr>
          <w:trHeight w:val="300"/>
        </w:trPr>
        <w:tc>
          <w:tcPr>
            <w:tcW w:w="1039" w:type="dxa"/>
            <w:tcMar>
              <w:top w:w="14" w:type="dxa"/>
              <w:left w:w="115" w:type="dxa"/>
              <w:bottom w:w="14" w:type="dxa"/>
              <w:right w:w="115" w:type="dxa"/>
            </w:tcMar>
            <w:hideMark/>
          </w:tcPr>
          <w:p w14:paraId="5D168D74" w14:textId="77777777" w:rsidR="00B240CD" w:rsidRPr="00852BA1" w:rsidRDefault="00B240CD" w:rsidP="00B240CD">
            <w:pPr>
              <w:spacing w:before="0" w:after="0"/>
              <w:rPr>
                <w:rFonts w:asciiTheme="minorHAnsi" w:hAnsiTheme="minorHAnsi" w:cstheme="minorHAnsi"/>
                <w:b/>
              </w:rPr>
            </w:pPr>
            <w:r w:rsidRPr="00852BA1">
              <w:rPr>
                <w:rFonts w:asciiTheme="minorHAnsi" w:hAnsiTheme="minorHAnsi" w:cstheme="minorHAnsi"/>
                <w:b/>
              </w:rPr>
              <w:t>Table 20</w:t>
            </w:r>
          </w:p>
        </w:tc>
        <w:tc>
          <w:tcPr>
            <w:tcW w:w="7431" w:type="dxa"/>
            <w:noWrap/>
            <w:tcMar>
              <w:top w:w="14" w:type="dxa"/>
              <w:left w:w="115" w:type="dxa"/>
              <w:bottom w:w="14" w:type="dxa"/>
              <w:right w:w="115" w:type="dxa"/>
            </w:tcMar>
            <w:hideMark/>
          </w:tcPr>
          <w:p w14:paraId="453D7594" w14:textId="77777777" w:rsidR="00B240CD" w:rsidRPr="00852BA1" w:rsidRDefault="00B240CD" w:rsidP="00B240CD">
            <w:pPr>
              <w:spacing w:before="0" w:after="0"/>
              <w:rPr>
                <w:rFonts w:asciiTheme="minorHAnsi" w:hAnsiTheme="minorHAnsi" w:cstheme="minorHAnsi"/>
                <w:b/>
                <w:bCs/>
              </w:rPr>
            </w:pPr>
            <w:r w:rsidRPr="00852BA1">
              <w:rPr>
                <w:rFonts w:asciiTheme="minorHAnsi" w:hAnsiTheme="minorHAnsi" w:cstheme="minorHAnsi"/>
                <w:b/>
                <w:bCs/>
                <w:lang w:val="en"/>
              </w:rPr>
              <w:t>Financial indicators 2020-24</w:t>
            </w:r>
          </w:p>
        </w:tc>
        <w:tc>
          <w:tcPr>
            <w:tcW w:w="953" w:type="dxa"/>
            <w:tcMar>
              <w:top w:w="14" w:type="dxa"/>
              <w:left w:w="115" w:type="dxa"/>
              <w:bottom w:w="14" w:type="dxa"/>
              <w:right w:w="115" w:type="dxa"/>
            </w:tcMar>
            <w:hideMark/>
          </w:tcPr>
          <w:p w14:paraId="61D491D2" w14:textId="306E0458" w:rsidR="00B240CD" w:rsidRPr="00852BA1" w:rsidRDefault="00B240CD" w:rsidP="00B240CD">
            <w:pPr>
              <w:spacing w:before="0" w:after="0"/>
              <w:rPr>
                <w:rFonts w:asciiTheme="minorHAnsi" w:hAnsiTheme="minorHAnsi" w:cstheme="minorHAnsi"/>
                <w:b/>
                <w:bCs/>
              </w:rPr>
            </w:pPr>
            <w:r>
              <w:rPr>
                <w:rFonts w:asciiTheme="minorHAnsi" w:hAnsiTheme="minorHAnsi" w:cstheme="minorHAnsi"/>
                <w:b/>
                <w:bCs/>
              </w:rPr>
              <w:t>148</w:t>
            </w:r>
          </w:p>
        </w:tc>
      </w:tr>
    </w:tbl>
    <w:p w14:paraId="332C7EAD" w14:textId="77777777" w:rsidR="002D26CE" w:rsidRDefault="002D26CE">
      <w:pPr>
        <w:spacing w:before="0" w:after="0"/>
        <w:rPr>
          <w:rFonts w:asciiTheme="minorHAnsi" w:hAnsiTheme="minorHAnsi" w:cstheme="minorHAnsi"/>
          <w:b/>
        </w:rPr>
      </w:pPr>
    </w:p>
    <w:p w14:paraId="4D048305" w14:textId="77777777" w:rsidR="002D26CE" w:rsidRDefault="002D26CE">
      <w:pPr>
        <w:spacing w:before="0" w:after="0"/>
        <w:rPr>
          <w:rFonts w:asciiTheme="minorHAnsi" w:hAnsiTheme="minorHAnsi" w:cstheme="minorHAnsi"/>
          <w:b/>
        </w:rPr>
      </w:pPr>
    </w:p>
    <w:p w14:paraId="41233E4B" w14:textId="0019972C" w:rsidR="002D26CE" w:rsidRDefault="002D26CE">
      <w:pPr>
        <w:spacing w:before="0" w:after="0"/>
        <w:rPr>
          <w:rFonts w:asciiTheme="minorHAnsi" w:hAnsiTheme="minorHAnsi" w:cstheme="minorHAnsi"/>
          <w:b/>
        </w:rPr>
      </w:pPr>
      <w:r>
        <w:rPr>
          <w:rFonts w:asciiTheme="minorHAnsi" w:hAnsiTheme="minorHAnsi" w:cstheme="minorHAnsi"/>
          <w:b/>
        </w:rPr>
        <w:br w:type="page"/>
      </w:r>
    </w:p>
    <w:p w14:paraId="55FBCACC" w14:textId="741C0264" w:rsidR="002D26CE" w:rsidRPr="001F5684" w:rsidRDefault="002D26CE" w:rsidP="002D26CE">
      <w:pPr>
        <w:pStyle w:val="Heading0"/>
        <w:shd w:val="clear" w:color="auto" w:fill="auto"/>
        <w:spacing w:after="1320"/>
        <w:ind w:right="-418"/>
        <w:jc w:val="left"/>
        <w:rPr>
          <w:rFonts w:asciiTheme="minorHAnsi" w:hAnsiTheme="minorHAnsi" w:cstheme="minorHAnsi"/>
          <w:b/>
          <w:color w:val="auto"/>
        </w:rPr>
      </w:pPr>
      <w:r>
        <w:rPr>
          <w:rFonts w:asciiTheme="minorHAnsi" w:hAnsiTheme="minorHAnsi" w:cstheme="minorHAnsi"/>
          <w:b/>
          <w:color w:val="auto"/>
        </w:rPr>
        <w:lastRenderedPageBreak/>
        <w:t>List of FIGURES</w:t>
      </w:r>
      <w:r w:rsidRPr="005D30D0">
        <w:rPr>
          <w:rFonts w:asciiTheme="minorHAnsi" w:hAnsiTheme="minorHAnsi" w:cstheme="minorHAnsi"/>
          <w:b/>
          <w:color w:val="auto"/>
          <w:sz w:val="144"/>
        </w:rPr>
        <w:t xml:space="preserve"> </w:t>
      </w:r>
    </w:p>
    <w:tbl>
      <w:tblPr>
        <w:tblStyle w:val="TableGrid"/>
        <w:tblW w:w="9418" w:type="dxa"/>
        <w:tblBorders>
          <w:insideV w:val="none" w:sz="0" w:space="0" w:color="auto"/>
        </w:tblBorders>
        <w:tblLook w:val="04A0" w:firstRow="1" w:lastRow="0" w:firstColumn="1" w:lastColumn="0" w:noHBand="0" w:noVBand="1"/>
      </w:tblPr>
      <w:tblGrid>
        <w:gridCol w:w="965"/>
        <w:gridCol w:w="7463"/>
        <w:gridCol w:w="990"/>
      </w:tblGrid>
      <w:tr w:rsidR="00B00826" w:rsidRPr="00B00826" w14:paraId="5843149F" w14:textId="77777777" w:rsidTr="00B00826">
        <w:trPr>
          <w:cnfStyle w:val="100000000000" w:firstRow="1" w:lastRow="0" w:firstColumn="0" w:lastColumn="0" w:oddVBand="0" w:evenVBand="0" w:oddHBand="0" w:evenHBand="0" w:firstRowFirstColumn="0" w:firstRowLastColumn="0" w:lastRowFirstColumn="0" w:lastRowLastColumn="0"/>
          <w:trHeight w:val="600"/>
        </w:trPr>
        <w:tc>
          <w:tcPr>
            <w:tcW w:w="965" w:type="dxa"/>
            <w:shd w:val="clear" w:color="auto" w:fill="17365D" w:themeFill="text2" w:themeFillShade="BF"/>
            <w:tcMar>
              <w:top w:w="14" w:type="dxa"/>
              <w:left w:w="58" w:type="dxa"/>
              <w:bottom w:w="14" w:type="dxa"/>
              <w:right w:w="58" w:type="dxa"/>
            </w:tcMar>
            <w:hideMark/>
          </w:tcPr>
          <w:p w14:paraId="4315B64F" w14:textId="77777777" w:rsidR="00B00826" w:rsidRPr="00B00826" w:rsidRDefault="00B00826" w:rsidP="00B00826">
            <w:pPr>
              <w:spacing w:before="0" w:after="0"/>
              <w:rPr>
                <w:rFonts w:asciiTheme="minorHAnsi" w:hAnsiTheme="minorHAnsi" w:cstheme="minorHAnsi"/>
                <w:sz w:val="22"/>
              </w:rPr>
            </w:pPr>
            <w:r w:rsidRPr="00B00826">
              <w:rPr>
                <w:rFonts w:asciiTheme="minorHAnsi" w:hAnsiTheme="minorHAnsi" w:cstheme="minorHAnsi"/>
                <w:sz w:val="22"/>
              </w:rPr>
              <w:t>Figure number</w:t>
            </w:r>
          </w:p>
        </w:tc>
        <w:tc>
          <w:tcPr>
            <w:tcW w:w="7463" w:type="dxa"/>
            <w:shd w:val="clear" w:color="auto" w:fill="17365D" w:themeFill="text2" w:themeFillShade="BF"/>
            <w:tcMar>
              <w:top w:w="14" w:type="dxa"/>
              <w:left w:w="58" w:type="dxa"/>
              <w:bottom w:w="14" w:type="dxa"/>
              <w:right w:w="58" w:type="dxa"/>
            </w:tcMar>
            <w:hideMark/>
          </w:tcPr>
          <w:p w14:paraId="32FFBE81" w14:textId="77777777" w:rsidR="00B00826" w:rsidRPr="00B00826" w:rsidRDefault="00B00826" w:rsidP="00B00826">
            <w:pPr>
              <w:spacing w:before="0" w:after="0"/>
              <w:rPr>
                <w:rFonts w:asciiTheme="minorHAnsi" w:hAnsiTheme="minorHAnsi" w:cstheme="minorHAnsi"/>
                <w:sz w:val="22"/>
              </w:rPr>
            </w:pPr>
            <w:r w:rsidRPr="00B00826">
              <w:rPr>
                <w:rFonts w:asciiTheme="minorHAnsi" w:hAnsiTheme="minorHAnsi" w:cstheme="minorHAnsi"/>
                <w:sz w:val="22"/>
              </w:rPr>
              <w:t>Description</w:t>
            </w:r>
          </w:p>
        </w:tc>
        <w:tc>
          <w:tcPr>
            <w:tcW w:w="990" w:type="dxa"/>
            <w:shd w:val="clear" w:color="auto" w:fill="17365D" w:themeFill="text2" w:themeFillShade="BF"/>
            <w:tcMar>
              <w:top w:w="14" w:type="dxa"/>
              <w:left w:w="58" w:type="dxa"/>
              <w:bottom w:w="14" w:type="dxa"/>
              <w:right w:w="58" w:type="dxa"/>
            </w:tcMar>
            <w:hideMark/>
          </w:tcPr>
          <w:p w14:paraId="183C317C" w14:textId="77777777" w:rsidR="00B00826" w:rsidRPr="00B00826" w:rsidRDefault="00B00826" w:rsidP="00B00826">
            <w:pPr>
              <w:spacing w:before="0" w:after="0"/>
              <w:rPr>
                <w:rFonts w:asciiTheme="minorHAnsi" w:hAnsiTheme="minorHAnsi" w:cstheme="minorHAnsi"/>
                <w:sz w:val="22"/>
              </w:rPr>
            </w:pPr>
            <w:r w:rsidRPr="00B00826">
              <w:rPr>
                <w:rFonts w:asciiTheme="minorHAnsi" w:hAnsiTheme="minorHAnsi" w:cstheme="minorHAnsi"/>
                <w:sz w:val="22"/>
              </w:rPr>
              <w:t>Page number</w:t>
            </w:r>
          </w:p>
        </w:tc>
      </w:tr>
      <w:tr w:rsidR="00B240CD" w:rsidRPr="00B00826" w14:paraId="60F7B2AB" w14:textId="77777777" w:rsidTr="00B00826">
        <w:trPr>
          <w:trHeight w:val="300"/>
        </w:trPr>
        <w:tc>
          <w:tcPr>
            <w:tcW w:w="965" w:type="dxa"/>
            <w:tcMar>
              <w:top w:w="14" w:type="dxa"/>
              <w:left w:w="58" w:type="dxa"/>
              <w:bottom w:w="14" w:type="dxa"/>
              <w:right w:w="58" w:type="dxa"/>
            </w:tcMar>
            <w:hideMark/>
          </w:tcPr>
          <w:p w14:paraId="207B08E8"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w:t>
            </w:r>
          </w:p>
        </w:tc>
        <w:tc>
          <w:tcPr>
            <w:tcW w:w="7463" w:type="dxa"/>
            <w:tcMar>
              <w:top w:w="14" w:type="dxa"/>
              <w:left w:w="58" w:type="dxa"/>
              <w:bottom w:w="14" w:type="dxa"/>
              <w:right w:w="58" w:type="dxa"/>
            </w:tcMar>
            <w:hideMark/>
          </w:tcPr>
          <w:p w14:paraId="2B116A66"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 xml:space="preserve">Indian Healthcare system </w:t>
            </w:r>
          </w:p>
        </w:tc>
        <w:tc>
          <w:tcPr>
            <w:tcW w:w="990" w:type="dxa"/>
            <w:tcMar>
              <w:top w:w="14" w:type="dxa"/>
              <w:left w:w="58" w:type="dxa"/>
              <w:bottom w:w="14" w:type="dxa"/>
              <w:right w:w="58" w:type="dxa"/>
            </w:tcMar>
            <w:hideMark/>
          </w:tcPr>
          <w:p w14:paraId="562B94C8" w14:textId="517CC15B"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16</w:t>
            </w:r>
          </w:p>
        </w:tc>
      </w:tr>
      <w:tr w:rsidR="00B240CD" w:rsidRPr="00B00826" w14:paraId="1B9F9820" w14:textId="77777777" w:rsidTr="00B00826">
        <w:trPr>
          <w:trHeight w:val="300"/>
        </w:trPr>
        <w:tc>
          <w:tcPr>
            <w:tcW w:w="965" w:type="dxa"/>
            <w:tcMar>
              <w:top w:w="14" w:type="dxa"/>
              <w:left w:w="58" w:type="dxa"/>
              <w:bottom w:w="14" w:type="dxa"/>
              <w:right w:w="58" w:type="dxa"/>
            </w:tcMar>
            <w:hideMark/>
          </w:tcPr>
          <w:p w14:paraId="198E272F"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w:t>
            </w:r>
          </w:p>
        </w:tc>
        <w:tc>
          <w:tcPr>
            <w:tcW w:w="7463" w:type="dxa"/>
            <w:tcMar>
              <w:top w:w="14" w:type="dxa"/>
              <w:left w:w="58" w:type="dxa"/>
              <w:bottom w:w="14" w:type="dxa"/>
              <w:right w:w="58" w:type="dxa"/>
            </w:tcMar>
            <w:hideMark/>
          </w:tcPr>
          <w:p w14:paraId="7D820079"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NTEP implementation arrangements</w:t>
            </w:r>
          </w:p>
        </w:tc>
        <w:tc>
          <w:tcPr>
            <w:tcW w:w="990" w:type="dxa"/>
            <w:tcMar>
              <w:top w:w="14" w:type="dxa"/>
              <w:left w:w="58" w:type="dxa"/>
              <w:bottom w:w="14" w:type="dxa"/>
              <w:right w:w="58" w:type="dxa"/>
            </w:tcMar>
            <w:hideMark/>
          </w:tcPr>
          <w:p w14:paraId="7F593051" w14:textId="7522CFAF"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17</w:t>
            </w:r>
          </w:p>
        </w:tc>
      </w:tr>
      <w:tr w:rsidR="00B240CD" w:rsidRPr="00B00826" w14:paraId="4FA0668E" w14:textId="77777777" w:rsidTr="00B00826">
        <w:trPr>
          <w:trHeight w:val="300"/>
        </w:trPr>
        <w:tc>
          <w:tcPr>
            <w:tcW w:w="965" w:type="dxa"/>
            <w:tcMar>
              <w:top w:w="14" w:type="dxa"/>
              <w:left w:w="58" w:type="dxa"/>
              <w:bottom w:w="14" w:type="dxa"/>
              <w:right w:w="58" w:type="dxa"/>
            </w:tcMar>
            <w:hideMark/>
          </w:tcPr>
          <w:p w14:paraId="549BD179"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w:t>
            </w:r>
          </w:p>
        </w:tc>
        <w:tc>
          <w:tcPr>
            <w:tcW w:w="7463" w:type="dxa"/>
            <w:tcMar>
              <w:top w:w="14" w:type="dxa"/>
              <w:left w:w="58" w:type="dxa"/>
              <w:bottom w:w="14" w:type="dxa"/>
              <w:right w:w="58" w:type="dxa"/>
            </w:tcMar>
            <w:hideMark/>
          </w:tcPr>
          <w:p w14:paraId="78C00497"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 xml:space="preserve">Summary of Common Review Mission findings - RNTCP performance dashboard </w:t>
            </w:r>
          </w:p>
        </w:tc>
        <w:tc>
          <w:tcPr>
            <w:tcW w:w="990" w:type="dxa"/>
            <w:tcMar>
              <w:top w:w="14" w:type="dxa"/>
              <w:left w:w="58" w:type="dxa"/>
              <w:bottom w:w="14" w:type="dxa"/>
              <w:right w:w="58" w:type="dxa"/>
            </w:tcMar>
            <w:hideMark/>
          </w:tcPr>
          <w:p w14:paraId="797D1BCC" w14:textId="6419A1DE"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24</w:t>
            </w:r>
          </w:p>
        </w:tc>
      </w:tr>
      <w:tr w:rsidR="00B240CD" w:rsidRPr="00B00826" w14:paraId="4EB2250B" w14:textId="77777777" w:rsidTr="00B00826">
        <w:trPr>
          <w:trHeight w:val="600"/>
        </w:trPr>
        <w:tc>
          <w:tcPr>
            <w:tcW w:w="965" w:type="dxa"/>
            <w:tcMar>
              <w:top w:w="14" w:type="dxa"/>
              <w:left w:w="58" w:type="dxa"/>
              <w:bottom w:w="14" w:type="dxa"/>
              <w:right w:w="58" w:type="dxa"/>
            </w:tcMar>
            <w:hideMark/>
          </w:tcPr>
          <w:p w14:paraId="578B42C1"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4</w:t>
            </w:r>
          </w:p>
        </w:tc>
        <w:tc>
          <w:tcPr>
            <w:tcW w:w="7463" w:type="dxa"/>
            <w:tcMar>
              <w:top w:w="14" w:type="dxa"/>
              <w:left w:w="58" w:type="dxa"/>
              <w:bottom w:w="14" w:type="dxa"/>
              <w:right w:w="58" w:type="dxa"/>
            </w:tcMar>
            <w:hideMark/>
          </w:tcPr>
          <w:p w14:paraId="148CD8E8"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Trends in annual number of notified TB patients, estimated TB incidence among new, previously treated (relapse), and HIV positive – India: 2000–2019</w:t>
            </w:r>
          </w:p>
        </w:tc>
        <w:tc>
          <w:tcPr>
            <w:tcW w:w="990" w:type="dxa"/>
            <w:tcMar>
              <w:top w:w="14" w:type="dxa"/>
              <w:left w:w="58" w:type="dxa"/>
              <w:bottom w:w="14" w:type="dxa"/>
              <w:right w:w="58" w:type="dxa"/>
            </w:tcMar>
            <w:hideMark/>
          </w:tcPr>
          <w:p w14:paraId="7A69FA3E" w14:textId="788CE258"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25</w:t>
            </w:r>
          </w:p>
        </w:tc>
      </w:tr>
      <w:tr w:rsidR="00B240CD" w:rsidRPr="00B00826" w14:paraId="53E29AEA" w14:textId="77777777" w:rsidTr="00B00826">
        <w:trPr>
          <w:trHeight w:val="300"/>
        </w:trPr>
        <w:tc>
          <w:tcPr>
            <w:tcW w:w="965" w:type="dxa"/>
            <w:tcMar>
              <w:top w:w="14" w:type="dxa"/>
              <w:left w:w="58" w:type="dxa"/>
              <w:bottom w:w="14" w:type="dxa"/>
              <w:right w:w="58" w:type="dxa"/>
            </w:tcMar>
            <w:hideMark/>
          </w:tcPr>
          <w:p w14:paraId="2343EF0A"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5</w:t>
            </w:r>
          </w:p>
        </w:tc>
        <w:tc>
          <w:tcPr>
            <w:tcW w:w="7463" w:type="dxa"/>
            <w:noWrap/>
            <w:tcMar>
              <w:top w:w="14" w:type="dxa"/>
              <w:left w:w="58" w:type="dxa"/>
              <w:bottom w:w="14" w:type="dxa"/>
              <w:right w:w="58" w:type="dxa"/>
            </w:tcMar>
            <w:hideMark/>
          </w:tcPr>
          <w:p w14:paraId="00361686"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 xml:space="preserve">HIV-Negative TB mortality </w:t>
            </w:r>
          </w:p>
        </w:tc>
        <w:tc>
          <w:tcPr>
            <w:tcW w:w="990" w:type="dxa"/>
            <w:tcMar>
              <w:top w:w="14" w:type="dxa"/>
              <w:left w:w="58" w:type="dxa"/>
              <w:bottom w:w="14" w:type="dxa"/>
              <w:right w:w="58" w:type="dxa"/>
            </w:tcMar>
            <w:hideMark/>
          </w:tcPr>
          <w:p w14:paraId="360AB586" w14:textId="1BF24565"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26</w:t>
            </w:r>
          </w:p>
        </w:tc>
      </w:tr>
      <w:tr w:rsidR="00B240CD" w:rsidRPr="00B00826" w14:paraId="5698E9BC" w14:textId="77777777" w:rsidTr="00B00826">
        <w:trPr>
          <w:trHeight w:val="300"/>
        </w:trPr>
        <w:tc>
          <w:tcPr>
            <w:tcW w:w="965" w:type="dxa"/>
            <w:tcMar>
              <w:top w:w="14" w:type="dxa"/>
              <w:left w:w="58" w:type="dxa"/>
              <w:bottom w:w="14" w:type="dxa"/>
              <w:right w:w="58" w:type="dxa"/>
            </w:tcMar>
            <w:hideMark/>
          </w:tcPr>
          <w:p w14:paraId="375DE4F1"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6</w:t>
            </w:r>
          </w:p>
        </w:tc>
        <w:tc>
          <w:tcPr>
            <w:tcW w:w="7463" w:type="dxa"/>
            <w:tcMar>
              <w:top w:w="14" w:type="dxa"/>
              <w:left w:w="58" w:type="dxa"/>
              <w:bottom w:w="14" w:type="dxa"/>
              <w:right w:w="58" w:type="dxa"/>
            </w:tcMar>
            <w:hideMark/>
          </w:tcPr>
          <w:p w14:paraId="2824B48A"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Percent annual notification difference from the preceding reporting year – India, 2006–2018</w:t>
            </w:r>
          </w:p>
        </w:tc>
        <w:tc>
          <w:tcPr>
            <w:tcW w:w="990" w:type="dxa"/>
            <w:tcMar>
              <w:top w:w="14" w:type="dxa"/>
              <w:left w:w="58" w:type="dxa"/>
              <w:bottom w:w="14" w:type="dxa"/>
              <w:right w:w="58" w:type="dxa"/>
            </w:tcMar>
            <w:hideMark/>
          </w:tcPr>
          <w:p w14:paraId="232ED472" w14:textId="6136B61B"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26</w:t>
            </w:r>
          </w:p>
        </w:tc>
      </w:tr>
      <w:tr w:rsidR="00B240CD" w:rsidRPr="00B00826" w14:paraId="33E735E7" w14:textId="77777777" w:rsidTr="00B00826">
        <w:trPr>
          <w:trHeight w:val="300"/>
        </w:trPr>
        <w:tc>
          <w:tcPr>
            <w:tcW w:w="965" w:type="dxa"/>
            <w:tcMar>
              <w:top w:w="14" w:type="dxa"/>
              <w:left w:w="58" w:type="dxa"/>
              <w:bottom w:w="14" w:type="dxa"/>
              <w:right w:w="58" w:type="dxa"/>
            </w:tcMar>
            <w:hideMark/>
          </w:tcPr>
          <w:p w14:paraId="434BC6B6"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7</w:t>
            </w:r>
          </w:p>
        </w:tc>
        <w:tc>
          <w:tcPr>
            <w:tcW w:w="7463" w:type="dxa"/>
            <w:noWrap/>
            <w:tcMar>
              <w:top w:w="14" w:type="dxa"/>
              <w:left w:w="58" w:type="dxa"/>
              <w:bottom w:w="14" w:type="dxa"/>
              <w:right w:w="58" w:type="dxa"/>
            </w:tcMar>
            <w:hideMark/>
          </w:tcPr>
          <w:p w14:paraId="4D12FFCB"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Number of notified TB patients from public and private sectors, 2000–2019</w:t>
            </w:r>
          </w:p>
        </w:tc>
        <w:tc>
          <w:tcPr>
            <w:tcW w:w="990" w:type="dxa"/>
            <w:tcMar>
              <w:top w:w="14" w:type="dxa"/>
              <w:left w:w="58" w:type="dxa"/>
              <w:bottom w:w="14" w:type="dxa"/>
              <w:right w:w="58" w:type="dxa"/>
            </w:tcMar>
            <w:hideMark/>
          </w:tcPr>
          <w:p w14:paraId="6CEBFA1E" w14:textId="79C6ED5B"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27</w:t>
            </w:r>
          </w:p>
        </w:tc>
      </w:tr>
      <w:tr w:rsidR="00B240CD" w:rsidRPr="00B00826" w14:paraId="4BFD97FB" w14:textId="77777777" w:rsidTr="00B00826">
        <w:trPr>
          <w:trHeight w:val="300"/>
        </w:trPr>
        <w:tc>
          <w:tcPr>
            <w:tcW w:w="965" w:type="dxa"/>
            <w:tcMar>
              <w:top w:w="14" w:type="dxa"/>
              <w:left w:w="58" w:type="dxa"/>
              <w:bottom w:w="14" w:type="dxa"/>
              <w:right w:w="58" w:type="dxa"/>
            </w:tcMar>
            <w:hideMark/>
          </w:tcPr>
          <w:p w14:paraId="480BB310"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8</w:t>
            </w:r>
          </w:p>
        </w:tc>
        <w:tc>
          <w:tcPr>
            <w:tcW w:w="7463" w:type="dxa"/>
            <w:tcMar>
              <w:top w:w="14" w:type="dxa"/>
              <w:left w:w="58" w:type="dxa"/>
              <w:bottom w:w="14" w:type="dxa"/>
              <w:right w:w="58" w:type="dxa"/>
            </w:tcMar>
            <w:hideMark/>
          </w:tcPr>
          <w:p w14:paraId="03E145FB"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Bacteriologically confirmed notifications amongst new and previously treated (RT) patients – India, 2012–2018.</w:t>
            </w:r>
          </w:p>
        </w:tc>
        <w:tc>
          <w:tcPr>
            <w:tcW w:w="990" w:type="dxa"/>
            <w:tcMar>
              <w:top w:w="14" w:type="dxa"/>
              <w:left w:w="58" w:type="dxa"/>
              <w:bottom w:w="14" w:type="dxa"/>
              <w:right w:w="58" w:type="dxa"/>
            </w:tcMar>
            <w:hideMark/>
          </w:tcPr>
          <w:p w14:paraId="74466780" w14:textId="320E6B78"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27</w:t>
            </w:r>
          </w:p>
        </w:tc>
      </w:tr>
      <w:tr w:rsidR="00B240CD" w:rsidRPr="00B00826" w14:paraId="0B42DD2B" w14:textId="77777777" w:rsidTr="00B00826">
        <w:trPr>
          <w:trHeight w:val="300"/>
        </w:trPr>
        <w:tc>
          <w:tcPr>
            <w:tcW w:w="965" w:type="dxa"/>
            <w:tcMar>
              <w:top w:w="14" w:type="dxa"/>
              <w:left w:w="58" w:type="dxa"/>
              <w:bottom w:w="14" w:type="dxa"/>
              <w:right w:w="58" w:type="dxa"/>
            </w:tcMar>
            <w:hideMark/>
          </w:tcPr>
          <w:p w14:paraId="5ABC4309"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9</w:t>
            </w:r>
          </w:p>
        </w:tc>
        <w:tc>
          <w:tcPr>
            <w:tcW w:w="7463" w:type="dxa"/>
            <w:tcMar>
              <w:top w:w="14" w:type="dxa"/>
              <w:left w:w="58" w:type="dxa"/>
              <w:bottom w:w="14" w:type="dxa"/>
              <w:right w:w="58" w:type="dxa"/>
            </w:tcMar>
            <w:hideMark/>
          </w:tcPr>
          <w:p w14:paraId="03649BB9"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Number of and rate examinations amongst presumptive TB patients – India, 2000–2019</w:t>
            </w:r>
          </w:p>
        </w:tc>
        <w:tc>
          <w:tcPr>
            <w:tcW w:w="990" w:type="dxa"/>
            <w:tcMar>
              <w:top w:w="14" w:type="dxa"/>
              <w:left w:w="58" w:type="dxa"/>
              <w:bottom w:w="14" w:type="dxa"/>
              <w:right w:w="58" w:type="dxa"/>
            </w:tcMar>
            <w:hideMark/>
          </w:tcPr>
          <w:p w14:paraId="45B6A774" w14:textId="4E658D56"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28</w:t>
            </w:r>
          </w:p>
        </w:tc>
      </w:tr>
      <w:tr w:rsidR="00B240CD" w:rsidRPr="00B00826" w14:paraId="3D73A947" w14:textId="77777777" w:rsidTr="00B00826">
        <w:trPr>
          <w:trHeight w:val="495"/>
        </w:trPr>
        <w:tc>
          <w:tcPr>
            <w:tcW w:w="965" w:type="dxa"/>
            <w:tcMar>
              <w:top w:w="14" w:type="dxa"/>
              <w:left w:w="58" w:type="dxa"/>
              <w:bottom w:w="14" w:type="dxa"/>
              <w:right w:w="58" w:type="dxa"/>
            </w:tcMar>
            <w:hideMark/>
          </w:tcPr>
          <w:p w14:paraId="1F2B6DCD"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10</w:t>
            </w:r>
          </w:p>
        </w:tc>
        <w:tc>
          <w:tcPr>
            <w:tcW w:w="7463" w:type="dxa"/>
            <w:tcMar>
              <w:top w:w="14" w:type="dxa"/>
              <w:left w:w="58" w:type="dxa"/>
              <w:bottom w:w="14" w:type="dxa"/>
              <w:right w:w="58" w:type="dxa"/>
            </w:tcMar>
            <w:hideMark/>
          </w:tcPr>
          <w:p w14:paraId="60200745"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Annual proportions of successful treatment outcome among new sputum-smear positives, previously treated, and drug-resistant TB patient cohorts– India, 2012–2018</w:t>
            </w:r>
          </w:p>
        </w:tc>
        <w:tc>
          <w:tcPr>
            <w:tcW w:w="990" w:type="dxa"/>
            <w:tcMar>
              <w:top w:w="14" w:type="dxa"/>
              <w:left w:w="58" w:type="dxa"/>
              <w:bottom w:w="14" w:type="dxa"/>
              <w:right w:w="58" w:type="dxa"/>
            </w:tcMar>
            <w:hideMark/>
          </w:tcPr>
          <w:p w14:paraId="47C3CBF1" w14:textId="7DA8A82E"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28</w:t>
            </w:r>
          </w:p>
        </w:tc>
      </w:tr>
      <w:tr w:rsidR="00B240CD" w:rsidRPr="00B00826" w14:paraId="30BB38C4" w14:textId="77777777" w:rsidTr="00B00826">
        <w:trPr>
          <w:trHeight w:val="300"/>
        </w:trPr>
        <w:tc>
          <w:tcPr>
            <w:tcW w:w="965" w:type="dxa"/>
            <w:tcMar>
              <w:top w:w="14" w:type="dxa"/>
              <w:left w:w="58" w:type="dxa"/>
              <w:bottom w:w="14" w:type="dxa"/>
              <w:right w:w="58" w:type="dxa"/>
            </w:tcMar>
            <w:hideMark/>
          </w:tcPr>
          <w:p w14:paraId="1931E2A2"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11</w:t>
            </w:r>
          </w:p>
        </w:tc>
        <w:tc>
          <w:tcPr>
            <w:tcW w:w="7463" w:type="dxa"/>
            <w:noWrap/>
            <w:tcMar>
              <w:top w:w="14" w:type="dxa"/>
              <w:left w:w="58" w:type="dxa"/>
              <w:bottom w:w="14" w:type="dxa"/>
              <w:right w:w="58" w:type="dxa"/>
            </w:tcMar>
            <w:hideMark/>
          </w:tcPr>
          <w:p w14:paraId="29D03286"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Number of TB patients tested for HIV and percent with positive results – India, 2000–2019</w:t>
            </w:r>
          </w:p>
        </w:tc>
        <w:tc>
          <w:tcPr>
            <w:tcW w:w="990" w:type="dxa"/>
            <w:tcMar>
              <w:top w:w="14" w:type="dxa"/>
              <w:left w:w="58" w:type="dxa"/>
              <w:bottom w:w="14" w:type="dxa"/>
              <w:right w:w="58" w:type="dxa"/>
            </w:tcMar>
            <w:hideMark/>
          </w:tcPr>
          <w:p w14:paraId="332F1812" w14:textId="68D2B47B"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29</w:t>
            </w:r>
          </w:p>
        </w:tc>
      </w:tr>
      <w:tr w:rsidR="00B240CD" w:rsidRPr="00B00826" w14:paraId="12F7C2C6" w14:textId="77777777" w:rsidTr="00B00826">
        <w:trPr>
          <w:trHeight w:val="300"/>
        </w:trPr>
        <w:tc>
          <w:tcPr>
            <w:tcW w:w="965" w:type="dxa"/>
            <w:tcMar>
              <w:top w:w="14" w:type="dxa"/>
              <w:left w:w="58" w:type="dxa"/>
              <w:bottom w:w="14" w:type="dxa"/>
              <w:right w:w="58" w:type="dxa"/>
            </w:tcMar>
            <w:hideMark/>
          </w:tcPr>
          <w:p w14:paraId="197D82F5"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12</w:t>
            </w:r>
          </w:p>
        </w:tc>
        <w:tc>
          <w:tcPr>
            <w:tcW w:w="7463" w:type="dxa"/>
            <w:noWrap/>
            <w:tcMar>
              <w:top w:w="14" w:type="dxa"/>
              <w:left w:w="58" w:type="dxa"/>
              <w:bottom w:w="14" w:type="dxa"/>
              <w:right w:w="58" w:type="dxa"/>
            </w:tcMar>
            <w:hideMark/>
          </w:tcPr>
          <w:p w14:paraId="7F15BCFA"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Proportion of pediatric notifications (0–14 year old) amongst all notifications by geography – India, 2019</w:t>
            </w:r>
          </w:p>
        </w:tc>
        <w:tc>
          <w:tcPr>
            <w:tcW w:w="990" w:type="dxa"/>
            <w:tcMar>
              <w:top w:w="14" w:type="dxa"/>
              <w:left w:w="58" w:type="dxa"/>
              <w:bottom w:w="14" w:type="dxa"/>
              <w:right w:w="58" w:type="dxa"/>
            </w:tcMar>
            <w:hideMark/>
          </w:tcPr>
          <w:p w14:paraId="7FFFCA10" w14:textId="43C073FF"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29</w:t>
            </w:r>
          </w:p>
        </w:tc>
      </w:tr>
      <w:tr w:rsidR="00B240CD" w:rsidRPr="00B00826" w14:paraId="63E9A256" w14:textId="77777777" w:rsidTr="00B00826">
        <w:trPr>
          <w:trHeight w:val="300"/>
        </w:trPr>
        <w:tc>
          <w:tcPr>
            <w:tcW w:w="965" w:type="dxa"/>
            <w:tcMar>
              <w:top w:w="14" w:type="dxa"/>
              <w:left w:w="58" w:type="dxa"/>
              <w:bottom w:w="14" w:type="dxa"/>
              <w:right w:w="58" w:type="dxa"/>
            </w:tcMar>
            <w:hideMark/>
          </w:tcPr>
          <w:p w14:paraId="45F7DC41"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13</w:t>
            </w:r>
          </w:p>
        </w:tc>
        <w:tc>
          <w:tcPr>
            <w:tcW w:w="7463" w:type="dxa"/>
            <w:noWrap/>
            <w:tcMar>
              <w:top w:w="14" w:type="dxa"/>
              <w:left w:w="58" w:type="dxa"/>
              <w:bottom w:w="14" w:type="dxa"/>
              <w:right w:w="58" w:type="dxa"/>
            </w:tcMar>
            <w:hideMark/>
          </w:tcPr>
          <w:p w14:paraId="50C9778A"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Age and sex specific notification per 100,000 person: India, 2012 and 2019</w:t>
            </w:r>
          </w:p>
        </w:tc>
        <w:tc>
          <w:tcPr>
            <w:tcW w:w="990" w:type="dxa"/>
            <w:tcMar>
              <w:top w:w="14" w:type="dxa"/>
              <w:left w:w="58" w:type="dxa"/>
              <w:bottom w:w="14" w:type="dxa"/>
              <w:right w:w="58" w:type="dxa"/>
            </w:tcMar>
            <w:hideMark/>
          </w:tcPr>
          <w:p w14:paraId="5BFBBF60" w14:textId="256EF099"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30</w:t>
            </w:r>
          </w:p>
        </w:tc>
      </w:tr>
      <w:tr w:rsidR="00B240CD" w:rsidRPr="00B00826" w14:paraId="13AFC605" w14:textId="77777777" w:rsidTr="00B00826">
        <w:trPr>
          <w:trHeight w:val="300"/>
        </w:trPr>
        <w:tc>
          <w:tcPr>
            <w:tcW w:w="965" w:type="dxa"/>
            <w:tcMar>
              <w:top w:w="14" w:type="dxa"/>
              <w:left w:w="58" w:type="dxa"/>
              <w:bottom w:w="14" w:type="dxa"/>
              <w:right w:w="58" w:type="dxa"/>
            </w:tcMar>
            <w:hideMark/>
          </w:tcPr>
          <w:p w14:paraId="15059CA1"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14</w:t>
            </w:r>
          </w:p>
        </w:tc>
        <w:tc>
          <w:tcPr>
            <w:tcW w:w="7463" w:type="dxa"/>
            <w:noWrap/>
            <w:tcMar>
              <w:top w:w="14" w:type="dxa"/>
              <w:left w:w="58" w:type="dxa"/>
              <w:bottom w:w="14" w:type="dxa"/>
              <w:right w:w="58" w:type="dxa"/>
            </w:tcMar>
            <w:hideMark/>
          </w:tcPr>
          <w:p w14:paraId="135688BC"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Estimated number of TB patients attributable to social determinants of disease – India, 2018</w:t>
            </w:r>
          </w:p>
        </w:tc>
        <w:tc>
          <w:tcPr>
            <w:tcW w:w="990" w:type="dxa"/>
            <w:tcMar>
              <w:top w:w="14" w:type="dxa"/>
              <w:left w:w="58" w:type="dxa"/>
              <w:bottom w:w="14" w:type="dxa"/>
              <w:right w:w="58" w:type="dxa"/>
            </w:tcMar>
            <w:hideMark/>
          </w:tcPr>
          <w:p w14:paraId="79C84945" w14:textId="1E1F67E1"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30</w:t>
            </w:r>
          </w:p>
        </w:tc>
      </w:tr>
      <w:tr w:rsidR="00B240CD" w:rsidRPr="00B00826" w14:paraId="6DA5A9D7" w14:textId="77777777" w:rsidTr="00B00826">
        <w:trPr>
          <w:trHeight w:val="300"/>
        </w:trPr>
        <w:tc>
          <w:tcPr>
            <w:tcW w:w="965" w:type="dxa"/>
            <w:tcMar>
              <w:top w:w="14" w:type="dxa"/>
              <w:left w:w="58" w:type="dxa"/>
              <w:bottom w:w="14" w:type="dxa"/>
              <w:right w:w="58" w:type="dxa"/>
            </w:tcMar>
            <w:hideMark/>
          </w:tcPr>
          <w:p w14:paraId="594C5B4C"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15</w:t>
            </w:r>
          </w:p>
        </w:tc>
        <w:tc>
          <w:tcPr>
            <w:tcW w:w="7463" w:type="dxa"/>
            <w:noWrap/>
            <w:tcMar>
              <w:top w:w="14" w:type="dxa"/>
              <w:left w:w="58" w:type="dxa"/>
              <w:bottom w:w="14" w:type="dxa"/>
              <w:right w:w="58" w:type="dxa"/>
            </w:tcMar>
            <w:hideMark/>
          </w:tcPr>
          <w:p w14:paraId="61575643" w14:textId="4E9BFCAF"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NTEP impact modeling</w:t>
            </w:r>
          </w:p>
        </w:tc>
        <w:tc>
          <w:tcPr>
            <w:tcW w:w="990" w:type="dxa"/>
            <w:tcMar>
              <w:top w:w="14" w:type="dxa"/>
              <w:left w:w="58" w:type="dxa"/>
              <w:bottom w:w="14" w:type="dxa"/>
              <w:right w:w="58" w:type="dxa"/>
            </w:tcMar>
            <w:hideMark/>
          </w:tcPr>
          <w:p w14:paraId="6E953881" w14:textId="1077EBC6"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34</w:t>
            </w:r>
          </w:p>
        </w:tc>
      </w:tr>
      <w:tr w:rsidR="00B240CD" w:rsidRPr="00B00826" w14:paraId="611AAD99" w14:textId="77777777" w:rsidTr="00B00826">
        <w:trPr>
          <w:trHeight w:val="300"/>
        </w:trPr>
        <w:tc>
          <w:tcPr>
            <w:tcW w:w="965" w:type="dxa"/>
            <w:tcMar>
              <w:top w:w="14" w:type="dxa"/>
              <w:left w:w="58" w:type="dxa"/>
              <w:bottom w:w="14" w:type="dxa"/>
              <w:right w:w="58" w:type="dxa"/>
            </w:tcMar>
            <w:hideMark/>
          </w:tcPr>
          <w:p w14:paraId="07719C6A"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16</w:t>
            </w:r>
          </w:p>
        </w:tc>
        <w:tc>
          <w:tcPr>
            <w:tcW w:w="7463" w:type="dxa"/>
            <w:noWrap/>
            <w:tcMar>
              <w:top w:w="14" w:type="dxa"/>
              <w:left w:w="58" w:type="dxa"/>
              <w:bottom w:w="14" w:type="dxa"/>
              <w:right w:w="58" w:type="dxa"/>
            </w:tcMar>
            <w:hideMark/>
          </w:tcPr>
          <w:p w14:paraId="2C8A3300"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Pillars and strategies of the NSP 2020-25</w:t>
            </w:r>
          </w:p>
        </w:tc>
        <w:tc>
          <w:tcPr>
            <w:tcW w:w="990" w:type="dxa"/>
            <w:tcMar>
              <w:top w:w="14" w:type="dxa"/>
              <w:left w:w="58" w:type="dxa"/>
              <w:bottom w:w="14" w:type="dxa"/>
              <w:right w:w="58" w:type="dxa"/>
            </w:tcMar>
            <w:hideMark/>
          </w:tcPr>
          <w:p w14:paraId="4CD34C15" w14:textId="0E5B77CD"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38</w:t>
            </w:r>
          </w:p>
        </w:tc>
      </w:tr>
      <w:tr w:rsidR="00B240CD" w:rsidRPr="00B00826" w14:paraId="4AA61AF7" w14:textId="77777777" w:rsidTr="00B00826">
        <w:trPr>
          <w:trHeight w:val="300"/>
        </w:trPr>
        <w:tc>
          <w:tcPr>
            <w:tcW w:w="965" w:type="dxa"/>
            <w:tcMar>
              <w:top w:w="14" w:type="dxa"/>
              <w:left w:w="58" w:type="dxa"/>
              <w:bottom w:w="14" w:type="dxa"/>
              <w:right w:w="58" w:type="dxa"/>
            </w:tcMar>
            <w:hideMark/>
          </w:tcPr>
          <w:p w14:paraId="5782BCF8"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17</w:t>
            </w:r>
          </w:p>
        </w:tc>
        <w:tc>
          <w:tcPr>
            <w:tcW w:w="7463" w:type="dxa"/>
            <w:noWrap/>
            <w:tcMar>
              <w:top w:w="14" w:type="dxa"/>
              <w:left w:w="58" w:type="dxa"/>
              <w:bottom w:w="14" w:type="dxa"/>
              <w:right w:w="58" w:type="dxa"/>
            </w:tcMar>
            <w:hideMark/>
          </w:tcPr>
          <w:p w14:paraId="4D984FA2"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NTEP Budgets and Expenditures, 2014 to 2020</w:t>
            </w:r>
          </w:p>
        </w:tc>
        <w:tc>
          <w:tcPr>
            <w:tcW w:w="990" w:type="dxa"/>
            <w:tcMar>
              <w:top w:w="14" w:type="dxa"/>
              <w:left w:w="58" w:type="dxa"/>
              <w:bottom w:w="14" w:type="dxa"/>
              <w:right w:w="58" w:type="dxa"/>
            </w:tcMar>
            <w:hideMark/>
          </w:tcPr>
          <w:p w14:paraId="6733D603" w14:textId="04DD236A"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46</w:t>
            </w:r>
          </w:p>
        </w:tc>
      </w:tr>
      <w:tr w:rsidR="00B240CD" w:rsidRPr="00B00826" w14:paraId="0F7D05F9" w14:textId="77777777" w:rsidTr="00B00826">
        <w:trPr>
          <w:trHeight w:val="300"/>
        </w:trPr>
        <w:tc>
          <w:tcPr>
            <w:tcW w:w="965" w:type="dxa"/>
            <w:tcMar>
              <w:top w:w="14" w:type="dxa"/>
              <w:left w:w="58" w:type="dxa"/>
              <w:bottom w:w="14" w:type="dxa"/>
              <w:right w:w="58" w:type="dxa"/>
            </w:tcMar>
            <w:hideMark/>
          </w:tcPr>
          <w:p w14:paraId="61654275"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18</w:t>
            </w:r>
          </w:p>
        </w:tc>
        <w:tc>
          <w:tcPr>
            <w:tcW w:w="7463" w:type="dxa"/>
            <w:noWrap/>
            <w:tcMar>
              <w:top w:w="14" w:type="dxa"/>
              <w:left w:w="58" w:type="dxa"/>
              <w:bottom w:w="14" w:type="dxa"/>
              <w:right w:w="58" w:type="dxa"/>
            </w:tcMar>
            <w:hideMark/>
          </w:tcPr>
          <w:p w14:paraId="04B35C59"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Burn rate of NTEP funds 2018-2019 by region</w:t>
            </w:r>
          </w:p>
        </w:tc>
        <w:tc>
          <w:tcPr>
            <w:tcW w:w="990" w:type="dxa"/>
            <w:tcMar>
              <w:top w:w="14" w:type="dxa"/>
              <w:left w:w="58" w:type="dxa"/>
              <w:bottom w:w="14" w:type="dxa"/>
              <w:right w:w="58" w:type="dxa"/>
            </w:tcMar>
            <w:hideMark/>
          </w:tcPr>
          <w:p w14:paraId="6FEA6DA3" w14:textId="6407B2C5"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47</w:t>
            </w:r>
          </w:p>
        </w:tc>
      </w:tr>
      <w:tr w:rsidR="00B240CD" w:rsidRPr="00B00826" w14:paraId="7962DD0A" w14:textId="77777777" w:rsidTr="00B00826">
        <w:trPr>
          <w:trHeight w:val="300"/>
        </w:trPr>
        <w:tc>
          <w:tcPr>
            <w:tcW w:w="965" w:type="dxa"/>
            <w:tcMar>
              <w:top w:w="14" w:type="dxa"/>
              <w:left w:w="58" w:type="dxa"/>
              <w:bottom w:w="14" w:type="dxa"/>
              <w:right w:w="58" w:type="dxa"/>
            </w:tcMar>
            <w:hideMark/>
          </w:tcPr>
          <w:p w14:paraId="4A5AC965"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19</w:t>
            </w:r>
          </w:p>
        </w:tc>
        <w:tc>
          <w:tcPr>
            <w:tcW w:w="7463" w:type="dxa"/>
            <w:noWrap/>
            <w:tcMar>
              <w:top w:w="14" w:type="dxa"/>
              <w:left w:w="58" w:type="dxa"/>
              <w:bottom w:w="14" w:type="dxa"/>
              <w:right w:w="58" w:type="dxa"/>
            </w:tcMar>
            <w:hideMark/>
          </w:tcPr>
          <w:p w14:paraId="17ECFA6A"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Vacancy rate (%) for state-level positions</w:t>
            </w:r>
          </w:p>
        </w:tc>
        <w:tc>
          <w:tcPr>
            <w:tcW w:w="990" w:type="dxa"/>
            <w:tcMar>
              <w:top w:w="14" w:type="dxa"/>
              <w:left w:w="58" w:type="dxa"/>
              <w:bottom w:w="14" w:type="dxa"/>
              <w:right w:w="58" w:type="dxa"/>
            </w:tcMar>
            <w:hideMark/>
          </w:tcPr>
          <w:p w14:paraId="794F7C5C" w14:textId="4BA7DA17"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49</w:t>
            </w:r>
          </w:p>
        </w:tc>
      </w:tr>
      <w:tr w:rsidR="00B240CD" w:rsidRPr="00B00826" w14:paraId="070A6A27" w14:textId="77777777" w:rsidTr="00B00826">
        <w:trPr>
          <w:trHeight w:val="300"/>
        </w:trPr>
        <w:tc>
          <w:tcPr>
            <w:tcW w:w="965" w:type="dxa"/>
            <w:tcMar>
              <w:top w:w="14" w:type="dxa"/>
              <w:left w:w="58" w:type="dxa"/>
              <w:bottom w:w="14" w:type="dxa"/>
              <w:right w:w="58" w:type="dxa"/>
            </w:tcMar>
            <w:hideMark/>
          </w:tcPr>
          <w:p w14:paraId="60C6C024"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20</w:t>
            </w:r>
          </w:p>
        </w:tc>
        <w:tc>
          <w:tcPr>
            <w:tcW w:w="7463" w:type="dxa"/>
            <w:tcMar>
              <w:top w:w="14" w:type="dxa"/>
              <w:left w:w="58" w:type="dxa"/>
              <w:bottom w:w="14" w:type="dxa"/>
              <w:right w:w="58" w:type="dxa"/>
            </w:tcMar>
            <w:hideMark/>
          </w:tcPr>
          <w:p w14:paraId="43C61A7E"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Vacancy at CDST labs</w:t>
            </w:r>
          </w:p>
        </w:tc>
        <w:tc>
          <w:tcPr>
            <w:tcW w:w="990" w:type="dxa"/>
            <w:tcMar>
              <w:top w:w="14" w:type="dxa"/>
              <w:left w:w="58" w:type="dxa"/>
              <w:bottom w:w="14" w:type="dxa"/>
              <w:right w:w="58" w:type="dxa"/>
            </w:tcMar>
            <w:hideMark/>
          </w:tcPr>
          <w:p w14:paraId="21F31F74" w14:textId="527D276C"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49</w:t>
            </w:r>
          </w:p>
        </w:tc>
      </w:tr>
      <w:tr w:rsidR="00B240CD" w:rsidRPr="00B00826" w14:paraId="4B331609" w14:textId="77777777" w:rsidTr="00B00826">
        <w:trPr>
          <w:trHeight w:val="300"/>
        </w:trPr>
        <w:tc>
          <w:tcPr>
            <w:tcW w:w="965" w:type="dxa"/>
            <w:tcMar>
              <w:top w:w="14" w:type="dxa"/>
              <w:left w:w="58" w:type="dxa"/>
              <w:bottom w:w="14" w:type="dxa"/>
              <w:right w:w="58" w:type="dxa"/>
            </w:tcMar>
            <w:hideMark/>
          </w:tcPr>
          <w:p w14:paraId="359718CF"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21</w:t>
            </w:r>
          </w:p>
        </w:tc>
        <w:tc>
          <w:tcPr>
            <w:tcW w:w="7463" w:type="dxa"/>
            <w:tcMar>
              <w:top w:w="14" w:type="dxa"/>
              <w:left w:w="58" w:type="dxa"/>
              <w:bottom w:w="14" w:type="dxa"/>
              <w:right w:w="58" w:type="dxa"/>
            </w:tcMar>
            <w:hideMark/>
          </w:tcPr>
          <w:p w14:paraId="009F9159"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Vacancy of accountants</w:t>
            </w:r>
          </w:p>
        </w:tc>
        <w:tc>
          <w:tcPr>
            <w:tcW w:w="990" w:type="dxa"/>
            <w:tcMar>
              <w:top w:w="14" w:type="dxa"/>
              <w:left w:w="58" w:type="dxa"/>
              <w:bottom w:w="14" w:type="dxa"/>
              <w:right w:w="58" w:type="dxa"/>
            </w:tcMar>
            <w:hideMark/>
          </w:tcPr>
          <w:p w14:paraId="0497B623" w14:textId="0A703278"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49</w:t>
            </w:r>
          </w:p>
        </w:tc>
      </w:tr>
      <w:tr w:rsidR="00B240CD" w:rsidRPr="00B00826" w14:paraId="40AD46B1" w14:textId="77777777" w:rsidTr="00B00826">
        <w:trPr>
          <w:trHeight w:val="300"/>
        </w:trPr>
        <w:tc>
          <w:tcPr>
            <w:tcW w:w="965" w:type="dxa"/>
            <w:tcMar>
              <w:top w:w="14" w:type="dxa"/>
              <w:left w:w="58" w:type="dxa"/>
              <w:bottom w:w="14" w:type="dxa"/>
              <w:right w:w="58" w:type="dxa"/>
            </w:tcMar>
            <w:hideMark/>
          </w:tcPr>
          <w:p w14:paraId="01E13AE3"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22</w:t>
            </w:r>
          </w:p>
        </w:tc>
        <w:tc>
          <w:tcPr>
            <w:tcW w:w="7463" w:type="dxa"/>
            <w:tcMar>
              <w:top w:w="14" w:type="dxa"/>
              <w:left w:w="58" w:type="dxa"/>
              <w:bottom w:w="14" w:type="dxa"/>
              <w:right w:w="58" w:type="dxa"/>
            </w:tcMar>
            <w:hideMark/>
          </w:tcPr>
          <w:p w14:paraId="389CC200"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National level NTEP organogram</w:t>
            </w:r>
          </w:p>
        </w:tc>
        <w:tc>
          <w:tcPr>
            <w:tcW w:w="990" w:type="dxa"/>
            <w:tcMar>
              <w:top w:w="14" w:type="dxa"/>
              <w:left w:w="58" w:type="dxa"/>
              <w:bottom w:w="14" w:type="dxa"/>
              <w:right w:w="58" w:type="dxa"/>
            </w:tcMar>
            <w:hideMark/>
          </w:tcPr>
          <w:p w14:paraId="70CB41EE" w14:textId="57A93F4A"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50</w:t>
            </w:r>
          </w:p>
        </w:tc>
      </w:tr>
      <w:tr w:rsidR="00B240CD" w:rsidRPr="00B00826" w14:paraId="104EE719" w14:textId="77777777" w:rsidTr="00B00826">
        <w:trPr>
          <w:trHeight w:val="300"/>
        </w:trPr>
        <w:tc>
          <w:tcPr>
            <w:tcW w:w="965" w:type="dxa"/>
            <w:tcMar>
              <w:top w:w="14" w:type="dxa"/>
              <w:left w:w="58" w:type="dxa"/>
              <w:bottom w:w="14" w:type="dxa"/>
              <w:right w:w="58" w:type="dxa"/>
            </w:tcMar>
            <w:hideMark/>
          </w:tcPr>
          <w:p w14:paraId="527DB843"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23</w:t>
            </w:r>
          </w:p>
        </w:tc>
        <w:tc>
          <w:tcPr>
            <w:tcW w:w="7463" w:type="dxa"/>
            <w:noWrap/>
            <w:tcMar>
              <w:top w:w="14" w:type="dxa"/>
              <w:left w:w="58" w:type="dxa"/>
              <w:bottom w:w="14" w:type="dxa"/>
              <w:right w:w="58" w:type="dxa"/>
            </w:tcMar>
            <w:hideMark/>
          </w:tcPr>
          <w:p w14:paraId="3C12B284"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 xml:space="preserve">National Level Consultants </w:t>
            </w:r>
          </w:p>
        </w:tc>
        <w:tc>
          <w:tcPr>
            <w:tcW w:w="990" w:type="dxa"/>
            <w:tcMar>
              <w:top w:w="14" w:type="dxa"/>
              <w:left w:w="58" w:type="dxa"/>
              <w:bottom w:w="14" w:type="dxa"/>
              <w:right w:w="58" w:type="dxa"/>
            </w:tcMar>
            <w:hideMark/>
          </w:tcPr>
          <w:p w14:paraId="34573311" w14:textId="4916CF6C"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50</w:t>
            </w:r>
          </w:p>
        </w:tc>
      </w:tr>
      <w:tr w:rsidR="00B240CD" w:rsidRPr="00B00826" w14:paraId="28FDF4D1" w14:textId="77777777" w:rsidTr="00B00826">
        <w:trPr>
          <w:trHeight w:val="300"/>
        </w:trPr>
        <w:tc>
          <w:tcPr>
            <w:tcW w:w="965" w:type="dxa"/>
            <w:tcMar>
              <w:top w:w="14" w:type="dxa"/>
              <w:left w:w="58" w:type="dxa"/>
              <w:bottom w:w="14" w:type="dxa"/>
              <w:right w:w="58" w:type="dxa"/>
            </w:tcMar>
            <w:hideMark/>
          </w:tcPr>
          <w:p w14:paraId="3E046E58"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24</w:t>
            </w:r>
          </w:p>
        </w:tc>
        <w:tc>
          <w:tcPr>
            <w:tcW w:w="7463" w:type="dxa"/>
            <w:tcMar>
              <w:top w:w="14" w:type="dxa"/>
              <w:left w:w="58" w:type="dxa"/>
              <w:bottom w:w="14" w:type="dxa"/>
              <w:right w:w="58" w:type="dxa"/>
            </w:tcMar>
            <w:hideMark/>
          </w:tcPr>
          <w:p w14:paraId="4B09EBA7"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National TSU</w:t>
            </w:r>
          </w:p>
        </w:tc>
        <w:tc>
          <w:tcPr>
            <w:tcW w:w="990" w:type="dxa"/>
            <w:tcMar>
              <w:top w:w="14" w:type="dxa"/>
              <w:left w:w="58" w:type="dxa"/>
              <w:bottom w:w="14" w:type="dxa"/>
              <w:right w:w="58" w:type="dxa"/>
            </w:tcMar>
            <w:hideMark/>
          </w:tcPr>
          <w:p w14:paraId="56A23CA9" w14:textId="6E5FDA10"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50</w:t>
            </w:r>
          </w:p>
        </w:tc>
      </w:tr>
      <w:tr w:rsidR="00B240CD" w:rsidRPr="00B00826" w14:paraId="256249EA" w14:textId="77777777" w:rsidTr="00B00826">
        <w:trPr>
          <w:trHeight w:val="300"/>
        </w:trPr>
        <w:tc>
          <w:tcPr>
            <w:tcW w:w="965" w:type="dxa"/>
            <w:tcMar>
              <w:top w:w="14" w:type="dxa"/>
              <w:left w:w="58" w:type="dxa"/>
              <w:bottom w:w="14" w:type="dxa"/>
              <w:right w:w="58" w:type="dxa"/>
            </w:tcMar>
            <w:hideMark/>
          </w:tcPr>
          <w:p w14:paraId="31A5AC1A"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25</w:t>
            </w:r>
          </w:p>
        </w:tc>
        <w:tc>
          <w:tcPr>
            <w:tcW w:w="7463" w:type="dxa"/>
            <w:noWrap/>
            <w:tcMar>
              <w:top w:w="14" w:type="dxa"/>
              <w:left w:w="58" w:type="dxa"/>
              <w:bottom w:w="14" w:type="dxa"/>
              <w:right w:w="58" w:type="dxa"/>
            </w:tcMar>
            <w:hideMark/>
          </w:tcPr>
          <w:p w14:paraId="3BC8216F"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State level NTEP Organogram</w:t>
            </w:r>
          </w:p>
        </w:tc>
        <w:tc>
          <w:tcPr>
            <w:tcW w:w="990" w:type="dxa"/>
            <w:tcMar>
              <w:top w:w="14" w:type="dxa"/>
              <w:left w:w="58" w:type="dxa"/>
              <w:bottom w:w="14" w:type="dxa"/>
              <w:right w:w="58" w:type="dxa"/>
            </w:tcMar>
            <w:hideMark/>
          </w:tcPr>
          <w:p w14:paraId="07B77DD0" w14:textId="4B59CAA5"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51</w:t>
            </w:r>
          </w:p>
        </w:tc>
      </w:tr>
      <w:tr w:rsidR="00B240CD" w:rsidRPr="00B00826" w14:paraId="4C822D29" w14:textId="77777777" w:rsidTr="00B00826">
        <w:trPr>
          <w:trHeight w:val="300"/>
        </w:trPr>
        <w:tc>
          <w:tcPr>
            <w:tcW w:w="965" w:type="dxa"/>
            <w:tcMar>
              <w:top w:w="14" w:type="dxa"/>
              <w:left w:w="58" w:type="dxa"/>
              <w:bottom w:w="14" w:type="dxa"/>
              <w:right w:w="58" w:type="dxa"/>
            </w:tcMar>
            <w:hideMark/>
          </w:tcPr>
          <w:p w14:paraId="46BA5612"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26</w:t>
            </w:r>
          </w:p>
        </w:tc>
        <w:tc>
          <w:tcPr>
            <w:tcW w:w="7463" w:type="dxa"/>
            <w:noWrap/>
            <w:tcMar>
              <w:top w:w="14" w:type="dxa"/>
              <w:left w:w="58" w:type="dxa"/>
              <w:bottom w:w="14" w:type="dxa"/>
              <w:right w:w="58" w:type="dxa"/>
            </w:tcMar>
            <w:hideMark/>
          </w:tcPr>
          <w:p w14:paraId="7584D5FD"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State TSU organogram</w:t>
            </w:r>
          </w:p>
        </w:tc>
        <w:tc>
          <w:tcPr>
            <w:tcW w:w="990" w:type="dxa"/>
            <w:tcMar>
              <w:top w:w="14" w:type="dxa"/>
              <w:left w:w="58" w:type="dxa"/>
              <w:bottom w:w="14" w:type="dxa"/>
              <w:right w:w="58" w:type="dxa"/>
            </w:tcMar>
            <w:hideMark/>
          </w:tcPr>
          <w:p w14:paraId="041248DE" w14:textId="38022BC6"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51</w:t>
            </w:r>
          </w:p>
        </w:tc>
      </w:tr>
      <w:tr w:rsidR="00B240CD" w:rsidRPr="00B00826" w14:paraId="06CFCB08" w14:textId="77777777" w:rsidTr="00B00826">
        <w:trPr>
          <w:trHeight w:val="300"/>
        </w:trPr>
        <w:tc>
          <w:tcPr>
            <w:tcW w:w="965" w:type="dxa"/>
            <w:tcMar>
              <w:top w:w="14" w:type="dxa"/>
              <w:left w:w="58" w:type="dxa"/>
              <w:bottom w:w="14" w:type="dxa"/>
              <w:right w:w="58" w:type="dxa"/>
            </w:tcMar>
            <w:hideMark/>
          </w:tcPr>
          <w:p w14:paraId="390B66CB"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lastRenderedPageBreak/>
              <w:t>Figure 27</w:t>
            </w:r>
          </w:p>
        </w:tc>
        <w:tc>
          <w:tcPr>
            <w:tcW w:w="7463" w:type="dxa"/>
            <w:noWrap/>
            <w:tcMar>
              <w:top w:w="14" w:type="dxa"/>
              <w:left w:w="58" w:type="dxa"/>
              <w:bottom w:w="14" w:type="dxa"/>
              <w:right w:w="58" w:type="dxa"/>
            </w:tcMar>
            <w:hideMark/>
          </w:tcPr>
          <w:p w14:paraId="05735EFA"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District level NTEP Organogram</w:t>
            </w:r>
          </w:p>
        </w:tc>
        <w:tc>
          <w:tcPr>
            <w:tcW w:w="990" w:type="dxa"/>
            <w:tcMar>
              <w:top w:w="14" w:type="dxa"/>
              <w:left w:w="58" w:type="dxa"/>
              <w:bottom w:w="14" w:type="dxa"/>
              <w:right w:w="58" w:type="dxa"/>
            </w:tcMar>
            <w:hideMark/>
          </w:tcPr>
          <w:p w14:paraId="360F5F82" w14:textId="7085B9FB"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51</w:t>
            </w:r>
          </w:p>
        </w:tc>
      </w:tr>
      <w:tr w:rsidR="00B240CD" w:rsidRPr="00B00826" w14:paraId="7143093D" w14:textId="77777777" w:rsidTr="00B00826">
        <w:trPr>
          <w:trHeight w:val="300"/>
        </w:trPr>
        <w:tc>
          <w:tcPr>
            <w:tcW w:w="965" w:type="dxa"/>
            <w:tcMar>
              <w:top w:w="14" w:type="dxa"/>
              <w:left w:w="58" w:type="dxa"/>
              <w:bottom w:w="14" w:type="dxa"/>
              <w:right w:w="58" w:type="dxa"/>
            </w:tcMar>
            <w:hideMark/>
          </w:tcPr>
          <w:p w14:paraId="6CACAC59"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28</w:t>
            </w:r>
          </w:p>
        </w:tc>
        <w:tc>
          <w:tcPr>
            <w:tcW w:w="7463" w:type="dxa"/>
            <w:noWrap/>
            <w:tcMar>
              <w:top w:w="14" w:type="dxa"/>
              <w:left w:w="58" w:type="dxa"/>
              <w:bottom w:w="14" w:type="dxa"/>
              <w:right w:w="58" w:type="dxa"/>
            </w:tcMar>
            <w:hideMark/>
          </w:tcPr>
          <w:p w14:paraId="375CC63F"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 xml:space="preserve">Proposed structure of the NTEP and its support structures </w:t>
            </w:r>
          </w:p>
        </w:tc>
        <w:tc>
          <w:tcPr>
            <w:tcW w:w="990" w:type="dxa"/>
            <w:tcMar>
              <w:top w:w="14" w:type="dxa"/>
              <w:left w:w="58" w:type="dxa"/>
              <w:bottom w:w="14" w:type="dxa"/>
              <w:right w:w="58" w:type="dxa"/>
            </w:tcMar>
            <w:hideMark/>
          </w:tcPr>
          <w:p w14:paraId="7D2E38B9" w14:textId="14F92469"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58</w:t>
            </w:r>
          </w:p>
        </w:tc>
      </w:tr>
      <w:tr w:rsidR="00B240CD" w:rsidRPr="00B00826" w14:paraId="701A1B7E" w14:textId="77777777" w:rsidTr="00B00826">
        <w:trPr>
          <w:trHeight w:val="300"/>
        </w:trPr>
        <w:tc>
          <w:tcPr>
            <w:tcW w:w="965" w:type="dxa"/>
            <w:tcMar>
              <w:top w:w="14" w:type="dxa"/>
              <w:left w:w="58" w:type="dxa"/>
              <w:bottom w:w="14" w:type="dxa"/>
              <w:right w:w="58" w:type="dxa"/>
            </w:tcMar>
            <w:hideMark/>
          </w:tcPr>
          <w:p w14:paraId="33C66910"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29</w:t>
            </w:r>
          </w:p>
        </w:tc>
        <w:tc>
          <w:tcPr>
            <w:tcW w:w="7463" w:type="dxa"/>
            <w:noWrap/>
            <w:tcMar>
              <w:top w:w="14" w:type="dxa"/>
              <w:left w:w="58" w:type="dxa"/>
              <w:bottom w:w="14" w:type="dxa"/>
              <w:right w:w="58" w:type="dxa"/>
            </w:tcMar>
            <w:hideMark/>
          </w:tcPr>
          <w:p w14:paraId="5DB9670C"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Diagrammatic representation of the current ICT Landscape for TB Care</w:t>
            </w:r>
          </w:p>
        </w:tc>
        <w:tc>
          <w:tcPr>
            <w:tcW w:w="990" w:type="dxa"/>
            <w:tcMar>
              <w:top w:w="14" w:type="dxa"/>
              <w:left w:w="58" w:type="dxa"/>
              <w:bottom w:w="14" w:type="dxa"/>
              <w:right w:w="58" w:type="dxa"/>
            </w:tcMar>
            <w:hideMark/>
          </w:tcPr>
          <w:p w14:paraId="2CB32834" w14:textId="71BF49F0"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65</w:t>
            </w:r>
          </w:p>
        </w:tc>
      </w:tr>
      <w:tr w:rsidR="00B240CD" w:rsidRPr="00B00826" w14:paraId="3610917F" w14:textId="77777777" w:rsidTr="00B00826">
        <w:trPr>
          <w:trHeight w:val="300"/>
        </w:trPr>
        <w:tc>
          <w:tcPr>
            <w:tcW w:w="965" w:type="dxa"/>
            <w:tcMar>
              <w:top w:w="14" w:type="dxa"/>
              <w:left w:w="58" w:type="dxa"/>
              <w:bottom w:w="14" w:type="dxa"/>
              <w:right w:w="58" w:type="dxa"/>
            </w:tcMar>
            <w:hideMark/>
          </w:tcPr>
          <w:p w14:paraId="349DB15A"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30</w:t>
            </w:r>
          </w:p>
        </w:tc>
        <w:tc>
          <w:tcPr>
            <w:tcW w:w="7463" w:type="dxa"/>
            <w:noWrap/>
            <w:tcMar>
              <w:top w:w="14" w:type="dxa"/>
              <w:left w:w="58" w:type="dxa"/>
              <w:bottom w:w="14" w:type="dxa"/>
              <w:right w:w="58" w:type="dxa"/>
            </w:tcMar>
            <w:hideMark/>
          </w:tcPr>
          <w:p w14:paraId="20A997D9"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Stakeholders in the ICT Landscape for TB care</w:t>
            </w:r>
          </w:p>
        </w:tc>
        <w:tc>
          <w:tcPr>
            <w:tcW w:w="990" w:type="dxa"/>
            <w:tcMar>
              <w:top w:w="14" w:type="dxa"/>
              <w:left w:w="58" w:type="dxa"/>
              <w:bottom w:w="14" w:type="dxa"/>
              <w:right w:w="58" w:type="dxa"/>
            </w:tcMar>
            <w:hideMark/>
          </w:tcPr>
          <w:p w14:paraId="2533249E" w14:textId="3D7FD2B4"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92</w:t>
            </w:r>
          </w:p>
        </w:tc>
      </w:tr>
      <w:tr w:rsidR="00B240CD" w:rsidRPr="00B00826" w14:paraId="52CB3887" w14:textId="77777777" w:rsidTr="00B00826">
        <w:trPr>
          <w:trHeight w:val="300"/>
        </w:trPr>
        <w:tc>
          <w:tcPr>
            <w:tcW w:w="965" w:type="dxa"/>
            <w:tcMar>
              <w:top w:w="14" w:type="dxa"/>
              <w:left w:w="58" w:type="dxa"/>
              <w:bottom w:w="14" w:type="dxa"/>
              <w:right w:w="58" w:type="dxa"/>
            </w:tcMar>
            <w:hideMark/>
          </w:tcPr>
          <w:p w14:paraId="34AA95A5"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31</w:t>
            </w:r>
          </w:p>
        </w:tc>
        <w:tc>
          <w:tcPr>
            <w:tcW w:w="7463" w:type="dxa"/>
            <w:noWrap/>
            <w:tcMar>
              <w:top w:w="14" w:type="dxa"/>
              <w:left w:w="58" w:type="dxa"/>
              <w:bottom w:w="14" w:type="dxa"/>
              <w:right w:w="58" w:type="dxa"/>
            </w:tcMar>
            <w:hideMark/>
          </w:tcPr>
          <w:p w14:paraId="0F3BB2FC"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Proposed Organizational structure of national knowledge department</w:t>
            </w:r>
          </w:p>
        </w:tc>
        <w:tc>
          <w:tcPr>
            <w:tcW w:w="990" w:type="dxa"/>
            <w:tcMar>
              <w:top w:w="14" w:type="dxa"/>
              <w:left w:w="58" w:type="dxa"/>
              <w:bottom w:w="14" w:type="dxa"/>
              <w:right w:w="58" w:type="dxa"/>
            </w:tcMar>
            <w:hideMark/>
          </w:tcPr>
          <w:p w14:paraId="004E3170" w14:textId="346DF2D3"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93</w:t>
            </w:r>
          </w:p>
        </w:tc>
      </w:tr>
      <w:tr w:rsidR="00B240CD" w:rsidRPr="00B00826" w14:paraId="224F9714" w14:textId="77777777" w:rsidTr="00B00826">
        <w:trPr>
          <w:trHeight w:val="470"/>
        </w:trPr>
        <w:tc>
          <w:tcPr>
            <w:tcW w:w="965" w:type="dxa"/>
            <w:tcMar>
              <w:top w:w="14" w:type="dxa"/>
              <w:left w:w="58" w:type="dxa"/>
              <w:bottom w:w="14" w:type="dxa"/>
              <w:right w:w="58" w:type="dxa"/>
            </w:tcMar>
            <w:hideMark/>
          </w:tcPr>
          <w:p w14:paraId="59447EA4"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32</w:t>
            </w:r>
          </w:p>
        </w:tc>
        <w:tc>
          <w:tcPr>
            <w:tcW w:w="7463" w:type="dxa"/>
            <w:tcMar>
              <w:top w:w="14" w:type="dxa"/>
              <w:left w:w="58" w:type="dxa"/>
              <w:bottom w:w="14" w:type="dxa"/>
              <w:right w:w="58" w:type="dxa"/>
            </w:tcMar>
            <w:hideMark/>
          </w:tcPr>
          <w:p w14:paraId="33BB3B83"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lang w:val="en"/>
              </w:rPr>
              <w:t>Work tracks of the Technical Support Unit and the Roles and Responsibilities of each work track</w:t>
            </w:r>
          </w:p>
        </w:tc>
        <w:tc>
          <w:tcPr>
            <w:tcW w:w="990" w:type="dxa"/>
            <w:tcMar>
              <w:top w:w="14" w:type="dxa"/>
              <w:left w:w="58" w:type="dxa"/>
              <w:bottom w:w="14" w:type="dxa"/>
              <w:right w:w="58" w:type="dxa"/>
            </w:tcMar>
            <w:hideMark/>
          </w:tcPr>
          <w:p w14:paraId="30E6D394" w14:textId="790B8252"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94</w:t>
            </w:r>
          </w:p>
        </w:tc>
      </w:tr>
      <w:tr w:rsidR="00B240CD" w:rsidRPr="00B00826" w14:paraId="3A3A0E60" w14:textId="77777777" w:rsidTr="00B00826">
        <w:trPr>
          <w:trHeight w:val="300"/>
        </w:trPr>
        <w:tc>
          <w:tcPr>
            <w:tcW w:w="965" w:type="dxa"/>
            <w:tcMar>
              <w:top w:w="14" w:type="dxa"/>
              <w:left w:w="58" w:type="dxa"/>
              <w:bottom w:w="14" w:type="dxa"/>
              <w:right w:w="58" w:type="dxa"/>
            </w:tcMar>
            <w:hideMark/>
          </w:tcPr>
          <w:p w14:paraId="6263AA96"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33</w:t>
            </w:r>
          </w:p>
        </w:tc>
        <w:tc>
          <w:tcPr>
            <w:tcW w:w="7463" w:type="dxa"/>
            <w:noWrap/>
            <w:tcMar>
              <w:top w:w="14" w:type="dxa"/>
              <w:left w:w="58" w:type="dxa"/>
              <w:bottom w:w="14" w:type="dxa"/>
              <w:right w:w="58" w:type="dxa"/>
            </w:tcMar>
            <w:hideMark/>
          </w:tcPr>
          <w:p w14:paraId="249431E8"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The proposed ICT system</w:t>
            </w:r>
          </w:p>
        </w:tc>
        <w:tc>
          <w:tcPr>
            <w:tcW w:w="990" w:type="dxa"/>
            <w:tcMar>
              <w:top w:w="14" w:type="dxa"/>
              <w:left w:w="58" w:type="dxa"/>
              <w:bottom w:w="14" w:type="dxa"/>
              <w:right w:w="58" w:type="dxa"/>
            </w:tcMar>
            <w:hideMark/>
          </w:tcPr>
          <w:p w14:paraId="644B5CF5" w14:textId="39CB8993"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95</w:t>
            </w:r>
          </w:p>
        </w:tc>
      </w:tr>
      <w:tr w:rsidR="00B240CD" w:rsidRPr="00B00826" w14:paraId="546B7F63" w14:textId="77777777" w:rsidTr="00B00826">
        <w:trPr>
          <w:trHeight w:val="300"/>
        </w:trPr>
        <w:tc>
          <w:tcPr>
            <w:tcW w:w="965" w:type="dxa"/>
            <w:tcMar>
              <w:top w:w="14" w:type="dxa"/>
              <w:left w:w="58" w:type="dxa"/>
              <w:bottom w:w="14" w:type="dxa"/>
              <w:right w:w="58" w:type="dxa"/>
            </w:tcMar>
            <w:hideMark/>
          </w:tcPr>
          <w:p w14:paraId="60465DE0"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34</w:t>
            </w:r>
          </w:p>
        </w:tc>
        <w:tc>
          <w:tcPr>
            <w:tcW w:w="7463" w:type="dxa"/>
            <w:noWrap/>
            <w:tcMar>
              <w:top w:w="14" w:type="dxa"/>
              <w:left w:w="58" w:type="dxa"/>
              <w:bottom w:w="14" w:type="dxa"/>
              <w:right w:w="58" w:type="dxa"/>
            </w:tcMar>
            <w:hideMark/>
          </w:tcPr>
          <w:p w14:paraId="068C54E3"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 xml:space="preserve">Workload estimation </w:t>
            </w:r>
          </w:p>
        </w:tc>
        <w:tc>
          <w:tcPr>
            <w:tcW w:w="990" w:type="dxa"/>
            <w:tcMar>
              <w:top w:w="14" w:type="dxa"/>
              <w:left w:w="58" w:type="dxa"/>
              <w:bottom w:w="14" w:type="dxa"/>
              <w:right w:w="58" w:type="dxa"/>
            </w:tcMar>
            <w:hideMark/>
          </w:tcPr>
          <w:p w14:paraId="50A13B44" w14:textId="7FA58F7E"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96</w:t>
            </w:r>
          </w:p>
        </w:tc>
      </w:tr>
      <w:tr w:rsidR="00B240CD" w:rsidRPr="00B00826" w14:paraId="4DDB151C" w14:textId="77777777" w:rsidTr="00B00826">
        <w:trPr>
          <w:trHeight w:val="300"/>
        </w:trPr>
        <w:tc>
          <w:tcPr>
            <w:tcW w:w="965" w:type="dxa"/>
            <w:tcMar>
              <w:top w:w="14" w:type="dxa"/>
              <w:left w:w="58" w:type="dxa"/>
              <w:bottom w:w="14" w:type="dxa"/>
              <w:right w:w="58" w:type="dxa"/>
            </w:tcMar>
            <w:hideMark/>
          </w:tcPr>
          <w:p w14:paraId="3B02D115"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35</w:t>
            </w:r>
          </w:p>
        </w:tc>
        <w:tc>
          <w:tcPr>
            <w:tcW w:w="7463" w:type="dxa"/>
            <w:noWrap/>
            <w:tcMar>
              <w:top w:w="14" w:type="dxa"/>
              <w:left w:w="58" w:type="dxa"/>
              <w:bottom w:w="14" w:type="dxa"/>
              <w:right w:w="58" w:type="dxa"/>
            </w:tcMar>
            <w:hideMark/>
          </w:tcPr>
          <w:p w14:paraId="761BDD7B" w14:textId="2C4084B0"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National Framework for a gender responsive approach to TB in India</w:t>
            </w:r>
          </w:p>
        </w:tc>
        <w:tc>
          <w:tcPr>
            <w:tcW w:w="990" w:type="dxa"/>
            <w:tcMar>
              <w:top w:w="14" w:type="dxa"/>
              <w:left w:w="58" w:type="dxa"/>
              <w:bottom w:w="14" w:type="dxa"/>
              <w:right w:w="58" w:type="dxa"/>
            </w:tcMar>
            <w:hideMark/>
          </w:tcPr>
          <w:p w14:paraId="260CA322" w14:textId="57FF127F"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97</w:t>
            </w:r>
          </w:p>
        </w:tc>
      </w:tr>
      <w:tr w:rsidR="00B240CD" w:rsidRPr="00B00826" w14:paraId="44122FD0" w14:textId="77777777" w:rsidTr="00B00826">
        <w:trPr>
          <w:trHeight w:val="300"/>
        </w:trPr>
        <w:tc>
          <w:tcPr>
            <w:tcW w:w="965" w:type="dxa"/>
            <w:tcMar>
              <w:top w:w="14" w:type="dxa"/>
              <w:left w:w="58" w:type="dxa"/>
              <w:bottom w:w="14" w:type="dxa"/>
              <w:right w:w="58" w:type="dxa"/>
            </w:tcMar>
            <w:hideMark/>
          </w:tcPr>
          <w:p w14:paraId="68C5B121"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36</w:t>
            </w:r>
          </w:p>
        </w:tc>
        <w:tc>
          <w:tcPr>
            <w:tcW w:w="7463" w:type="dxa"/>
            <w:noWrap/>
            <w:tcMar>
              <w:top w:w="14" w:type="dxa"/>
              <w:left w:w="58" w:type="dxa"/>
              <w:bottom w:w="14" w:type="dxa"/>
              <w:right w:w="58" w:type="dxa"/>
            </w:tcMar>
            <w:hideMark/>
          </w:tcPr>
          <w:p w14:paraId="032936A7"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 xml:space="preserve">Framework for addressing stigma in NTEP </w:t>
            </w:r>
          </w:p>
        </w:tc>
        <w:tc>
          <w:tcPr>
            <w:tcW w:w="990" w:type="dxa"/>
            <w:tcMar>
              <w:top w:w="14" w:type="dxa"/>
              <w:left w:w="58" w:type="dxa"/>
              <w:bottom w:w="14" w:type="dxa"/>
              <w:right w:w="58" w:type="dxa"/>
            </w:tcMar>
            <w:hideMark/>
          </w:tcPr>
          <w:p w14:paraId="5F225B37" w14:textId="0903AD3E"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104</w:t>
            </w:r>
          </w:p>
        </w:tc>
      </w:tr>
      <w:tr w:rsidR="00B240CD" w:rsidRPr="00B00826" w14:paraId="03EDA0C0" w14:textId="77777777" w:rsidTr="00B00826">
        <w:trPr>
          <w:trHeight w:val="300"/>
        </w:trPr>
        <w:tc>
          <w:tcPr>
            <w:tcW w:w="965" w:type="dxa"/>
            <w:tcMar>
              <w:top w:w="14" w:type="dxa"/>
              <w:left w:w="58" w:type="dxa"/>
              <w:bottom w:w="14" w:type="dxa"/>
              <w:right w:w="58" w:type="dxa"/>
            </w:tcMar>
            <w:hideMark/>
          </w:tcPr>
          <w:p w14:paraId="08C11F73"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37</w:t>
            </w:r>
          </w:p>
        </w:tc>
        <w:tc>
          <w:tcPr>
            <w:tcW w:w="7463" w:type="dxa"/>
            <w:noWrap/>
            <w:tcMar>
              <w:top w:w="14" w:type="dxa"/>
              <w:left w:w="58" w:type="dxa"/>
              <w:bottom w:w="14" w:type="dxa"/>
              <w:right w:w="58" w:type="dxa"/>
            </w:tcMar>
            <w:hideMark/>
          </w:tcPr>
          <w:p w14:paraId="73E02CEE"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lang w:val="en"/>
              </w:rPr>
              <w:t xml:space="preserve">Preventive therapy </w:t>
            </w:r>
          </w:p>
        </w:tc>
        <w:tc>
          <w:tcPr>
            <w:tcW w:w="990" w:type="dxa"/>
            <w:tcMar>
              <w:top w:w="14" w:type="dxa"/>
              <w:left w:w="58" w:type="dxa"/>
              <w:bottom w:w="14" w:type="dxa"/>
              <w:right w:w="58" w:type="dxa"/>
            </w:tcMar>
            <w:hideMark/>
          </w:tcPr>
          <w:p w14:paraId="7A28A277" w14:textId="14682085"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106</w:t>
            </w:r>
          </w:p>
        </w:tc>
      </w:tr>
      <w:tr w:rsidR="00B240CD" w:rsidRPr="00B00826" w14:paraId="747D9D32" w14:textId="77777777" w:rsidTr="00B00826">
        <w:trPr>
          <w:trHeight w:val="300"/>
        </w:trPr>
        <w:tc>
          <w:tcPr>
            <w:tcW w:w="965" w:type="dxa"/>
            <w:tcMar>
              <w:top w:w="14" w:type="dxa"/>
              <w:left w:w="58" w:type="dxa"/>
              <w:bottom w:w="14" w:type="dxa"/>
              <w:right w:w="58" w:type="dxa"/>
            </w:tcMar>
            <w:hideMark/>
          </w:tcPr>
          <w:p w14:paraId="4E3CA06B" w14:textId="77777777" w:rsidR="00B240CD" w:rsidRPr="00B00826" w:rsidRDefault="00B240CD" w:rsidP="00B240CD">
            <w:pPr>
              <w:spacing w:before="0" w:after="0"/>
              <w:rPr>
                <w:rFonts w:asciiTheme="minorHAnsi" w:hAnsiTheme="minorHAnsi" w:cstheme="minorHAnsi"/>
                <w:b/>
              </w:rPr>
            </w:pPr>
            <w:r w:rsidRPr="00B00826">
              <w:rPr>
                <w:rFonts w:asciiTheme="minorHAnsi" w:hAnsiTheme="minorHAnsi" w:cstheme="minorHAnsi"/>
                <w:b/>
              </w:rPr>
              <w:t>Figure 38</w:t>
            </w:r>
          </w:p>
        </w:tc>
        <w:tc>
          <w:tcPr>
            <w:tcW w:w="7463" w:type="dxa"/>
            <w:noWrap/>
            <w:tcMar>
              <w:top w:w="14" w:type="dxa"/>
              <w:left w:w="58" w:type="dxa"/>
              <w:bottom w:w="14" w:type="dxa"/>
              <w:right w:w="58" w:type="dxa"/>
            </w:tcMar>
            <w:hideMark/>
          </w:tcPr>
          <w:p w14:paraId="06E30B55" w14:textId="77777777" w:rsidR="00B240CD" w:rsidRPr="00B00826" w:rsidRDefault="00B240CD" w:rsidP="00B240CD">
            <w:pPr>
              <w:spacing w:before="0" w:after="0"/>
              <w:rPr>
                <w:rFonts w:asciiTheme="minorHAnsi" w:hAnsiTheme="minorHAnsi" w:cstheme="minorHAnsi"/>
                <w:b/>
                <w:bCs/>
              </w:rPr>
            </w:pPr>
            <w:r w:rsidRPr="00B00826">
              <w:rPr>
                <w:rFonts w:asciiTheme="minorHAnsi" w:hAnsiTheme="minorHAnsi" w:cstheme="minorHAnsi"/>
                <w:b/>
                <w:bCs/>
              </w:rPr>
              <w:t xml:space="preserve">Trends in NSP funding </w:t>
            </w:r>
          </w:p>
        </w:tc>
        <w:tc>
          <w:tcPr>
            <w:tcW w:w="990" w:type="dxa"/>
            <w:tcMar>
              <w:top w:w="14" w:type="dxa"/>
              <w:left w:w="58" w:type="dxa"/>
              <w:bottom w:w="14" w:type="dxa"/>
              <w:right w:w="58" w:type="dxa"/>
            </w:tcMar>
            <w:hideMark/>
          </w:tcPr>
          <w:p w14:paraId="4F3662EA" w14:textId="12ABE1AA" w:rsidR="00B240CD" w:rsidRPr="00B00826" w:rsidRDefault="00B240CD" w:rsidP="00B240CD">
            <w:pPr>
              <w:spacing w:before="0" w:after="0"/>
              <w:jc w:val="center"/>
              <w:rPr>
                <w:rFonts w:asciiTheme="minorHAnsi" w:hAnsiTheme="minorHAnsi" w:cstheme="minorHAnsi"/>
                <w:b/>
              </w:rPr>
            </w:pPr>
            <w:r>
              <w:rPr>
                <w:rFonts w:asciiTheme="minorHAnsi" w:hAnsiTheme="minorHAnsi" w:cstheme="minorHAnsi"/>
                <w:b/>
              </w:rPr>
              <w:t>112</w:t>
            </w:r>
          </w:p>
        </w:tc>
      </w:tr>
    </w:tbl>
    <w:p w14:paraId="0EDABA6E" w14:textId="172CA79F" w:rsidR="00AE2A09" w:rsidRDefault="00AE2A09">
      <w:pPr>
        <w:spacing w:before="0" w:after="0"/>
        <w:rPr>
          <w:rFonts w:asciiTheme="minorHAnsi" w:eastAsia="Times New Roman" w:hAnsiTheme="minorHAnsi" w:cstheme="minorHAnsi"/>
          <w:b/>
          <w:caps/>
          <w:snapToGrid w:val="0"/>
          <w:sz w:val="56"/>
          <w:szCs w:val="20"/>
        </w:rPr>
      </w:pPr>
      <w:r>
        <w:rPr>
          <w:rFonts w:asciiTheme="minorHAnsi" w:hAnsiTheme="minorHAnsi" w:cstheme="minorHAnsi"/>
          <w:b/>
        </w:rPr>
        <w:br w:type="page"/>
      </w:r>
    </w:p>
    <w:p w14:paraId="1DFD1367" w14:textId="3A8802A8" w:rsidR="00130AA3" w:rsidRPr="00734B6A" w:rsidRDefault="00130AA3" w:rsidP="00663C3B">
      <w:pPr>
        <w:pStyle w:val="Heading0"/>
        <w:shd w:val="clear" w:color="auto" w:fill="auto"/>
        <w:jc w:val="left"/>
        <w:rPr>
          <w:rFonts w:asciiTheme="minorHAnsi" w:hAnsiTheme="minorHAnsi" w:cstheme="minorHAnsi"/>
          <w:b/>
          <w:color w:val="auto"/>
        </w:rPr>
      </w:pPr>
      <w:r w:rsidRPr="00734B6A">
        <w:rPr>
          <w:rFonts w:asciiTheme="minorHAnsi" w:hAnsiTheme="minorHAnsi" w:cstheme="minorHAnsi"/>
          <w:b/>
          <w:color w:val="auto"/>
        </w:rPr>
        <w:lastRenderedPageBreak/>
        <w:t>Acronyms</w:t>
      </w:r>
      <w:bookmarkEnd w:id="1"/>
      <w:bookmarkEnd w:id="2"/>
    </w:p>
    <w:p w14:paraId="10DE143D" w14:textId="77777777" w:rsidR="00EF4727" w:rsidRDefault="00EF4727" w:rsidP="00C129C4">
      <w:pPr>
        <w:spacing w:before="0" w:after="0"/>
        <w:jc w:val="both"/>
        <w:rPr>
          <w:rFonts w:asciiTheme="minorHAnsi" w:hAnsiTheme="minorHAnsi" w:cstheme="minorHAnsi"/>
          <w:b/>
          <w:sz w:val="16"/>
          <w:szCs w:val="16"/>
        </w:rPr>
        <w:sectPr w:rsidR="00EF4727" w:rsidSect="00D02C5D">
          <w:headerReference w:type="even" r:id="rId14"/>
          <w:headerReference w:type="default" r:id="rId15"/>
          <w:footerReference w:type="even" r:id="rId16"/>
          <w:headerReference w:type="first" r:id="rId17"/>
          <w:footerReference w:type="first" r:id="rId18"/>
          <w:type w:val="evenPage"/>
          <w:pgSz w:w="11907" w:h="16839" w:code="9"/>
          <w:pgMar w:top="1440" w:right="1440" w:bottom="1728" w:left="1440" w:header="720" w:footer="720" w:gutter="0"/>
          <w:cols w:space="360"/>
          <w:titlePg/>
        </w:sectPr>
      </w:pPr>
    </w:p>
    <w:p w14:paraId="291CB04A" w14:textId="1F0AAAC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AB-PMJAY</w:t>
      </w:r>
      <w:r>
        <w:rPr>
          <w:rFonts w:asciiTheme="minorHAnsi" w:eastAsia="Times New Roman" w:hAnsiTheme="minorHAnsi" w:cstheme="minorHAnsi"/>
          <w:sz w:val="16"/>
          <w:szCs w:val="16"/>
        </w:rPr>
        <w:tab/>
      </w:r>
      <w:r>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Ayushman Bharat - Pradhan Mantri Jan Arogya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Yojana </w:t>
      </w:r>
    </w:p>
    <w:p w14:paraId="4CA3DEEC" w14:textId="60E84DCA" w:rsidR="00AB06A2" w:rsidRPr="00194FAC" w:rsidRDefault="00AB06A2" w:rsidP="00A75913">
      <w:pPr>
        <w:spacing w:before="0" w:after="0"/>
        <w:ind w:right="-167"/>
        <w:rPr>
          <w:rFonts w:asciiTheme="minorHAnsi" w:eastAsia="Times New Roman" w:hAnsiTheme="minorHAnsi" w:cstheme="minorHAnsi"/>
          <w:sz w:val="16"/>
          <w:szCs w:val="16"/>
        </w:rPr>
      </w:pPr>
      <w:r>
        <w:rPr>
          <w:rFonts w:asciiTheme="minorHAnsi" w:eastAsia="Times New Roman" w:hAnsiTheme="minorHAnsi" w:cstheme="minorHAnsi"/>
          <w:sz w:val="16"/>
          <w:szCs w:val="16"/>
        </w:rPr>
        <w:t>ACSM</w:t>
      </w:r>
      <w:r>
        <w:rPr>
          <w:rFonts w:asciiTheme="minorHAnsi" w:eastAsia="Times New Roman" w:hAnsiTheme="minorHAnsi" w:cstheme="minorHAnsi"/>
          <w:sz w:val="16"/>
          <w:szCs w:val="16"/>
        </w:rPr>
        <w:tab/>
      </w:r>
      <w:r>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Advocacy, Communication, and Social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Mobilization </w:t>
      </w:r>
    </w:p>
    <w:p w14:paraId="45ABEDFC" w14:textId="7522CFFF" w:rsidR="00AB06A2" w:rsidRPr="00194FAC" w:rsidRDefault="00AB06A2" w:rsidP="00A75913">
      <w:pPr>
        <w:spacing w:before="0" w:after="0"/>
        <w:ind w:right="-167"/>
        <w:rPr>
          <w:rFonts w:asciiTheme="minorHAnsi" w:eastAsia="Times New Roman" w:hAnsiTheme="minorHAnsi" w:cstheme="minorHAnsi"/>
          <w:sz w:val="16"/>
          <w:szCs w:val="16"/>
        </w:rPr>
      </w:pPr>
      <w:r>
        <w:rPr>
          <w:rFonts w:asciiTheme="minorHAnsi" w:eastAsia="Times New Roman" w:hAnsiTheme="minorHAnsi" w:cstheme="minorHAnsi"/>
          <w:sz w:val="16"/>
          <w:szCs w:val="16"/>
        </w:rPr>
        <w:t>ACF</w:t>
      </w:r>
      <w:r>
        <w:rPr>
          <w:rFonts w:asciiTheme="minorHAnsi" w:eastAsia="Times New Roman" w:hAnsiTheme="minorHAnsi" w:cstheme="minorHAnsi"/>
          <w:sz w:val="16"/>
          <w:szCs w:val="16"/>
        </w:rPr>
        <w:tab/>
      </w:r>
      <w:r>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Active Case Finding</w:t>
      </w:r>
    </w:p>
    <w:p w14:paraId="6FD5A5C0" w14:textId="330A2DD2" w:rsidR="00AB06A2" w:rsidRPr="00194FAC" w:rsidRDefault="00AB06A2" w:rsidP="00A75913">
      <w:pPr>
        <w:spacing w:before="0" w:after="0"/>
        <w:ind w:right="-167"/>
        <w:rPr>
          <w:rFonts w:asciiTheme="minorHAnsi" w:eastAsia="Times New Roman" w:hAnsiTheme="minorHAnsi" w:cstheme="minorHAnsi"/>
          <w:sz w:val="16"/>
          <w:szCs w:val="16"/>
        </w:rPr>
      </w:pPr>
      <w:r>
        <w:rPr>
          <w:rFonts w:asciiTheme="minorHAnsi" w:eastAsia="Times New Roman" w:hAnsiTheme="minorHAnsi" w:cstheme="minorHAnsi"/>
          <w:sz w:val="16"/>
          <w:szCs w:val="16"/>
        </w:rPr>
        <w:t>ADR</w:t>
      </w:r>
      <w:r>
        <w:rPr>
          <w:rFonts w:asciiTheme="minorHAnsi" w:eastAsia="Times New Roman" w:hAnsiTheme="minorHAnsi" w:cstheme="minorHAnsi"/>
          <w:sz w:val="16"/>
          <w:szCs w:val="16"/>
        </w:rPr>
        <w:tab/>
      </w:r>
      <w:r>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Adverse Drug Reaction</w:t>
      </w:r>
    </w:p>
    <w:p w14:paraId="7244A258" w14:textId="301E5207" w:rsidR="00AB06A2" w:rsidRPr="00194FAC" w:rsidRDefault="00AB06A2" w:rsidP="00A75913">
      <w:pPr>
        <w:spacing w:before="0" w:after="0"/>
        <w:ind w:right="-167"/>
        <w:rPr>
          <w:rFonts w:asciiTheme="minorHAnsi" w:eastAsia="Times New Roman" w:hAnsiTheme="minorHAnsi" w:cstheme="minorHAnsi"/>
          <w:sz w:val="16"/>
          <w:szCs w:val="16"/>
        </w:rPr>
      </w:pPr>
      <w:r>
        <w:rPr>
          <w:rFonts w:asciiTheme="minorHAnsi" w:eastAsia="Times New Roman" w:hAnsiTheme="minorHAnsi" w:cstheme="minorHAnsi"/>
          <w:sz w:val="16"/>
          <w:szCs w:val="16"/>
        </w:rPr>
        <w:t>ADSM</w:t>
      </w:r>
      <w:r>
        <w:rPr>
          <w:rFonts w:asciiTheme="minorHAnsi" w:eastAsia="Times New Roman" w:hAnsiTheme="minorHAnsi" w:cstheme="minorHAnsi"/>
          <w:sz w:val="16"/>
          <w:szCs w:val="16"/>
        </w:rPr>
        <w:tab/>
      </w:r>
      <w:r>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Active Drug Safety Monitoring and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Management </w:t>
      </w:r>
    </w:p>
    <w:p w14:paraId="4E1503E0" w14:textId="1296C3AC" w:rsidR="00AB06A2" w:rsidRPr="00194FAC" w:rsidRDefault="00AB06A2" w:rsidP="00A75913">
      <w:pPr>
        <w:spacing w:before="0" w:after="0"/>
        <w:ind w:right="-167"/>
        <w:rPr>
          <w:rFonts w:asciiTheme="minorHAnsi" w:eastAsia="Times New Roman" w:hAnsiTheme="minorHAnsi" w:cstheme="minorHAnsi"/>
          <w:sz w:val="16"/>
          <w:szCs w:val="16"/>
        </w:rPr>
      </w:pPr>
      <w:r>
        <w:rPr>
          <w:rFonts w:asciiTheme="minorHAnsi" w:eastAsia="Times New Roman" w:hAnsiTheme="minorHAnsi" w:cstheme="minorHAnsi"/>
          <w:sz w:val="16"/>
          <w:szCs w:val="16"/>
        </w:rPr>
        <w:t>AE</w:t>
      </w:r>
      <w:r>
        <w:rPr>
          <w:rFonts w:asciiTheme="minorHAnsi" w:eastAsia="Times New Roman" w:hAnsiTheme="minorHAnsi" w:cstheme="minorHAnsi"/>
          <w:sz w:val="16"/>
          <w:szCs w:val="16"/>
        </w:rPr>
        <w:tab/>
      </w:r>
      <w:r>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Adverse Events</w:t>
      </w:r>
    </w:p>
    <w:p w14:paraId="17429699" w14:textId="6F2BF44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AFB</w:t>
      </w:r>
      <w:r>
        <w:rPr>
          <w:rFonts w:asciiTheme="minorHAnsi" w:eastAsia="Times New Roman" w:hAnsiTheme="minorHAnsi" w:cstheme="minorHAnsi"/>
          <w:sz w:val="16"/>
          <w:szCs w:val="16"/>
        </w:rPr>
        <w:t xml:space="preserve"> </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Acid-fast bacillus</w:t>
      </w:r>
    </w:p>
    <w:p w14:paraId="70982679" w14:textId="2995D2F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Artificial Intelligence </w:t>
      </w:r>
    </w:p>
    <w:p w14:paraId="1808E752" w14:textId="3492A647"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AIC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Airborne Infection Control </w:t>
      </w:r>
    </w:p>
    <w:p w14:paraId="289EF5E7" w14:textId="3A2DCEF7"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AMC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Annual Maintenance Contract</w:t>
      </w:r>
    </w:p>
    <w:p w14:paraId="754C72D6" w14:textId="13D76CF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ART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Antiretroviral Therapy</w:t>
      </w:r>
    </w:p>
    <w:p w14:paraId="10DE665E" w14:textId="74D03FF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ARTI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Annual Rate of TB Infection</w:t>
      </w:r>
    </w:p>
    <w:p w14:paraId="3F09E9E8" w14:textId="30762F7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ASHA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Accredited Social Health Activist</w:t>
      </w:r>
    </w:p>
    <w:p w14:paraId="7A5F473D" w14:textId="68AE48E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ATT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Anti-tubercular Treatment</w:t>
      </w:r>
    </w:p>
    <w:p w14:paraId="1F6FE347" w14:textId="4F245426"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AYUSH</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Ayurveda, Yoga &amp; Naturopathy, Unani, Siddha,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Sowa Rigpa and Homoeopathy</w:t>
      </w:r>
    </w:p>
    <w:p w14:paraId="226EDE3B" w14:textId="6B2F0E61"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BCAP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Bedaquiline Conditional Access Programme </w:t>
      </w:r>
    </w:p>
    <w:p w14:paraId="12504332" w14:textId="3D7319C0"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BCG</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Bacille Calmette-Guerin vaccine</w:t>
      </w:r>
    </w:p>
    <w:p w14:paraId="2C2E8CC3" w14:textId="67C546CE"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BDQ</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Bedaquiline </w:t>
      </w:r>
    </w:p>
    <w:p w14:paraId="10DAE624" w14:textId="1D89C24F"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BK+</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Bacille de Koch (or Koch bacillus) positive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smear </w:t>
      </w:r>
    </w:p>
    <w:p w14:paraId="38BBA9A0" w14:textId="42E5D77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BMI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Body Mass Index </w:t>
      </w:r>
    </w:p>
    <w:p w14:paraId="126741F5" w14:textId="4F5CFD7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BRICS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Brazil, Russia, India, China, and South Africa </w:t>
      </w:r>
    </w:p>
    <w:p w14:paraId="1E5A1DE3" w14:textId="5968F4C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C&amp;DST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Culture and Drug Susceptibility Testing</w:t>
      </w:r>
    </w:p>
    <w:p w14:paraId="023944B1" w14:textId="4786B38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CB-NAAT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Cartridge-based Nucleic Acid Amplification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Test</w:t>
      </w:r>
    </w:p>
    <w:p w14:paraId="6A0CE8C1" w14:textId="3767BED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CBO</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Community-based Organization</w:t>
      </w:r>
    </w:p>
    <w:p w14:paraId="0C4A25A3" w14:textId="061D8C5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CDS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Clinical Decision Support</w:t>
      </w:r>
    </w:p>
    <w:p w14:paraId="13928974" w14:textId="2A9CEC2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CDST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Culture and Drug Sensitivity Testing</w:t>
      </w:r>
    </w:p>
    <w:p w14:paraId="77AFD332" w14:textId="493338A4"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CFZ</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Clofazimine </w:t>
      </w:r>
    </w:p>
    <w:p w14:paraId="2F461DE0" w14:textId="44BC654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CHC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Community Health Center</w:t>
      </w:r>
    </w:p>
    <w:p w14:paraId="2FF4E5D4" w14:textId="5AEF012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CME</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Continuing Medical Education </w:t>
      </w:r>
    </w:p>
    <w:p w14:paraId="6121CC7B" w14:textId="39D35B4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CMSS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Central Medical Services Society</w:t>
      </w:r>
    </w:p>
    <w:p w14:paraId="68AE7C0C" w14:textId="2F5BC886"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CPT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Cotrimoxazole Preventive Therapy </w:t>
      </w:r>
    </w:p>
    <w:p w14:paraId="08D9D1BF" w14:textId="08762ECA"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CSO</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Civil Society Organization</w:t>
      </w:r>
    </w:p>
    <w:p w14:paraId="275049C1" w14:textId="6C6CAC6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CSR</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Corporate Social Responsibility</w:t>
      </w:r>
    </w:p>
    <w:p w14:paraId="4E2A41E3" w14:textId="17787E3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CTD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Central Tuberculosis Division</w:t>
      </w:r>
    </w:p>
    <w:p w14:paraId="462E73F6" w14:textId="2DDA7DF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CXR</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Chest X-Ray</w:t>
      </w:r>
    </w:p>
    <w:p w14:paraId="7F237DAE" w14:textId="69872CB6" w:rsidR="00AB06A2" w:rsidRPr="00194FAC" w:rsidRDefault="00AB06A2" w:rsidP="00A75913">
      <w:pPr>
        <w:spacing w:before="0" w:after="0"/>
        <w:ind w:right="-167"/>
        <w:rPr>
          <w:rFonts w:asciiTheme="minorHAnsi" w:eastAsia="Times New Roman" w:hAnsiTheme="minorHAnsi" w:cstheme="minorHAnsi"/>
          <w:b/>
          <w:sz w:val="16"/>
          <w:szCs w:val="16"/>
        </w:rPr>
      </w:pPr>
      <w:r w:rsidRPr="00194FAC">
        <w:rPr>
          <w:rFonts w:asciiTheme="minorHAnsi" w:eastAsia="Times New Roman" w:hAnsiTheme="minorHAnsi" w:cstheme="minorHAnsi"/>
          <w:sz w:val="16"/>
          <w:szCs w:val="16"/>
        </w:rPr>
        <w:t>DBT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Direct Benefit Transfer</w:t>
      </w:r>
    </w:p>
    <w:p w14:paraId="0F9969D6" w14:textId="38BFA70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DDS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District Drug Stores </w:t>
      </w:r>
    </w:p>
    <w:p w14:paraId="0B7DE055" w14:textId="02C278C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DLM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Delamanid </w:t>
      </w:r>
    </w:p>
    <w:p w14:paraId="7713C915" w14:textId="698B3E3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Diabetes mellitus </w:t>
      </w:r>
    </w:p>
    <w:p w14:paraId="4D163146" w14:textId="38DA4E33"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DMC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Designated Microscopy Center </w:t>
      </w:r>
    </w:p>
    <w:p w14:paraId="676D3400" w14:textId="20BC2E6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DoP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Department of Post</w:t>
      </w:r>
    </w:p>
    <w:p w14:paraId="6370E194" w14:textId="3256EB5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DOT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Directly Observed Therapy  </w:t>
      </w:r>
    </w:p>
    <w:p w14:paraId="7C8AD516" w14:textId="31D5BD7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DOTS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Directly Observed Therapy, Short-course</w:t>
      </w:r>
    </w:p>
    <w:p w14:paraId="751DA387" w14:textId="7EF31E9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DR-TB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Drug Resistant Tuberculosis</w:t>
      </w:r>
    </w:p>
    <w:p w14:paraId="0D1759AC" w14:textId="0DB0E4C9"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DRS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Drug Resistance Surveillance</w:t>
      </w:r>
    </w:p>
    <w:p w14:paraId="53D7D70D" w14:textId="1F730CE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DST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Drug Susceptibility Testing </w:t>
      </w:r>
    </w:p>
    <w:p w14:paraId="1A61F713" w14:textId="7E0148C8"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DS-TB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Drug-Sensitive Tuberculosis</w:t>
      </w:r>
    </w:p>
    <w:p w14:paraId="3B505637" w14:textId="7754AA1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DTC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District Tuberculosis Center </w:t>
      </w:r>
    </w:p>
    <w:p w14:paraId="14084C4E" w14:textId="21C9A9F8"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DTO</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District Tuberculosis Officer</w:t>
      </w:r>
    </w:p>
    <w:p w14:paraId="1D641B63" w14:textId="74AE47A4"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EPTB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Extrapulmonary Tuberculosis</w:t>
      </w:r>
    </w:p>
    <w:p w14:paraId="247B70A5" w14:textId="0A80877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EQA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External Quality Assurance</w:t>
      </w:r>
    </w:p>
    <w:p w14:paraId="2E9D2EF4" w14:textId="46F23FEF"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FDC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Fixed-dose Combination</w:t>
      </w:r>
    </w:p>
    <w:p w14:paraId="5F1F0547" w14:textId="21EAC269"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FIND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Foundation for Innovative New Diagnostics</w:t>
      </w:r>
    </w:p>
    <w:p w14:paraId="441A6F4D" w14:textId="4DD22DF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FLD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First-line Drugs</w:t>
      </w:r>
    </w:p>
    <w:p w14:paraId="452CB623" w14:textId="18D443E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FQ</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Fluoroquinolone </w:t>
      </w:r>
    </w:p>
    <w:p w14:paraId="5F543C66" w14:textId="497EBD6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FY</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Fiscal Year</w:t>
      </w:r>
    </w:p>
    <w:p w14:paraId="3D9DED2C" w14:textId="4ADEF99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GoI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Government of India</w:t>
      </w:r>
    </w:p>
    <w:p w14:paraId="6EA07BD6" w14:textId="3295943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GDF</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Global Drug Facility</w:t>
      </w:r>
    </w:p>
    <w:p w14:paraId="43C9998F" w14:textId="2BA9409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GeneXpert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Xpert MTB/RIF cartridge-based nucleic acid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amplification test</w:t>
      </w:r>
      <w:r>
        <w:rPr>
          <w:rFonts w:asciiTheme="minorHAnsi" w:eastAsia="Times New Roman" w:hAnsiTheme="minorHAnsi" w:cstheme="minorHAnsi"/>
          <w:sz w:val="16"/>
          <w:szCs w:val="16"/>
        </w:rPr>
        <w:t xml:space="preserve"> </w:t>
      </w:r>
      <w:r w:rsidRPr="00194FAC">
        <w:rPr>
          <w:rFonts w:asciiTheme="minorHAnsi" w:eastAsia="Times New Roman" w:hAnsiTheme="minorHAnsi" w:cstheme="minorHAnsi"/>
          <w:sz w:val="16"/>
          <w:szCs w:val="16"/>
        </w:rPr>
        <w:t xml:space="preserve">to detect </w:t>
      </w:r>
      <w:r w:rsidRPr="00194FAC">
        <w:rPr>
          <w:rFonts w:asciiTheme="minorHAnsi" w:eastAsia="Times New Roman" w:hAnsiTheme="minorHAnsi" w:cstheme="minorHAnsi"/>
          <w:i/>
          <w:sz w:val="16"/>
          <w:szCs w:val="16"/>
        </w:rPr>
        <w:t>M. tuberculosis</w:t>
      </w:r>
      <w:r w:rsidRPr="00194FAC">
        <w:rPr>
          <w:rFonts w:asciiTheme="minorHAnsi" w:eastAsia="Times New Roman" w:hAnsiTheme="minorHAnsi" w:cstheme="minorHAnsi"/>
          <w:sz w:val="16"/>
          <w:szCs w:val="16"/>
        </w:rPr>
        <w:t xml:space="preserve">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and rifampin resistance</w:t>
      </w:r>
    </w:p>
    <w:p w14:paraId="2814E0E9" w14:textId="24D6F5AB" w:rsidR="00AB06A2" w:rsidRPr="00194FAC" w:rsidRDefault="00AB06A2" w:rsidP="00A75913">
      <w:pPr>
        <w:spacing w:before="0" w:after="0"/>
        <w:ind w:right="-167"/>
        <w:rPr>
          <w:rFonts w:asciiTheme="minorHAnsi" w:eastAsia="Times New Roman" w:hAnsiTheme="minorHAnsi" w:cstheme="minorHAnsi"/>
          <w:sz w:val="16"/>
          <w:szCs w:val="16"/>
        </w:rPr>
      </w:pPr>
      <w:r>
        <w:rPr>
          <w:rFonts w:asciiTheme="minorHAnsi" w:eastAsia="Times New Roman" w:hAnsiTheme="minorHAnsi" w:cstheme="minorHAnsi"/>
          <w:sz w:val="16"/>
          <w:szCs w:val="16"/>
        </w:rPr>
        <w:t>GF</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Global Fund </w:t>
      </w:r>
      <w:r w:rsidR="00693FC5" w:rsidRPr="00194FAC">
        <w:rPr>
          <w:rFonts w:asciiTheme="minorHAnsi" w:eastAsia="Times New Roman" w:hAnsiTheme="minorHAnsi" w:cstheme="minorHAnsi"/>
          <w:sz w:val="16"/>
          <w:szCs w:val="16"/>
        </w:rPr>
        <w:t>against</w:t>
      </w:r>
      <w:r w:rsidRPr="00194FAC">
        <w:rPr>
          <w:rFonts w:asciiTheme="minorHAnsi" w:eastAsia="Times New Roman" w:hAnsiTheme="minorHAnsi" w:cstheme="minorHAnsi"/>
          <w:sz w:val="16"/>
          <w:szCs w:val="16"/>
        </w:rPr>
        <w:t xml:space="preserve"> HIV/AIDS, Tuberculosis, </w:t>
      </w:r>
      <w:r w:rsidR="00B66FC0">
        <w:rPr>
          <w:rFonts w:asciiTheme="minorHAnsi" w:eastAsia="Times New Roman" w:hAnsiTheme="minorHAnsi" w:cstheme="minorHAnsi"/>
          <w:sz w:val="16"/>
          <w:szCs w:val="16"/>
        </w:rPr>
        <w:t xml:space="preserve">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and Malaria</w:t>
      </w:r>
    </w:p>
    <w:p w14:paraId="44051BF1" w14:textId="4E13DEB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H</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Isoniazid </w:t>
      </w:r>
    </w:p>
    <w:p w14:paraId="130DC977" w14:textId="5DAA651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HR</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Human Resources</w:t>
      </w:r>
    </w:p>
    <w:p w14:paraId="12F696B3" w14:textId="263E76A6"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HS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Health Systems</w:t>
      </w:r>
    </w:p>
    <w:p w14:paraId="19001AE9" w14:textId="675AC62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HSS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Health Systems Strengthening </w:t>
      </w:r>
    </w:p>
    <w:p w14:paraId="341513DE" w14:textId="13D59BE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Infection Control </w:t>
      </w:r>
    </w:p>
    <w:p w14:paraId="27A80078" w14:textId="606D506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ICF</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Intensified Case Finding</w:t>
      </w:r>
    </w:p>
    <w:p w14:paraId="7326C6BE" w14:textId="51271F69"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ICMR</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Indian Council of Medical Research</w:t>
      </w:r>
    </w:p>
    <w:p w14:paraId="31A36E58" w14:textId="2892B46F" w:rsidR="00AB06A2" w:rsidRPr="00194FAC" w:rsidRDefault="00AB06A2" w:rsidP="00A75913">
      <w:pPr>
        <w:spacing w:before="0" w:after="0"/>
        <w:ind w:right="-167"/>
        <w:rPr>
          <w:rFonts w:asciiTheme="minorHAnsi" w:eastAsia="Times New Roman" w:hAnsiTheme="minorHAnsi" w:cstheme="minorHAnsi"/>
          <w:sz w:val="16"/>
          <w:szCs w:val="16"/>
          <w:highlight w:val="white"/>
        </w:rPr>
      </w:pPr>
      <w:r w:rsidRPr="00194FAC">
        <w:rPr>
          <w:rFonts w:asciiTheme="minorHAnsi" w:eastAsia="Times New Roman" w:hAnsiTheme="minorHAnsi" w:cstheme="minorHAnsi"/>
          <w:sz w:val="16"/>
          <w:szCs w:val="16"/>
        </w:rPr>
        <w:t>ICT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Information</w:t>
      </w:r>
      <w:r w:rsidRPr="00194FAC">
        <w:rPr>
          <w:rFonts w:asciiTheme="minorHAnsi" w:eastAsia="Times New Roman" w:hAnsiTheme="minorHAnsi" w:cstheme="minorHAnsi"/>
          <w:sz w:val="16"/>
          <w:szCs w:val="16"/>
          <w:highlight w:val="white"/>
        </w:rPr>
        <w:t xml:space="preserve"> and Communication Technologies</w:t>
      </w:r>
    </w:p>
    <w:p w14:paraId="65CD019B" w14:textId="4D10C318" w:rsidR="00AB06A2" w:rsidRPr="00194FAC" w:rsidRDefault="00AB06A2" w:rsidP="00A75913">
      <w:pPr>
        <w:spacing w:before="0" w:after="0"/>
        <w:ind w:right="-167"/>
        <w:rPr>
          <w:rFonts w:asciiTheme="minorHAnsi" w:eastAsia="Times New Roman" w:hAnsiTheme="minorHAnsi" w:cstheme="minorHAnsi"/>
          <w:sz w:val="16"/>
          <w:szCs w:val="16"/>
          <w:highlight w:val="white"/>
        </w:rPr>
      </w:pPr>
      <w:r w:rsidRPr="00194FAC">
        <w:rPr>
          <w:rFonts w:asciiTheme="minorHAnsi" w:eastAsia="Times New Roman" w:hAnsiTheme="minorHAnsi" w:cstheme="minorHAnsi"/>
          <w:sz w:val="16"/>
          <w:szCs w:val="16"/>
          <w:highlight w:val="white"/>
        </w:rPr>
        <w:t>ICTC</w:t>
      </w:r>
      <w:r w:rsidRPr="00194FAC">
        <w:rPr>
          <w:rFonts w:asciiTheme="minorHAnsi" w:eastAsia="Times New Roman" w:hAnsiTheme="minorHAnsi" w:cstheme="minorHAnsi"/>
          <w:sz w:val="16"/>
          <w:szCs w:val="16"/>
          <w:highlight w:val="white"/>
        </w:rPr>
        <w:tab/>
      </w:r>
      <w:r w:rsidRPr="00194FAC">
        <w:rPr>
          <w:rFonts w:asciiTheme="minorHAnsi" w:eastAsia="Times New Roman" w:hAnsiTheme="minorHAnsi" w:cstheme="minorHAnsi"/>
          <w:sz w:val="16"/>
          <w:szCs w:val="16"/>
          <w:highlight w:val="white"/>
        </w:rPr>
        <w:tab/>
        <w:t>Integrated Counseling and Testing Center</w:t>
      </w:r>
    </w:p>
    <w:p w14:paraId="04C376C5" w14:textId="13A8545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IDAT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Integrated Digital Adherence Technologies</w:t>
      </w:r>
    </w:p>
    <w:p w14:paraId="59B026C7" w14:textId="0397326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IEC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Information, Education, and Communication</w:t>
      </w:r>
    </w:p>
    <w:p w14:paraId="55CC7782" w14:textId="22BBCF9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IGRA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Interferon-Gamma Release Assay</w:t>
      </w:r>
    </w:p>
    <w:p w14:paraId="2011A08D" w14:textId="45A11FA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IMA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Indian Medical Association </w:t>
      </w:r>
    </w:p>
    <w:p w14:paraId="5F491165" w14:textId="5BD5252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INH</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Isoniazid </w:t>
      </w:r>
    </w:p>
    <w:p w14:paraId="112D372C" w14:textId="0E93DD94"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Implementing Partner</w:t>
      </w:r>
    </w:p>
    <w:p w14:paraId="0EAA408B" w14:textId="1C6E9AA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IRL</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Intermediate Reference Laboratory </w:t>
      </w:r>
    </w:p>
    <w:p w14:paraId="347AD8C2" w14:textId="6F3D9B7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ITRC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India Tuberculosis Research Consortium </w:t>
      </w:r>
    </w:p>
    <w:p w14:paraId="67DA5028" w14:textId="36694C8F"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IVA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Independent Verification Agency </w:t>
      </w:r>
    </w:p>
    <w:p w14:paraId="3D420BE3" w14:textId="6C21C2B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JEET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Joint Effort for Elimination of Tuberculosis</w:t>
      </w:r>
    </w:p>
    <w:p w14:paraId="29CED8E3" w14:textId="3C4F5E5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JMM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Joint Monitoring Mission</w:t>
      </w:r>
    </w:p>
    <w:p w14:paraId="7F6332A2" w14:textId="1D8298C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KPI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Key Performance Indicator</w:t>
      </w:r>
    </w:p>
    <w:p w14:paraId="1B9A7D92" w14:textId="6E435D47"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LF-LAM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Lateral Flow Urine Lipoarabinomannan Assay </w:t>
      </w:r>
    </w:p>
    <w:p w14:paraId="10D00250" w14:textId="15866E5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LIMS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Laboratory Information Management System</w:t>
      </w:r>
    </w:p>
    <w:p w14:paraId="16F57A5A" w14:textId="5C749E7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LPA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Line-probe Assay for detection of drug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resistance</w:t>
      </w:r>
    </w:p>
    <w:p w14:paraId="62638684" w14:textId="75CEB8E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 xml:space="preserve">LT </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Laboratory Technician</w:t>
      </w:r>
    </w:p>
    <w:p w14:paraId="1F2C5C28" w14:textId="771440D6"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LTBI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Latent Tuberculosis Infection </w:t>
      </w:r>
    </w:p>
    <w:p w14:paraId="03D83B15" w14:textId="1E95462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LZD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Linezolid </w:t>
      </w:r>
    </w:p>
    <w:p w14:paraId="195F5239" w14:textId="19B2158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M&amp;E</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Monitoring and Evaluation</w:t>
      </w:r>
    </w:p>
    <w:p w14:paraId="78E21405" w14:textId="2672B54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MAF-TB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Multisectoral Accountability Framework for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Tuberculosis</w:t>
      </w:r>
    </w:p>
    <w:p w14:paraId="1426F051" w14:textId="76341B8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MCH</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Maternal and Child Health</w:t>
      </w:r>
    </w:p>
    <w:p w14:paraId="34DE0781" w14:textId="76A30FA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MDG</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r>
      <w:r w:rsidR="00693FC5" w:rsidRPr="00194FAC">
        <w:rPr>
          <w:rFonts w:asciiTheme="minorHAnsi" w:eastAsia="Times New Roman" w:hAnsiTheme="minorHAnsi" w:cstheme="minorHAnsi"/>
          <w:sz w:val="16"/>
          <w:szCs w:val="16"/>
        </w:rPr>
        <w:t>Millennium</w:t>
      </w:r>
      <w:r w:rsidRPr="00194FAC">
        <w:rPr>
          <w:rFonts w:asciiTheme="minorHAnsi" w:eastAsia="Times New Roman" w:hAnsiTheme="minorHAnsi" w:cstheme="minorHAnsi"/>
          <w:sz w:val="16"/>
          <w:szCs w:val="16"/>
        </w:rPr>
        <w:t xml:space="preserve"> Development Goal  </w:t>
      </w:r>
    </w:p>
    <w:p w14:paraId="44D29C8E" w14:textId="3AFCA759"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MDR</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Multidrug Resistance</w:t>
      </w:r>
    </w:p>
    <w:p w14:paraId="5ECCD25E" w14:textId="489A4A8F"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MDR-TB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Multidrug Resistant Tuberculosis</w:t>
      </w:r>
    </w:p>
    <w:p w14:paraId="72AF57BB" w14:textId="146D681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MERMs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Medication Event Reminder Monitors</w:t>
      </w:r>
    </w:p>
    <w:p w14:paraId="4BC59D3D" w14:textId="2B96BBE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MHRD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Ministry of Human Resource Development </w:t>
      </w:r>
    </w:p>
    <w:p w14:paraId="772E142F" w14:textId="4F8FC338"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MHUPA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Ministry of Housing &amp; Urban Poverty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Alleviation</w:t>
      </w:r>
    </w:p>
    <w:p w14:paraId="3DC945E9" w14:textId="44B04FF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MO</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Medical Officer</w:t>
      </w:r>
    </w:p>
    <w:p w14:paraId="6D8BD8C7" w14:textId="71DB223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MOD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Ministry of Defence </w:t>
      </w:r>
    </w:p>
    <w:p w14:paraId="29084208" w14:textId="3F089F37"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MoHFW</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Ministry of Health and Family Welfare</w:t>
      </w:r>
    </w:p>
    <w:p w14:paraId="3CD9EA93" w14:textId="53D35AD8"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MOTC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Medical Officer Tuberculosis Centre </w:t>
      </w:r>
    </w:p>
    <w:p w14:paraId="0F08CFB0" w14:textId="5D0FFC0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MOU</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Memorandum of Understanding</w:t>
      </w:r>
    </w:p>
    <w:p w14:paraId="601454F3" w14:textId="5EBE3D1F"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MoUD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Ministry of Urban Development </w:t>
      </w:r>
    </w:p>
    <w:p w14:paraId="070BC918" w14:textId="47477A1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MPHW</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Multipurpose Health Worker</w:t>
      </w:r>
    </w:p>
    <w:p w14:paraId="6A2E56E3" w14:textId="31B1ACE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 xml:space="preserve">MWCD </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Ministry of Women &amp; Child Development </w:t>
      </w:r>
    </w:p>
    <w:p w14:paraId="0EC83303" w14:textId="1ED9BB1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NACO</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National AIDS Control Organization</w:t>
      </w:r>
    </w:p>
    <w:p w14:paraId="3159A6D3" w14:textId="52F52004"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NACP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National AIDS Control Program</w:t>
      </w:r>
    </w:p>
    <w:p w14:paraId="5761B0FC" w14:textId="689D8F1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NCD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Non</w:t>
      </w:r>
      <w:r w:rsidR="00693FC5">
        <w:rPr>
          <w:rFonts w:asciiTheme="minorHAnsi" w:eastAsia="Times New Roman" w:hAnsiTheme="minorHAnsi" w:cstheme="minorHAnsi"/>
          <w:sz w:val="16"/>
          <w:szCs w:val="16"/>
        </w:rPr>
        <w:t xml:space="preserve"> </w:t>
      </w:r>
      <w:r w:rsidRPr="00194FAC">
        <w:rPr>
          <w:rFonts w:asciiTheme="minorHAnsi" w:eastAsia="Times New Roman" w:hAnsiTheme="minorHAnsi" w:cstheme="minorHAnsi"/>
          <w:sz w:val="16"/>
          <w:szCs w:val="16"/>
        </w:rPr>
        <w:t>communicable Disease</w:t>
      </w:r>
    </w:p>
    <w:p w14:paraId="59CFA690" w14:textId="577C8B0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NDRS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National Anti-Tuberculosis Drug Resistance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Survey</w:t>
      </w:r>
    </w:p>
    <w:p w14:paraId="0E35B530" w14:textId="228C9DC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NGO</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Non-governmental Organization</w:t>
      </w:r>
    </w:p>
    <w:p w14:paraId="3D74A1DE" w14:textId="172CA30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lastRenderedPageBreak/>
        <w:t>NGS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Next-Generation Sequencing</w:t>
      </w:r>
    </w:p>
    <w:p w14:paraId="3E729AAA" w14:textId="310A4AF9"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NHA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National Health Authority</w:t>
      </w:r>
    </w:p>
    <w:p w14:paraId="4DA43D81" w14:textId="6D30F5DF"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NHM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National Health Mission</w:t>
      </w:r>
    </w:p>
    <w:p w14:paraId="30D85E39" w14:textId="74BAC3F7"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NIKSHAY</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Web-enabled electronic TB case notification/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monitoring system </w:t>
      </w:r>
    </w:p>
    <w:p w14:paraId="77A37ACF" w14:textId="2867464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NIRT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National Institute for Research in Tuberculosis</w:t>
      </w:r>
    </w:p>
    <w:p w14:paraId="55AB49B0" w14:textId="5823FA4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NITRD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National Institute of Tuberculosis and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Respiratory</w:t>
      </w:r>
      <w:r>
        <w:rPr>
          <w:rFonts w:asciiTheme="minorHAnsi" w:eastAsia="Times New Roman" w:hAnsiTheme="minorHAnsi" w:cstheme="minorHAnsi"/>
          <w:sz w:val="16"/>
          <w:szCs w:val="16"/>
        </w:rPr>
        <w:t xml:space="preserve"> </w:t>
      </w:r>
      <w:r w:rsidRPr="00194FAC">
        <w:rPr>
          <w:rFonts w:asciiTheme="minorHAnsi" w:eastAsia="Times New Roman" w:hAnsiTheme="minorHAnsi" w:cstheme="minorHAnsi"/>
          <w:sz w:val="16"/>
          <w:szCs w:val="16"/>
        </w:rPr>
        <w:t>Diseases</w:t>
      </w:r>
    </w:p>
    <w:p w14:paraId="7D6685C0" w14:textId="4C3252D3" w:rsidR="00AB06A2" w:rsidRPr="00194FAC" w:rsidRDefault="00AB06A2" w:rsidP="00A75913">
      <w:pPr>
        <w:spacing w:before="0" w:after="0"/>
        <w:ind w:right="-7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NPCDCS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National Programme for Prevention and </w:t>
      </w:r>
      <w:r w:rsidR="00D701CE">
        <w:rPr>
          <w:rFonts w:asciiTheme="minorHAnsi" w:eastAsia="Times New Roman" w:hAnsiTheme="minorHAnsi" w:cstheme="minorHAnsi"/>
          <w:sz w:val="16"/>
          <w:szCs w:val="16"/>
        </w:rPr>
        <w:tab/>
      </w:r>
      <w:r w:rsidR="00D701CE">
        <w:rPr>
          <w:rFonts w:asciiTheme="minorHAnsi" w:eastAsia="Times New Roman" w:hAnsiTheme="minorHAnsi" w:cstheme="minorHAnsi"/>
          <w:sz w:val="16"/>
          <w:szCs w:val="16"/>
        </w:rPr>
        <w:tab/>
      </w:r>
      <w:r w:rsidR="00D701CE">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Control of Cancers,</w:t>
      </w:r>
      <w:r>
        <w:rPr>
          <w:rFonts w:asciiTheme="minorHAnsi" w:eastAsia="Times New Roman" w:hAnsiTheme="minorHAnsi" w:cstheme="minorHAnsi"/>
          <w:sz w:val="16"/>
          <w:szCs w:val="16"/>
        </w:rPr>
        <w:t xml:space="preserve"> </w:t>
      </w:r>
      <w:r w:rsidRPr="00194FAC">
        <w:rPr>
          <w:rFonts w:asciiTheme="minorHAnsi" w:eastAsia="Times New Roman" w:hAnsiTheme="minorHAnsi" w:cstheme="minorHAnsi"/>
          <w:sz w:val="16"/>
          <w:szCs w:val="16"/>
        </w:rPr>
        <w:t xml:space="preserve">Diabetes, Cardiovascular </w:t>
      </w:r>
      <w:r w:rsidR="00D701CE">
        <w:rPr>
          <w:rFonts w:asciiTheme="minorHAnsi" w:eastAsia="Times New Roman" w:hAnsiTheme="minorHAnsi" w:cstheme="minorHAnsi"/>
          <w:sz w:val="16"/>
          <w:szCs w:val="16"/>
        </w:rPr>
        <w:tab/>
      </w:r>
      <w:r w:rsidR="00D701CE">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Diseases and Stroke </w:t>
      </w:r>
    </w:p>
    <w:p w14:paraId="61261381" w14:textId="633050A4"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NPY</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NIKSHAY Poshan Yojana (nutritional support to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TB patients)</w:t>
      </w:r>
    </w:p>
    <w:p w14:paraId="0CC72657" w14:textId="6F497E6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NRHM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National Rural Health Mission</w:t>
      </w:r>
    </w:p>
    <w:p w14:paraId="4F168F5A" w14:textId="28EB8082"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NRL</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National Reference Laboratory</w:t>
      </w:r>
    </w:p>
    <w:p w14:paraId="2F864EEE" w14:textId="6D44A8FE"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NSP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National Strategic Plan</w:t>
      </w:r>
    </w:p>
    <w:p w14:paraId="4E8ED521" w14:textId="595410C2"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NSS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National Sample Survey </w:t>
      </w:r>
    </w:p>
    <w:p w14:paraId="58933691" w14:textId="7BA25BC7"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NTCP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National Tobacco Control Programme </w:t>
      </w:r>
    </w:p>
    <w:p w14:paraId="3A6DE96C" w14:textId="192A8AEB" w:rsidR="00592375" w:rsidRDefault="00592375" w:rsidP="00A75913">
      <w:pPr>
        <w:spacing w:before="0" w:after="0"/>
        <w:ind w:right="-167"/>
        <w:rPr>
          <w:rFonts w:asciiTheme="minorHAnsi" w:eastAsia="Times New Roman" w:hAnsiTheme="minorHAnsi" w:cstheme="minorHAnsi"/>
          <w:sz w:val="16"/>
          <w:szCs w:val="16"/>
        </w:rPr>
      </w:pPr>
      <w:r w:rsidRPr="00592375">
        <w:rPr>
          <w:rFonts w:asciiTheme="minorHAnsi" w:eastAsia="Times New Roman" w:hAnsiTheme="minorHAnsi" w:cstheme="minorHAnsi"/>
          <w:sz w:val="16"/>
          <w:szCs w:val="16"/>
        </w:rPr>
        <w:t>NTEP</w:t>
      </w:r>
      <w:r w:rsidRPr="00592375">
        <w:rPr>
          <w:rFonts w:asciiTheme="minorHAnsi" w:eastAsia="Times New Roman" w:hAnsiTheme="minorHAnsi" w:cstheme="minorHAnsi"/>
          <w:sz w:val="16"/>
          <w:szCs w:val="16"/>
        </w:rPr>
        <w:tab/>
      </w:r>
      <w:r>
        <w:rPr>
          <w:rFonts w:asciiTheme="minorHAnsi" w:eastAsia="Times New Roman" w:hAnsiTheme="minorHAnsi" w:cstheme="minorHAnsi"/>
          <w:sz w:val="16"/>
          <w:szCs w:val="16"/>
        </w:rPr>
        <w:tab/>
      </w:r>
      <w:r w:rsidRPr="00592375">
        <w:rPr>
          <w:rFonts w:asciiTheme="minorHAnsi" w:eastAsia="Times New Roman" w:hAnsiTheme="minorHAnsi" w:cstheme="minorHAnsi"/>
          <w:sz w:val="16"/>
          <w:szCs w:val="16"/>
        </w:rPr>
        <w:t>National Tuberculosis Elimination Programme</w:t>
      </w:r>
    </w:p>
    <w:p w14:paraId="1F69091E" w14:textId="7D0E67F3"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NTIB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National Tuberculosis Institute</w:t>
      </w:r>
      <w:r w:rsidR="00E87999">
        <w:rPr>
          <w:rFonts w:asciiTheme="minorHAnsi" w:eastAsia="Times New Roman" w:hAnsiTheme="minorHAnsi" w:cstheme="minorHAnsi"/>
          <w:sz w:val="16"/>
          <w:szCs w:val="16"/>
        </w:rPr>
        <w:t xml:space="preserve"> Bangalore</w:t>
      </w:r>
    </w:p>
    <w:p w14:paraId="1B8F761A" w14:textId="4405E0B9"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NTSU</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National Technical Support Unit </w:t>
      </w:r>
    </w:p>
    <w:p w14:paraId="69B291BE" w14:textId="325B112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NUHM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National Urban Health Mission </w:t>
      </w:r>
    </w:p>
    <w:p w14:paraId="028E1F1D" w14:textId="0C17290F"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NVHCP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National Viral Hepatitis Control Program </w:t>
      </w:r>
    </w:p>
    <w:p w14:paraId="214C3D08" w14:textId="5CB4304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OOP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Out-of-pocket expenditures</w:t>
      </w:r>
    </w:p>
    <w:p w14:paraId="04CE16CE" w14:textId="221982B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OpASHA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Operation ASHA </w:t>
      </w:r>
    </w:p>
    <w:p w14:paraId="714D9E78" w14:textId="11DE3E0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OR</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Operational Research </w:t>
      </w:r>
    </w:p>
    <w:p w14:paraId="49C5664B" w14:textId="51618FD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OSE</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On-Site Evaluation </w:t>
      </w:r>
    </w:p>
    <w:p w14:paraId="34F21919" w14:textId="3725E3E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OTC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Over-the-counter drugs</w:t>
      </w:r>
    </w:p>
    <w:p w14:paraId="46B9A35B" w14:textId="6E28CF08"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PDS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Public Distribution System </w:t>
      </w:r>
    </w:p>
    <w:p w14:paraId="5ABCBAA4" w14:textId="06F4A82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PFMS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Public Financial Management System </w:t>
      </w:r>
    </w:p>
    <w:p w14:paraId="15510497" w14:textId="7BCE3F18"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PHC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Primary Health Center</w:t>
      </w:r>
    </w:p>
    <w:p w14:paraId="6029D49E" w14:textId="1651DF74"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PHI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Peripheral Health Institution </w:t>
      </w:r>
    </w:p>
    <w:p w14:paraId="3FCEA157" w14:textId="1AC276A6"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PIP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Project Implementation Plan</w:t>
      </w:r>
    </w:p>
    <w:p w14:paraId="75106EAE" w14:textId="5013E47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PLHIV</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People Living with HIV/AIDS</w:t>
      </w:r>
    </w:p>
    <w:p w14:paraId="1272EE84" w14:textId="08A0D14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PMDT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Programmatic Management of Drug Resistant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Tuberculosis</w:t>
      </w:r>
    </w:p>
    <w:p w14:paraId="5E35079B" w14:textId="59652E2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Private Practitioner</w:t>
      </w:r>
    </w:p>
    <w:p w14:paraId="3371B45A" w14:textId="32C1419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PPE</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Private Provider Engagement</w:t>
      </w:r>
    </w:p>
    <w:p w14:paraId="2C20C1E1" w14:textId="396F62B7"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PPM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Public-Private Mix </w:t>
      </w:r>
    </w:p>
    <w:p w14:paraId="7FBA9EC4" w14:textId="46516837"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PPSA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Patient Provider Support Agency</w:t>
      </w:r>
    </w:p>
    <w:p w14:paraId="32AD9C39" w14:textId="4A22418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PR</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Principal Recipient of grant from the Global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Fund Against</w:t>
      </w:r>
      <w:r>
        <w:rPr>
          <w:rFonts w:asciiTheme="minorHAnsi" w:eastAsia="Times New Roman" w:hAnsiTheme="minorHAnsi" w:cstheme="minorHAnsi"/>
          <w:sz w:val="16"/>
          <w:szCs w:val="16"/>
        </w:rPr>
        <w:t xml:space="preserve"> </w:t>
      </w:r>
      <w:r w:rsidRPr="00194FAC">
        <w:rPr>
          <w:rFonts w:asciiTheme="minorHAnsi" w:eastAsia="Times New Roman" w:hAnsiTheme="minorHAnsi" w:cstheme="minorHAnsi"/>
          <w:sz w:val="16"/>
          <w:szCs w:val="16"/>
        </w:rPr>
        <w:t xml:space="preserve">HIV/AIDS, Tuberculosis, and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Malaria </w:t>
      </w:r>
    </w:p>
    <w:p w14:paraId="494F0994" w14:textId="1BBF81C8"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PRI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Panchayati Raj Institution </w:t>
      </w:r>
    </w:p>
    <w:p w14:paraId="782F488E" w14:textId="2D7BA086"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PSM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Procurement and Supply Management </w:t>
      </w:r>
    </w:p>
    <w:p w14:paraId="48FF6EF7" w14:textId="45AD8D0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PTB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Pulmonary Tuberculosis</w:t>
      </w:r>
    </w:p>
    <w:p w14:paraId="0A50CB7B" w14:textId="0C76E95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PVPI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Pharmacovigilance Programme of India</w:t>
      </w:r>
    </w:p>
    <w:p w14:paraId="589AE7AD" w14:textId="257E0C0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QA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Quality Assurance</w:t>
      </w:r>
    </w:p>
    <w:p w14:paraId="49B6C851" w14:textId="4F47EC9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R (or RIF)</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Rifampicin</w:t>
      </w:r>
    </w:p>
    <w:p w14:paraId="30D5EB0B" w14:textId="35F136D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RBSK</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Rashtriya Bal Swasthya Karyakram (initiative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for early child</w:t>
      </w:r>
      <w:r>
        <w:rPr>
          <w:rFonts w:asciiTheme="minorHAnsi" w:eastAsia="Times New Roman" w:hAnsiTheme="minorHAnsi" w:cstheme="minorHAnsi"/>
          <w:sz w:val="16"/>
          <w:szCs w:val="16"/>
        </w:rPr>
        <w:t xml:space="preserve"> s</w:t>
      </w:r>
      <w:r w:rsidRPr="00194FAC">
        <w:rPr>
          <w:rFonts w:asciiTheme="minorHAnsi" w:eastAsia="Times New Roman" w:hAnsiTheme="minorHAnsi" w:cstheme="minorHAnsi"/>
          <w:sz w:val="16"/>
          <w:szCs w:val="16"/>
        </w:rPr>
        <w:t xml:space="preserve">creening and intervention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services)  </w:t>
      </w:r>
    </w:p>
    <w:p w14:paraId="19A6D147" w14:textId="232F16EF"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RBRC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Random Blinded Re-checking </w:t>
      </w:r>
    </w:p>
    <w:p w14:paraId="2FB740D3" w14:textId="1C21264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RCT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Randomized Controlled Trial </w:t>
      </w:r>
    </w:p>
    <w:p w14:paraId="243EA2B0" w14:textId="33BED41E" w:rsidR="00AB06A2"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RCH</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Reproductive and Child Health</w:t>
      </w:r>
      <w:r w:rsidR="00B95341">
        <w:rPr>
          <w:rFonts w:asciiTheme="minorHAnsi" w:eastAsia="Times New Roman" w:hAnsiTheme="minorHAnsi" w:cstheme="minorHAnsi"/>
          <w:sz w:val="16"/>
          <w:szCs w:val="16"/>
        </w:rPr>
        <w:t xml:space="preserve"> </w:t>
      </w:r>
    </w:p>
    <w:p w14:paraId="3966B1C6" w14:textId="686FBD80" w:rsidR="00B95341" w:rsidRPr="00194FAC" w:rsidRDefault="00B95341" w:rsidP="00A75913">
      <w:pPr>
        <w:spacing w:before="0" w:after="0"/>
        <w:ind w:right="-167"/>
        <w:rPr>
          <w:rFonts w:asciiTheme="minorHAnsi" w:eastAsia="Times New Roman" w:hAnsiTheme="minorHAnsi" w:cstheme="minorHAnsi"/>
          <w:sz w:val="16"/>
          <w:szCs w:val="16"/>
        </w:rPr>
      </w:pPr>
      <w:r>
        <w:rPr>
          <w:rFonts w:asciiTheme="minorHAnsi" w:eastAsia="Times New Roman" w:hAnsiTheme="minorHAnsi" w:cstheme="minorHAnsi"/>
          <w:sz w:val="16"/>
          <w:szCs w:val="16"/>
        </w:rPr>
        <w:t>RMRC</w:t>
      </w:r>
      <w:r>
        <w:rPr>
          <w:rFonts w:asciiTheme="minorHAnsi" w:eastAsia="Times New Roman" w:hAnsiTheme="minorHAnsi" w:cstheme="minorHAnsi"/>
          <w:sz w:val="16"/>
          <w:szCs w:val="16"/>
        </w:rPr>
        <w:tab/>
      </w:r>
      <w:r>
        <w:rPr>
          <w:rFonts w:asciiTheme="minorHAnsi" w:eastAsia="Times New Roman" w:hAnsiTheme="minorHAnsi" w:cstheme="minorHAnsi"/>
          <w:sz w:val="16"/>
          <w:szCs w:val="16"/>
        </w:rPr>
        <w:tab/>
        <w:t xml:space="preserve">Regional Malaria Research Centre, </w:t>
      </w:r>
      <w:r w:rsidR="0074317D">
        <w:rPr>
          <w:rFonts w:asciiTheme="minorHAnsi" w:eastAsia="Times New Roman" w:hAnsiTheme="minorHAnsi" w:cstheme="minorHAnsi"/>
          <w:sz w:val="16"/>
          <w:szCs w:val="16"/>
        </w:rPr>
        <w:tab/>
      </w:r>
      <w:r w:rsidR="0074317D">
        <w:rPr>
          <w:rFonts w:asciiTheme="minorHAnsi" w:eastAsia="Times New Roman" w:hAnsiTheme="minorHAnsi" w:cstheme="minorHAnsi"/>
          <w:sz w:val="16"/>
          <w:szCs w:val="16"/>
        </w:rPr>
        <w:tab/>
      </w:r>
      <w:r w:rsidR="0074317D">
        <w:rPr>
          <w:rFonts w:asciiTheme="minorHAnsi" w:eastAsia="Times New Roman" w:hAnsiTheme="minorHAnsi" w:cstheme="minorHAnsi"/>
          <w:sz w:val="16"/>
          <w:szCs w:val="16"/>
        </w:rPr>
        <w:tab/>
      </w:r>
      <w:r>
        <w:rPr>
          <w:rFonts w:asciiTheme="minorHAnsi" w:eastAsia="Times New Roman" w:hAnsiTheme="minorHAnsi" w:cstheme="minorHAnsi"/>
          <w:sz w:val="16"/>
          <w:szCs w:val="16"/>
        </w:rPr>
        <w:t>Bhubaneshwar</w:t>
      </w:r>
    </w:p>
    <w:p w14:paraId="11F41115" w14:textId="7AB13778" w:rsidR="00AB06A2" w:rsidRPr="00194FAC" w:rsidRDefault="007B135B" w:rsidP="00A75913">
      <w:pPr>
        <w:spacing w:before="0" w:after="0"/>
        <w:ind w:right="-167"/>
        <w:rPr>
          <w:rFonts w:asciiTheme="minorHAnsi" w:eastAsia="Times New Roman" w:hAnsiTheme="minorHAnsi" w:cstheme="minorHAnsi"/>
          <w:sz w:val="16"/>
          <w:szCs w:val="16"/>
        </w:rPr>
      </w:pPr>
      <w:r>
        <w:rPr>
          <w:rFonts w:asciiTheme="minorHAnsi" w:eastAsia="Times New Roman" w:hAnsiTheme="minorHAnsi" w:cstheme="minorHAnsi"/>
          <w:sz w:val="16"/>
          <w:szCs w:val="16"/>
        </w:rPr>
        <w:t>NTEP</w:t>
      </w:r>
      <w:r w:rsidR="00AB06A2" w:rsidRPr="00194FAC">
        <w:rPr>
          <w:rFonts w:asciiTheme="minorHAnsi" w:eastAsia="Times New Roman" w:hAnsiTheme="minorHAnsi" w:cstheme="minorHAnsi"/>
          <w:sz w:val="16"/>
          <w:szCs w:val="16"/>
        </w:rPr>
        <w:tab/>
      </w:r>
      <w:r w:rsidR="00AB06A2" w:rsidRPr="00194FAC">
        <w:rPr>
          <w:rFonts w:asciiTheme="minorHAnsi" w:eastAsia="Times New Roman" w:hAnsiTheme="minorHAnsi" w:cstheme="minorHAnsi"/>
          <w:sz w:val="16"/>
          <w:szCs w:val="16"/>
        </w:rPr>
        <w:tab/>
        <w:t>Revised National Tuberculosis Control Program</w:t>
      </w:r>
    </w:p>
    <w:p w14:paraId="5B400F9F" w14:textId="127BEA56"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RR-TB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Rifampicin-Resistant Tuberculosis</w:t>
      </w:r>
    </w:p>
    <w:p w14:paraId="43A41B0E" w14:textId="3D539903"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SDS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State Drug Stores </w:t>
      </w:r>
    </w:p>
    <w:p w14:paraId="09AECF31" w14:textId="472FF4C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SHG</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Self-help Group</w:t>
      </w:r>
    </w:p>
    <w:p w14:paraId="124F3BE2" w14:textId="29720BB9"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SLD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Second-line Drugs</w:t>
      </w:r>
    </w:p>
    <w:p w14:paraId="04B8FF9B" w14:textId="6D5689E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SL-DST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Second-line Drug Susceptibility Testing</w:t>
      </w:r>
    </w:p>
    <w:p w14:paraId="4832A11E" w14:textId="7E2C3893"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SLI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Second-line Injectable Drugs</w:t>
      </w:r>
    </w:p>
    <w:p w14:paraId="595BE47F" w14:textId="518D388C"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STC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State Tuberculosis Cell </w:t>
      </w:r>
    </w:p>
    <w:p w14:paraId="3559CBDB" w14:textId="224202B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STCI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Standards for Tuberculosis Care in India</w:t>
      </w:r>
    </w:p>
    <w:p w14:paraId="50EE63BA" w14:textId="429FFB0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STDC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State Tuberculosis Training and Demonstration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Center</w:t>
      </w:r>
    </w:p>
    <w:p w14:paraId="6474C83C" w14:textId="12E2F413"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STR</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Shorter Treatment Regimen for drug-resistant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TB</w:t>
      </w:r>
    </w:p>
    <w:p w14:paraId="6F3294B0" w14:textId="0DA91EDF"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STLS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State Tuberculosis Laboratory Supervisor</w:t>
      </w:r>
    </w:p>
    <w:p w14:paraId="027F1D8D" w14:textId="011E0131"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STO</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State Tuberculosis Officer</w:t>
      </w:r>
    </w:p>
    <w:p w14:paraId="619D5634" w14:textId="6FF1A7F4"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STS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Senior Treatment Supervisor </w:t>
      </w:r>
    </w:p>
    <w:p w14:paraId="6C00FAA2" w14:textId="612D813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TA</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Technical Assistance</w:t>
      </w:r>
    </w:p>
    <w:p w14:paraId="7C9BFF5A" w14:textId="5FF10A9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TAT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Turnaround Times</w:t>
      </w:r>
    </w:p>
    <w:p w14:paraId="07A00C1F" w14:textId="40C05FFF"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Tuberculosis</w:t>
      </w:r>
    </w:p>
    <w:p w14:paraId="21FDAE72" w14:textId="0DE0EC09"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TBHV</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Tuberculosis Health Visitor</w:t>
      </w:r>
    </w:p>
    <w:p w14:paraId="1C1A1333" w14:textId="30852CAB"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TOG</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Technical and Operational Guidelines</w:t>
      </w:r>
    </w:p>
    <w:p w14:paraId="2F5F3F74" w14:textId="4DD8A61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TOR</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Terms of Reference</w:t>
      </w:r>
    </w:p>
    <w:p w14:paraId="75863D00" w14:textId="207C6D3C" w:rsidR="00AB06A2" w:rsidRPr="00194FAC" w:rsidRDefault="00693FC5" w:rsidP="00A75913">
      <w:pPr>
        <w:spacing w:before="0" w:after="0"/>
        <w:ind w:right="-167"/>
        <w:rPr>
          <w:rFonts w:asciiTheme="minorHAnsi" w:eastAsia="Times New Roman" w:hAnsiTheme="minorHAnsi" w:cstheme="minorHAnsi"/>
          <w:i/>
          <w:sz w:val="16"/>
          <w:szCs w:val="16"/>
        </w:rPr>
      </w:pPr>
      <w:r w:rsidRPr="00194FAC">
        <w:rPr>
          <w:rFonts w:asciiTheme="minorHAnsi" w:eastAsia="Times New Roman" w:hAnsiTheme="minorHAnsi" w:cstheme="minorHAnsi"/>
          <w:sz w:val="16"/>
          <w:szCs w:val="16"/>
        </w:rPr>
        <w:t>TrueNat</w:t>
      </w:r>
      <w:r w:rsidR="00AB06A2" w:rsidRPr="00194FAC">
        <w:rPr>
          <w:rFonts w:asciiTheme="minorHAnsi" w:eastAsia="Times New Roman" w:hAnsiTheme="minorHAnsi" w:cstheme="minorHAnsi"/>
          <w:sz w:val="16"/>
          <w:szCs w:val="16"/>
        </w:rPr>
        <w:t xml:space="preserve"> MTB</w:t>
      </w:r>
      <w:r w:rsidR="00AB06A2" w:rsidRPr="00194FAC">
        <w:rPr>
          <w:rFonts w:asciiTheme="minorHAnsi" w:eastAsia="Times New Roman" w:hAnsiTheme="minorHAnsi" w:cstheme="minorHAnsi"/>
          <w:sz w:val="16"/>
          <w:szCs w:val="16"/>
        </w:rPr>
        <w:tab/>
        <w:t xml:space="preserve">Chip-based nucleic acid amplification test to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AB06A2" w:rsidRPr="00194FAC">
        <w:rPr>
          <w:rFonts w:asciiTheme="minorHAnsi" w:eastAsia="Times New Roman" w:hAnsiTheme="minorHAnsi" w:cstheme="minorHAnsi"/>
          <w:sz w:val="16"/>
          <w:szCs w:val="16"/>
        </w:rPr>
        <w:t xml:space="preserve">detect </w:t>
      </w:r>
      <w:r w:rsidR="00AB06A2" w:rsidRPr="00194FAC">
        <w:rPr>
          <w:rFonts w:asciiTheme="minorHAnsi" w:eastAsia="Times New Roman" w:hAnsiTheme="minorHAnsi" w:cstheme="minorHAnsi"/>
          <w:i/>
          <w:sz w:val="16"/>
          <w:szCs w:val="16"/>
        </w:rPr>
        <w:t>M.</w:t>
      </w:r>
      <w:r w:rsidR="00B66FC0">
        <w:rPr>
          <w:rFonts w:asciiTheme="minorHAnsi" w:eastAsia="Times New Roman" w:hAnsiTheme="minorHAnsi" w:cstheme="minorHAnsi"/>
          <w:i/>
          <w:sz w:val="16"/>
          <w:szCs w:val="16"/>
        </w:rPr>
        <w:t xml:space="preserve"> </w:t>
      </w:r>
      <w:r w:rsidR="00AB06A2" w:rsidRPr="00194FAC">
        <w:rPr>
          <w:rFonts w:asciiTheme="minorHAnsi" w:eastAsia="Times New Roman" w:hAnsiTheme="minorHAnsi" w:cstheme="minorHAnsi"/>
          <w:i/>
          <w:sz w:val="16"/>
          <w:szCs w:val="16"/>
        </w:rPr>
        <w:t>tuberculosis</w:t>
      </w:r>
    </w:p>
    <w:p w14:paraId="3FD811AD" w14:textId="4833111C" w:rsidR="00AB06A2" w:rsidRPr="00194FAC" w:rsidRDefault="00AB06A2" w:rsidP="00A75913">
      <w:pPr>
        <w:spacing w:before="0" w:after="0"/>
        <w:ind w:right="-167"/>
        <w:rPr>
          <w:rFonts w:asciiTheme="minorHAnsi" w:eastAsia="Times New Roman" w:hAnsiTheme="minorHAnsi" w:cstheme="minorHAnsi"/>
          <w:i/>
          <w:sz w:val="16"/>
          <w:szCs w:val="16"/>
        </w:rPr>
      </w:pPr>
      <w:r w:rsidRPr="00194FAC">
        <w:rPr>
          <w:rFonts w:asciiTheme="minorHAnsi" w:eastAsia="Times New Roman" w:hAnsiTheme="minorHAnsi" w:cstheme="minorHAnsi"/>
          <w:sz w:val="16"/>
          <w:szCs w:val="16"/>
        </w:rPr>
        <w:t>TrueNat MTB-RIF Dx</w:t>
      </w:r>
      <w:r w:rsidRPr="00194FAC">
        <w:rPr>
          <w:rFonts w:asciiTheme="minorHAnsi" w:eastAsia="Times New Roman" w:hAnsiTheme="minorHAnsi" w:cstheme="minorHAnsi"/>
          <w:sz w:val="16"/>
          <w:szCs w:val="16"/>
        </w:rPr>
        <w:tab/>
        <w:t xml:space="preserve">Chip-based nucleic acid amplification test to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detect</w:t>
      </w:r>
      <w:r w:rsidR="00B66FC0">
        <w:rPr>
          <w:rFonts w:asciiTheme="minorHAnsi" w:eastAsia="Times New Roman" w:hAnsiTheme="minorHAnsi" w:cstheme="minorHAnsi"/>
          <w:sz w:val="16"/>
          <w:szCs w:val="16"/>
        </w:rPr>
        <w:t xml:space="preserve"> </w:t>
      </w:r>
      <w:r w:rsidRPr="00194FAC">
        <w:rPr>
          <w:rFonts w:asciiTheme="minorHAnsi" w:eastAsia="Times New Roman" w:hAnsiTheme="minorHAnsi" w:cstheme="minorHAnsi"/>
          <w:sz w:val="16"/>
          <w:szCs w:val="16"/>
        </w:rPr>
        <w:t xml:space="preserve">rifampicin-resistant </w:t>
      </w:r>
      <w:r w:rsidRPr="00194FAC">
        <w:rPr>
          <w:rFonts w:asciiTheme="minorHAnsi" w:eastAsia="Times New Roman" w:hAnsiTheme="minorHAnsi" w:cstheme="minorHAnsi"/>
          <w:i/>
          <w:sz w:val="16"/>
          <w:szCs w:val="16"/>
        </w:rPr>
        <w:t>M. tuberculosis</w:t>
      </w:r>
    </w:p>
    <w:p w14:paraId="5F2AE021" w14:textId="0BC6436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TSG</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Technical Support Group </w:t>
      </w:r>
    </w:p>
    <w:p w14:paraId="0AE53A5E" w14:textId="3FEBDC44"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TST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Tuberculin Skin Test</w:t>
      </w:r>
    </w:p>
    <w:p w14:paraId="16FCDC9A" w14:textId="0A22F93A"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TSU</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Technical Support Unit</w:t>
      </w:r>
    </w:p>
    <w:p w14:paraId="7DA7B91D" w14:textId="3BC34DED"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TU</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Tuberculosis Unit </w:t>
      </w:r>
    </w:p>
    <w:p w14:paraId="26757E14" w14:textId="38DAE5B2"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UATBC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Universal Access to Tuberculosis Care</w:t>
      </w:r>
    </w:p>
    <w:p w14:paraId="04729884" w14:textId="509E6AF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UDST</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Universal Drug Susceptibility Tests</w:t>
      </w:r>
    </w:p>
    <w:p w14:paraId="3B51ABDD" w14:textId="313D7367"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UHC</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Universal Health Coverage</w:t>
      </w:r>
    </w:p>
    <w:p w14:paraId="473B01B2" w14:textId="1B13E455"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UN</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United Nations</w:t>
      </w:r>
    </w:p>
    <w:p w14:paraId="3DBCDD49" w14:textId="49AA948E"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UNAIDS</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Joint United Nations Programme on HIV/AIDS</w:t>
      </w:r>
    </w:p>
    <w:p w14:paraId="11820846" w14:textId="7EA7FDB0" w:rsidR="00AB06A2" w:rsidRPr="00194FAC" w:rsidRDefault="00AB06A2" w:rsidP="00A75913">
      <w:pP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UNHLM</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United Nations High-level Meeting </w:t>
      </w:r>
    </w:p>
    <w:p w14:paraId="4484153C" w14:textId="2DE0691F"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USAID</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United States Agency for International </w:t>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00B66FC0">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 xml:space="preserve">Development </w:t>
      </w:r>
    </w:p>
    <w:p w14:paraId="1A2F744B" w14:textId="08220749"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UVGI</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Ultraviolet Germicidal Irradiation </w:t>
      </w:r>
    </w:p>
    <w:p w14:paraId="298D1E64" w14:textId="067A1903"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WCO</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World Health Organization Country Office</w:t>
      </w:r>
    </w:p>
    <w:p w14:paraId="25D39E33" w14:textId="5F08F84A"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WHO</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World Health Organization </w:t>
      </w:r>
    </w:p>
    <w:p w14:paraId="4268C306" w14:textId="406015F8"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WHP</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 xml:space="preserve">World Health Partners </w:t>
      </w:r>
    </w:p>
    <w:p w14:paraId="480E955F" w14:textId="0DA8630B" w:rsidR="00AB06A2" w:rsidRPr="00194FAC" w:rsidRDefault="00AB06A2" w:rsidP="00A75913">
      <w:pPr>
        <w:pBdr>
          <w:top w:val="nil"/>
          <w:left w:val="nil"/>
          <w:bottom w:val="nil"/>
          <w:right w:val="nil"/>
          <w:between w:val="nil"/>
        </w:pBdr>
        <w:spacing w:before="0" w:after="0"/>
        <w:ind w:right="-167"/>
        <w:rPr>
          <w:rFonts w:asciiTheme="minorHAnsi" w:eastAsia="Times New Roman" w:hAnsiTheme="minorHAnsi" w:cstheme="minorHAnsi"/>
          <w:sz w:val="16"/>
          <w:szCs w:val="16"/>
        </w:rPr>
      </w:pPr>
      <w:r w:rsidRPr="00194FAC">
        <w:rPr>
          <w:rFonts w:asciiTheme="minorHAnsi" w:eastAsia="Times New Roman" w:hAnsiTheme="minorHAnsi" w:cstheme="minorHAnsi"/>
          <w:sz w:val="16"/>
          <w:szCs w:val="16"/>
        </w:rPr>
        <w:t>XDR-TB</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Extensively Drug Resistant Tuberculosis</w:t>
      </w:r>
    </w:p>
    <w:p w14:paraId="71DD3A8F" w14:textId="1675A8C5" w:rsidR="00B66FC0" w:rsidRDefault="00AB06A2" w:rsidP="00A75913">
      <w:pPr>
        <w:spacing w:before="0" w:after="0"/>
        <w:ind w:right="-167"/>
        <w:rPr>
          <w:rFonts w:asciiTheme="minorHAnsi" w:hAnsiTheme="minorHAnsi" w:cstheme="minorHAnsi"/>
          <w:sz w:val="16"/>
          <w:szCs w:val="16"/>
        </w:rPr>
        <w:sectPr w:rsidR="00B66FC0" w:rsidSect="00D02C5D">
          <w:type w:val="continuous"/>
          <w:pgSz w:w="11907" w:h="16839" w:code="9"/>
          <w:pgMar w:top="1440" w:right="1440" w:bottom="1728" w:left="1440" w:header="720" w:footer="720" w:gutter="0"/>
          <w:cols w:num="2" w:space="360"/>
          <w:titlePg/>
        </w:sectPr>
      </w:pPr>
      <w:r w:rsidRPr="00194FAC">
        <w:rPr>
          <w:rFonts w:asciiTheme="minorHAnsi" w:eastAsia="Times New Roman" w:hAnsiTheme="minorHAnsi" w:cstheme="minorHAnsi"/>
          <w:sz w:val="16"/>
          <w:szCs w:val="16"/>
        </w:rPr>
        <w:t>YLL</w:t>
      </w:r>
      <w:r w:rsidRPr="00194FAC">
        <w:rPr>
          <w:rFonts w:asciiTheme="minorHAnsi" w:eastAsia="Times New Roman" w:hAnsiTheme="minorHAnsi" w:cstheme="minorHAnsi"/>
          <w:sz w:val="16"/>
          <w:szCs w:val="16"/>
        </w:rPr>
        <w:tab/>
      </w:r>
      <w:r w:rsidRPr="00194FAC">
        <w:rPr>
          <w:rFonts w:asciiTheme="minorHAnsi" w:eastAsia="Times New Roman" w:hAnsiTheme="minorHAnsi" w:cstheme="minorHAnsi"/>
          <w:sz w:val="16"/>
          <w:szCs w:val="16"/>
        </w:rPr>
        <w:tab/>
        <w:t>Years of Life Lost</w:t>
      </w:r>
      <w:r w:rsidR="00753799" w:rsidRPr="00AB06A2">
        <w:rPr>
          <w:rFonts w:asciiTheme="minorHAnsi" w:hAnsiTheme="minorHAnsi" w:cstheme="minorHAnsi"/>
          <w:sz w:val="16"/>
          <w:szCs w:val="16"/>
        </w:rPr>
        <w:t xml:space="preserve">      </w:t>
      </w:r>
    </w:p>
    <w:p w14:paraId="742F8BAA" w14:textId="6442CDC7" w:rsidR="00753799" w:rsidRDefault="00753799" w:rsidP="00C129C4">
      <w:pPr>
        <w:spacing w:before="0" w:after="0"/>
        <w:jc w:val="both"/>
        <w:rPr>
          <w:rFonts w:asciiTheme="minorHAnsi" w:hAnsiTheme="minorHAnsi" w:cstheme="minorHAnsi"/>
          <w:sz w:val="16"/>
          <w:szCs w:val="16"/>
        </w:rPr>
      </w:pPr>
    </w:p>
    <w:p w14:paraId="40C64B55" w14:textId="77777777" w:rsidR="00753799" w:rsidRDefault="00753799" w:rsidP="00C129C4">
      <w:pPr>
        <w:spacing w:before="0" w:after="0"/>
        <w:jc w:val="both"/>
        <w:rPr>
          <w:rFonts w:asciiTheme="minorHAnsi" w:hAnsiTheme="minorHAnsi" w:cstheme="minorHAnsi"/>
          <w:b/>
          <w:sz w:val="16"/>
          <w:szCs w:val="16"/>
        </w:rPr>
      </w:pPr>
    </w:p>
    <w:p w14:paraId="1943F973" w14:textId="77777777" w:rsidR="00753799" w:rsidRDefault="00753799" w:rsidP="00C129C4">
      <w:pPr>
        <w:spacing w:before="0" w:after="0"/>
        <w:jc w:val="both"/>
        <w:rPr>
          <w:rFonts w:asciiTheme="minorHAnsi" w:hAnsiTheme="minorHAnsi" w:cstheme="minorHAnsi"/>
          <w:b/>
          <w:sz w:val="16"/>
          <w:szCs w:val="16"/>
        </w:rPr>
      </w:pPr>
    </w:p>
    <w:p w14:paraId="0BA52185" w14:textId="77777777" w:rsidR="00753799" w:rsidRDefault="00753799" w:rsidP="00C129C4">
      <w:pPr>
        <w:spacing w:before="0" w:after="0"/>
        <w:jc w:val="both"/>
        <w:rPr>
          <w:rFonts w:asciiTheme="minorHAnsi" w:hAnsiTheme="minorHAnsi" w:cstheme="minorHAnsi"/>
          <w:b/>
          <w:sz w:val="16"/>
          <w:szCs w:val="16"/>
        </w:rPr>
      </w:pPr>
    </w:p>
    <w:p w14:paraId="59039533" w14:textId="77777777" w:rsidR="00753799" w:rsidRDefault="00753799" w:rsidP="00C129C4">
      <w:pPr>
        <w:spacing w:before="0" w:after="0"/>
        <w:jc w:val="both"/>
        <w:rPr>
          <w:rFonts w:asciiTheme="minorHAnsi" w:hAnsiTheme="minorHAnsi" w:cstheme="minorHAnsi"/>
          <w:b/>
          <w:sz w:val="16"/>
          <w:szCs w:val="16"/>
        </w:rPr>
      </w:pPr>
    </w:p>
    <w:p w14:paraId="797FB3F8" w14:textId="77777777" w:rsidR="00753799" w:rsidRDefault="00753799" w:rsidP="00C129C4">
      <w:pPr>
        <w:spacing w:before="0" w:after="0"/>
        <w:jc w:val="both"/>
        <w:rPr>
          <w:rFonts w:asciiTheme="minorHAnsi" w:hAnsiTheme="minorHAnsi" w:cstheme="minorHAnsi"/>
          <w:b/>
          <w:sz w:val="16"/>
          <w:szCs w:val="16"/>
        </w:rPr>
      </w:pPr>
    </w:p>
    <w:p w14:paraId="33282742" w14:textId="77777777" w:rsidR="00753799" w:rsidRDefault="00753799" w:rsidP="00C129C4">
      <w:pPr>
        <w:spacing w:before="0" w:after="0"/>
        <w:jc w:val="both"/>
        <w:rPr>
          <w:rFonts w:asciiTheme="minorHAnsi" w:hAnsiTheme="minorHAnsi" w:cstheme="minorHAnsi"/>
          <w:b/>
          <w:sz w:val="16"/>
          <w:szCs w:val="16"/>
        </w:rPr>
      </w:pPr>
    </w:p>
    <w:p w14:paraId="2676D3B0" w14:textId="77777777" w:rsidR="00753799" w:rsidRDefault="00753799" w:rsidP="00C129C4">
      <w:pPr>
        <w:spacing w:before="0" w:after="0"/>
        <w:jc w:val="both"/>
        <w:rPr>
          <w:rFonts w:asciiTheme="minorHAnsi" w:hAnsiTheme="minorHAnsi" w:cstheme="minorHAnsi"/>
          <w:b/>
          <w:sz w:val="16"/>
          <w:szCs w:val="16"/>
        </w:rPr>
      </w:pPr>
    </w:p>
    <w:p w14:paraId="37A3D011" w14:textId="77777777" w:rsidR="00753799" w:rsidRDefault="00753799" w:rsidP="00C129C4">
      <w:pPr>
        <w:spacing w:before="0" w:after="0"/>
        <w:jc w:val="both"/>
        <w:rPr>
          <w:rFonts w:asciiTheme="minorHAnsi" w:hAnsiTheme="minorHAnsi" w:cstheme="minorHAnsi"/>
          <w:b/>
          <w:sz w:val="16"/>
          <w:szCs w:val="16"/>
        </w:rPr>
      </w:pPr>
    </w:p>
    <w:p w14:paraId="227200CE" w14:textId="77777777" w:rsidR="00753799" w:rsidRDefault="00753799" w:rsidP="00C129C4">
      <w:pPr>
        <w:spacing w:before="0" w:after="0"/>
        <w:jc w:val="both"/>
        <w:rPr>
          <w:rFonts w:asciiTheme="minorHAnsi" w:hAnsiTheme="minorHAnsi" w:cstheme="minorHAnsi"/>
          <w:b/>
          <w:sz w:val="16"/>
          <w:szCs w:val="16"/>
        </w:rPr>
      </w:pPr>
    </w:p>
    <w:p w14:paraId="0A95B681" w14:textId="77777777" w:rsidR="00753799" w:rsidRDefault="00753799" w:rsidP="00C129C4">
      <w:pPr>
        <w:spacing w:before="0" w:after="0"/>
        <w:jc w:val="both"/>
        <w:rPr>
          <w:rFonts w:asciiTheme="minorHAnsi" w:hAnsiTheme="minorHAnsi" w:cstheme="minorHAnsi"/>
          <w:b/>
          <w:sz w:val="16"/>
          <w:szCs w:val="16"/>
        </w:rPr>
      </w:pPr>
    </w:p>
    <w:p w14:paraId="2C873A45" w14:textId="77777777" w:rsidR="00753799" w:rsidRDefault="00753799" w:rsidP="00C129C4">
      <w:pPr>
        <w:spacing w:before="0" w:after="0"/>
        <w:jc w:val="both"/>
        <w:rPr>
          <w:rFonts w:asciiTheme="minorHAnsi" w:hAnsiTheme="minorHAnsi" w:cstheme="minorHAnsi"/>
          <w:b/>
          <w:sz w:val="16"/>
          <w:szCs w:val="16"/>
        </w:rPr>
      </w:pPr>
    </w:p>
    <w:p w14:paraId="5AD346E0" w14:textId="77777777" w:rsidR="00753799" w:rsidRDefault="00753799" w:rsidP="00C129C4">
      <w:pPr>
        <w:spacing w:before="0" w:after="0"/>
        <w:jc w:val="both"/>
        <w:rPr>
          <w:rFonts w:asciiTheme="minorHAnsi" w:hAnsiTheme="minorHAnsi" w:cstheme="minorHAnsi"/>
          <w:b/>
          <w:sz w:val="16"/>
          <w:szCs w:val="16"/>
        </w:rPr>
      </w:pPr>
    </w:p>
    <w:p w14:paraId="7652E919" w14:textId="77777777" w:rsidR="00753799" w:rsidRDefault="00753799" w:rsidP="00C129C4">
      <w:pPr>
        <w:spacing w:before="0" w:after="0"/>
        <w:jc w:val="both"/>
        <w:rPr>
          <w:rFonts w:asciiTheme="minorHAnsi" w:hAnsiTheme="minorHAnsi" w:cstheme="minorHAnsi"/>
          <w:b/>
          <w:sz w:val="16"/>
          <w:szCs w:val="16"/>
        </w:rPr>
      </w:pPr>
    </w:p>
    <w:p w14:paraId="65C5493C" w14:textId="77777777" w:rsidR="00753799" w:rsidRDefault="00753799" w:rsidP="00C129C4">
      <w:pPr>
        <w:spacing w:before="0" w:after="0"/>
        <w:jc w:val="both"/>
        <w:rPr>
          <w:rFonts w:asciiTheme="minorHAnsi" w:hAnsiTheme="minorHAnsi" w:cstheme="minorHAnsi"/>
          <w:b/>
          <w:sz w:val="16"/>
          <w:szCs w:val="16"/>
        </w:rPr>
      </w:pPr>
    </w:p>
    <w:p w14:paraId="5C976507" w14:textId="77777777" w:rsidR="00753799" w:rsidRDefault="00753799" w:rsidP="00C129C4">
      <w:pPr>
        <w:spacing w:before="0" w:after="0"/>
        <w:jc w:val="both"/>
        <w:rPr>
          <w:rFonts w:asciiTheme="minorHAnsi" w:hAnsiTheme="minorHAnsi" w:cstheme="minorHAnsi"/>
          <w:b/>
          <w:sz w:val="16"/>
          <w:szCs w:val="16"/>
        </w:rPr>
      </w:pPr>
    </w:p>
    <w:p w14:paraId="370B9C67" w14:textId="553D797E" w:rsidR="00753799" w:rsidRDefault="00753799" w:rsidP="00C129C4">
      <w:pPr>
        <w:spacing w:before="0" w:after="0"/>
        <w:jc w:val="both"/>
        <w:rPr>
          <w:rFonts w:asciiTheme="minorHAnsi" w:hAnsiTheme="minorHAnsi" w:cstheme="minorHAnsi"/>
          <w:b/>
          <w:sz w:val="16"/>
          <w:szCs w:val="16"/>
        </w:rPr>
      </w:pPr>
      <w:r>
        <w:rPr>
          <w:rFonts w:asciiTheme="minorHAnsi" w:hAnsiTheme="minorHAnsi" w:cstheme="minorHAnsi"/>
          <w:b/>
          <w:sz w:val="16"/>
          <w:szCs w:val="16"/>
        </w:rPr>
        <w:br w:type="page"/>
      </w:r>
    </w:p>
    <w:p w14:paraId="423FF98B" w14:textId="77777777" w:rsidR="0096438F" w:rsidRPr="005F7303" w:rsidRDefault="0096438F" w:rsidP="00C129C4">
      <w:pPr>
        <w:spacing w:before="0" w:after="0"/>
        <w:jc w:val="both"/>
        <w:rPr>
          <w:rFonts w:asciiTheme="minorHAnsi" w:hAnsiTheme="minorHAnsi" w:cstheme="minorHAnsi"/>
          <w:b/>
          <w:sz w:val="16"/>
          <w:szCs w:val="16"/>
        </w:rPr>
        <w:sectPr w:rsidR="0096438F" w:rsidRPr="005F7303" w:rsidSect="00D02C5D">
          <w:type w:val="continuous"/>
          <w:pgSz w:w="11907" w:h="16839" w:code="9"/>
          <w:pgMar w:top="1440" w:right="1440" w:bottom="1728" w:left="1440" w:header="720" w:footer="720" w:gutter="0"/>
          <w:cols w:space="360"/>
          <w:titlePg/>
        </w:sectPr>
      </w:pPr>
    </w:p>
    <w:p w14:paraId="3B78E5E6" w14:textId="31320548" w:rsidR="000C7CB0" w:rsidRPr="00734B6A" w:rsidRDefault="00130AA3" w:rsidP="00663C3B">
      <w:pPr>
        <w:pStyle w:val="Heading0"/>
        <w:shd w:val="clear" w:color="auto" w:fill="auto"/>
        <w:jc w:val="left"/>
        <w:rPr>
          <w:rFonts w:asciiTheme="minorHAnsi" w:hAnsiTheme="minorHAnsi" w:cstheme="minorHAnsi"/>
          <w:b/>
          <w:color w:val="auto"/>
        </w:rPr>
      </w:pPr>
      <w:bookmarkStart w:id="3" w:name="_Toc2777241"/>
      <w:r w:rsidRPr="00734B6A">
        <w:rPr>
          <w:rFonts w:asciiTheme="minorHAnsi" w:hAnsiTheme="minorHAnsi" w:cstheme="minorHAnsi"/>
          <w:b/>
          <w:color w:val="auto"/>
        </w:rPr>
        <w:lastRenderedPageBreak/>
        <w:t>Executive Summary</w:t>
      </w:r>
      <w:bookmarkEnd w:id="3"/>
      <w:r w:rsidR="00976EAA" w:rsidRPr="00734B6A">
        <w:rPr>
          <w:rFonts w:asciiTheme="minorHAnsi" w:hAnsiTheme="minorHAnsi" w:cstheme="minorHAnsi"/>
          <w:b/>
          <w:color w:val="auto"/>
        </w:rPr>
        <w:t xml:space="preserve"> </w:t>
      </w:r>
      <w:r w:rsidR="00E7515D" w:rsidRPr="00734B6A">
        <w:rPr>
          <w:rFonts w:asciiTheme="minorHAnsi" w:hAnsiTheme="minorHAnsi" w:cstheme="minorHAnsi"/>
          <w:b/>
          <w:color w:val="auto"/>
        </w:rPr>
        <w:t xml:space="preserve">  </w:t>
      </w:r>
    </w:p>
    <w:p w14:paraId="0A7469BD" w14:textId="0FF0968F" w:rsidR="00CC501B" w:rsidRPr="00EC3830" w:rsidRDefault="00CC501B" w:rsidP="00EC3830">
      <w:pPr>
        <w:jc w:val="both"/>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Background</w:t>
      </w:r>
    </w:p>
    <w:p w14:paraId="1991897C" w14:textId="6CE15D83" w:rsidR="00811EE5" w:rsidRPr="007F69F7" w:rsidRDefault="000B3854" w:rsidP="00C129C4">
      <w:pPr>
        <w:spacing w:after="0"/>
        <w:jc w:val="both"/>
        <w:rPr>
          <w:rFonts w:asciiTheme="minorHAnsi" w:hAnsiTheme="minorHAnsi" w:cstheme="minorHAnsi"/>
          <w:sz w:val="22"/>
        </w:rPr>
      </w:pPr>
      <w:r w:rsidRPr="007F69F7">
        <w:rPr>
          <w:rFonts w:asciiTheme="minorHAnsi" w:hAnsiTheme="minorHAnsi" w:cstheme="minorHAnsi"/>
          <w:sz w:val="22"/>
        </w:rPr>
        <w:t xml:space="preserve">The </w:t>
      </w:r>
      <w:r w:rsidR="00811EE5" w:rsidRPr="007F69F7">
        <w:rPr>
          <w:rFonts w:asciiTheme="minorHAnsi" w:hAnsiTheme="minorHAnsi" w:cstheme="minorHAnsi"/>
          <w:sz w:val="22"/>
        </w:rPr>
        <w:t>National Strategic Plan to END TB in India (NSP)</w:t>
      </w:r>
      <w:r w:rsidRPr="007F69F7">
        <w:rPr>
          <w:rFonts w:asciiTheme="minorHAnsi" w:hAnsiTheme="minorHAnsi" w:cstheme="minorHAnsi"/>
          <w:sz w:val="22"/>
        </w:rPr>
        <w:t xml:space="preserve"> </w:t>
      </w:r>
      <w:r w:rsidR="00ED6F35" w:rsidRPr="007F69F7">
        <w:rPr>
          <w:rFonts w:asciiTheme="minorHAnsi" w:hAnsiTheme="minorHAnsi" w:cstheme="minorHAnsi"/>
          <w:sz w:val="22"/>
        </w:rPr>
        <w:t>2017</w:t>
      </w:r>
      <w:r w:rsidR="007E2839">
        <w:rPr>
          <w:rFonts w:asciiTheme="minorHAnsi" w:hAnsiTheme="minorHAnsi" w:cstheme="minorHAnsi"/>
          <w:sz w:val="22"/>
        </w:rPr>
        <w:t>–</w:t>
      </w:r>
      <w:r w:rsidR="00ED6F35" w:rsidRPr="007F69F7">
        <w:rPr>
          <w:rFonts w:asciiTheme="minorHAnsi" w:hAnsiTheme="minorHAnsi" w:cstheme="minorHAnsi"/>
          <w:sz w:val="22"/>
        </w:rPr>
        <w:t>25</w:t>
      </w:r>
      <w:r w:rsidR="007E2839">
        <w:rPr>
          <w:rFonts w:asciiTheme="minorHAnsi" w:hAnsiTheme="minorHAnsi" w:cstheme="minorHAnsi"/>
          <w:sz w:val="22"/>
        </w:rPr>
        <w:t xml:space="preserve"> set into motion an unprecedented and </w:t>
      </w:r>
      <w:r w:rsidR="00646E93" w:rsidRPr="007F69F7">
        <w:rPr>
          <w:rFonts w:asciiTheme="minorHAnsi" w:hAnsiTheme="minorHAnsi" w:cstheme="minorHAnsi"/>
          <w:sz w:val="22"/>
        </w:rPr>
        <w:t>ambitious attempt to enhance the coverage, quality,</w:t>
      </w:r>
      <w:r w:rsidR="00D16687">
        <w:rPr>
          <w:rFonts w:asciiTheme="minorHAnsi" w:hAnsiTheme="minorHAnsi" w:cstheme="minorHAnsi"/>
          <w:sz w:val="22"/>
        </w:rPr>
        <w:t xml:space="preserve"> equity,</w:t>
      </w:r>
      <w:r w:rsidR="00646E93" w:rsidRPr="007F69F7">
        <w:rPr>
          <w:rFonts w:asciiTheme="minorHAnsi" w:hAnsiTheme="minorHAnsi" w:cstheme="minorHAnsi"/>
          <w:sz w:val="22"/>
        </w:rPr>
        <w:t xml:space="preserve"> efficiency and effectiveness of the </w:t>
      </w:r>
      <w:r w:rsidR="00811EE5" w:rsidRPr="007F69F7">
        <w:rPr>
          <w:rFonts w:asciiTheme="minorHAnsi" w:hAnsiTheme="minorHAnsi" w:cstheme="minorHAnsi"/>
          <w:sz w:val="22"/>
        </w:rPr>
        <w:t xml:space="preserve">National </w:t>
      </w:r>
      <w:r w:rsidR="00646E93" w:rsidRPr="007F69F7">
        <w:rPr>
          <w:rFonts w:asciiTheme="minorHAnsi" w:hAnsiTheme="minorHAnsi" w:cstheme="minorHAnsi"/>
          <w:sz w:val="22"/>
        </w:rPr>
        <w:t>T</w:t>
      </w:r>
      <w:r w:rsidR="00811EE5" w:rsidRPr="007F69F7">
        <w:rPr>
          <w:rFonts w:asciiTheme="minorHAnsi" w:hAnsiTheme="minorHAnsi" w:cstheme="minorHAnsi"/>
          <w:sz w:val="22"/>
        </w:rPr>
        <w:t xml:space="preserve">uberculosis Elimination </w:t>
      </w:r>
      <w:r w:rsidR="00646E93" w:rsidRPr="007F69F7">
        <w:rPr>
          <w:rFonts w:asciiTheme="minorHAnsi" w:hAnsiTheme="minorHAnsi" w:cstheme="minorHAnsi"/>
          <w:sz w:val="22"/>
        </w:rPr>
        <w:t>P</w:t>
      </w:r>
      <w:r w:rsidR="00811EE5" w:rsidRPr="007F69F7">
        <w:rPr>
          <w:rFonts w:asciiTheme="minorHAnsi" w:hAnsiTheme="minorHAnsi" w:cstheme="minorHAnsi"/>
          <w:sz w:val="22"/>
        </w:rPr>
        <w:t>rogramme (</w:t>
      </w:r>
      <w:r w:rsidR="0050507C">
        <w:rPr>
          <w:rFonts w:asciiTheme="minorHAnsi" w:hAnsiTheme="minorHAnsi" w:cstheme="minorHAnsi"/>
          <w:sz w:val="22"/>
        </w:rPr>
        <w:t>NTEP</w:t>
      </w:r>
      <w:r w:rsidR="00811EE5" w:rsidRPr="007F69F7">
        <w:rPr>
          <w:rFonts w:asciiTheme="minorHAnsi" w:hAnsiTheme="minorHAnsi" w:cstheme="minorHAnsi"/>
          <w:sz w:val="22"/>
        </w:rPr>
        <w:t xml:space="preserve">). Since </w:t>
      </w:r>
      <w:r w:rsidR="007E2839">
        <w:rPr>
          <w:rFonts w:asciiTheme="minorHAnsi" w:hAnsiTheme="minorHAnsi" w:cstheme="minorHAnsi"/>
          <w:sz w:val="22"/>
        </w:rPr>
        <w:t>the adoption of the NSP</w:t>
      </w:r>
      <w:r w:rsidR="00811EE5" w:rsidRPr="007F69F7">
        <w:rPr>
          <w:rFonts w:asciiTheme="minorHAnsi" w:hAnsiTheme="minorHAnsi" w:cstheme="minorHAnsi"/>
          <w:sz w:val="22"/>
        </w:rPr>
        <w:t xml:space="preserve">, </w:t>
      </w:r>
      <w:r w:rsidR="0050507C">
        <w:rPr>
          <w:rFonts w:asciiTheme="minorHAnsi" w:hAnsiTheme="minorHAnsi" w:cstheme="minorHAnsi"/>
          <w:sz w:val="22"/>
        </w:rPr>
        <w:t>NTEP</w:t>
      </w:r>
      <w:r w:rsidR="00646E93" w:rsidRPr="007F69F7">
        <w:rPr>
          <w:rFonts w:asciiTheme="minorHAnsi" w:hAnsiTheme="minorHAnsi" w:cstheme="minorHAnsi"/>
          <w:sz w:val="22"/>
        </w:rPr>
        <w:t xml:space="preserve"> has moved at a dramatic pace to match the </w:t>
      </w:r>
      <w:r w:rsidR="00257FB9" w:rsidRPr="007F69F7">
        <w:rPr>
          <w:rFonts w:asciiTheme="minorHAnsi" w:hAnsiTheme="minorHAnsi" w:cstheme="minorHAnsi"/>
          <w:sz w:val="22"/>
        </w:rPr>
        <w:t xml:space="preserve">bold </w:t>
      </w:r>
      <w:r w:rsidR="00A31E5D">
        <w:rPr>
          <w:rFonts w:asciiTheme="minorHAnsi" w:hAnsiTheme="minorHAnsi" w:cstheme="minorHAnsi"/>
          <w:sz w:val="22"/>
        </w:rPr>
        <w:t>ambitions</w:t>
      </w:r>
      <w:r w:rsidR="00646E93" w:rsidRPr="007F69F7">
        <w:rPr>
          <w:rFonts w:asciiTheme="minorHAnsi" w:hAnsiTheme="minorHAnsi" w:cstheme="minorHAnsi"/>
          <w:sz w:val="22"/>
        </w:rPr>
        <w:t xml:space="preserve"> of the </w:t>
      </w:r>
      <w:r w:rsidR="00A31E5D">
        <w:rPr>
          <w:rFonts w:asciiTheme="minorHAnsi" w:hAnsiTheme="minorHAnsi" w:cstheme="minorHAnsi"/>
          <w:sz w:val="22"/>
        </w:rPr>
        <w:t>Government of India,</w:t>
      </w:r>
      <w:r w:rsidR="00646E93" w:rsidRPr="007F69F7">
        <w:rPr>
          <w:rFonts w:asciiTheme="minorHAnsi" w:hAnsiTheme="minorHAnsi" w:cstheme="minorHAnsi"/>
          <w:sz w:val="22"/>
        </w:rPr>
        <w:t xml:space="preserve"> as well as those the country has </w:t>
      </w:r>
      <w:r w:rsidR="00A31E5D">
        <w:rPr>
          <w:rFonts w:asciiTheme="minorHAnsi" w:hAnsiTheme="minorHAnsi" w:cstheme="minorHAnsi"/>
          <w:sz w:val="22"/>
        </w:rPr>
        <w:t>committed</w:t>
      </w:r>
      <w:r w:rsidR="00646E93" w:rsidRPr="007F69F7">
        <w:rPr>
          <w:rFonts w:asciiTheme="minorHAnsi" w:hAnsiTheme="minorHAnsi" w:cstheme="minorHAnsi"/>
          <w:sz w:val="22"/>
        </w:rPr>
        <w:t xml:space="preserve"> at th</w:t>
      </w:r>
      <w:r w:rsidR="00A31E5D">
        <w:rPr>
          <w:rFonts w:asciiTheme="minorHAnsi" w:hAnsiTheme="minorHAnsi" w:cstheme="minorHAnsi"/>
          <w:sz w:val="22"/>
        </w:rPr>
        <w:t>e Global level including the</w:t>
      </w:r>
      <w:r w:rsidR="00670418">
        <w:rPr>
          <w:rFonts w:asciiTheme="minorHAnsi" w:hAnsiTheme="minorHAnsi" w:cstheme="minorHAnsi"/>
          <w:sz w:val="22"/>
        </w:rPr>
        <w:t xml:space="preserve"> United Nations High-level Meeting (</w:t>
      </w:r>
      <w:r w:rsidR="00A31E5D">
        <w:rPr>
          <w:rFonts w:asciiTheme="minorHAnsi" w:hAnsiTheme="minorHAnsi" w:cstheme="minorHAnsi"/>
          <w:sz w:val="22"/>
        </w:rPr>
        <w:t>UN</w:t>
      </w:r>
      <w:r w:rsidR="00646E93" w:rsidRPr="007F69F7">
        <w:rPr>
          <w:rFonts w:asciiTheme="minorHAnsi" w:hAnsiTheme="minorHAnsi" w:cstheme="minorHAnsi"/>
          <w:sz w:val="22"/>
        </w:rPr>
        <w:t>H</w:t>
      </w:r>
      <w:r w:rsidR="00A31E5D">
        <w:rPr>
          <w:rFonts w:asciiTheme="minorHAnsi" w:hAnsiTheme="minorHAnsi" w:cstheme="minorHAnsi"/>
          <w:sz w:val="22"/>
        </w:rPr>
        <w:t>L</w:t>
      </w:r>
      <w:r w:rsidR="00646E93" w:rsidRPr="007F69F7">
        <w:rPr>
          <w:rFonts w:asciiTheme="minorHAnsi" w:hAnsiTheme="minorHAnsi" w:cstheme="minorHAnsi"/>
          <w:sz w:val="22"/>
        </w:rPr>
        <w:t>M</w:t>
      </w:r>
      <w:r w:rsidR="00670418">
        <w:rPr>
          <w:rFonts w:asciiTheme="minorHAnsi" w:hAnsiTheme="minorHAnsi" w:cstheme="minorHAnsi"/>
          <w:sz w:val="22"/>
        </w:rPr>
        <w:t>)</w:t>
      </w:r>
      <w:r w:rsidR="00A31E5D">
        <w:rPr>
          <w:rFonts w:asciiTheme="minorHAnsi" w:hAnsiTheme="minorHAnsi" w:cstheme="minorHAnsi"/>
          <w:sz w:val="22"/>
        </w:rPr>
        <w:t xml:space="preserve"> on TB</w:t>
      </w:r>
      <w:r w:rsidR="00646E93" w:rsidRPr="007F69F7">
        <w:rPr>
          <w:rFonts w:asciiTheme="minorHAnsi" w:hAnsiTheme="minorHAnsi" w:cstheme="minorHAnsi"/>
          <w:sz w:val="22"/>
        </w:rPr>
        <w:t xml:space="preserve">. </w:t>
      </w:r>
      <w:r w:rsidR="001F04AC" w:rsidRPr="007F69F7">
        <w:rPr>
          <w:rFonts w:asciiTheme="minorHAnsi" w:hAnsiTheme="minorHAnsi" w:cstheme="minorHAnsi"/>
          <w:sz w:val="22"/>
        </w:rPr>
        <w:t xml:space="preserve">The </w:t>
      </w:r>
      <w:r w:rsidR="00811EE5" w:rsidRPr="007F69F7">
        <w:rPr>
          <w:rFonts w:asciiTheme="minorHAnsi" w:hAnsiTheme="minorHAnsi" w:cstheme="minorHAnsi"/>
          <w:sz w:val="22"/>
        </w:rPr>
        <w:t>impact</w:t>
      </w:r>
      <w:r w:rsidR="001F04AC" w:rsidRPr="007F69F7">
        <w:rPr>
          <w:rFonts w:asciiTheme="minorHAnsi" w:hAnsiTheme="minorHAnsi" w:cstheme="minorHAnsi"/>
          <w:sz w:val="22"/>
        </w:rPr>
        <w:t xml:space="preserve"> of many innovations and interventions since 2017 </w:t>
      </w:r>
      <w:r w:rsidR="00811EE5" w:rsidRPr="007F69F7">
        <w:rPr>
          <w:rFonts w:asciiTheme="minorHAnsi" w:hAnsiTheme="minorHAnsi" w:cstheme="minorHAnsi"/>
          <w:sz w:val="22"/>
        </w:rPr>
        <w:t xml:space="preserve">is </w:t>
      </w:r>
      <w:r w:rsidR="001F04AC" w:rsidRPr="007F69F7">
        <w:rPr>
          <w:rFonts w:asciiTheme="minorHAnsi" w:hAnsiTheme="minorHAnsi" w:cstheme="minorHAnsi"/>
          <w:sz w:val="22"/>
        </w:rPr>
        <w:t>seen</w:t>
      </w:r>
      <w:r w:rsidR="00811EE5" w:rsidRPr="007F69F7">
        <w:rPr>
          <w:rFonts w:asciiTheme="minorHAnsi" w:hAnsiTheme="minorHAnsi" w:cstheme="minorHAnsi"/>
          <w:sz w:val="22"/>
        </w:rPr>
        <w:t xml:space="preserve"> in the increased coverage, increased utilization</w:t>
      </w:r>
      <w:r w:rsidR="001F04AC" w:rsidRPr="007F69F7">
        <w:rPr>
          <w:rFonts w:asciiTheme="minorHAnsi" w:hAnsiTheme="minorHAnsi" w:cstheme="minorHAnsi"/>
          <w:sz w:val="22"/>
        </w:rPr>
        <w:t xml:space="preserve"> of TB services</w:t>
      </w:r>
      <w:r w:rsidR="00752D5F" w:rsidRPr="007F69F7">
        <w:rPr>
          <w:rFonts w:asciiTheme="minorHAnsi" w:hAnsiTheme="minorHAnsi" w:cstheme="minorHAnsi"/>
          <w:sz w:val="22"/>
        </w:rPr>
        <w:t xml:space="preserve"> and decreasing</w:t>
      </w:r>
      <w:r w:rsidR="00811EE5" w:rsidRPr="007F69F7">
        <w:rPr>
          <w:rFonts w:asciiTheme="minorHAnsi" w:hAnsiTheme="minorHAnsi" w:cstheme="minorHAnsi"/>
          <w:sz w:val="22"/>
        </w:rPr>
        <w:t xml:space="preserve"> incidence of the disease.</w:t>
      </w:r>
      <w:r w:rsidR="001F04AC" w:rsidRPr="007F69F7">
        <w:rPr>
          <w:rFonts w:asciiTheme="minorHAnsi" w:hAnsiTheme="minorHAnsi" w:cstheme="minorHAnsi"/>
          <w:sz w:val="22"/>
        </w:rPr>
        <w:t xml:space="preserve"> </w:t>
      </w:r>
      <w:r w:rsidR="006B6EAF" w:rsidRPr="007F69F7">
        <w:rPr>
          <w:rFonts w:asciiTheme="minorHAnsi" w:hAnsiTheme="minorHAnsi" w:cstheme="minorHAnsi"/>
          <w:sz w:val="22"/>
        </w:rPr>
        <w:t>However</w:t>
      </w:r>
      <w:r w:rsidR="006B6EAF">
        <w:rPr>
          <w:rFonts w:asciiTheme="minorHAnsi" w:hAnsiTheme="minorHAnsi" w:cstheme="minorHAnsi"/>
          <w:sz w:val="22"/>
        </w:rPr>
        <w:t xml:space="preserve">, the present rate of ~3% annual decline in TB incidence would need to be </w:t>
      </w:r>
      <w:r w:rsidR="006B6EAF" w:rsidRPr="00215C43">
        <w:rPr>
          <w:rFonts w:asciiTheme="minorHAnsi" w:hAnsiTheme="minorHAnsi" w:cstheme="minorHAnsi"/>
          <w:sz w:val="22"/>
        </w:rPr>
        <w:t xml:space="preserve">accelerated to </w:t>
      </w:r>
      <w:r w:rsidR="00215C43" w:rsidRPr="00215C43">
        <w:rPr>
          <w:rFonts w:asciiTheme="minorHAnsi" w:hAnsiTheme="minorHAnsi" w:cstheme="minorHAnsi"/>
          <w:sz w:val="22"/>
        </w:rPr>
        <w:t>~</w:t>
      </w:r>
      <w:r w:rsidR="006B6EAF" w:rsidRPr="00215C43">
        <w:rPr>
          <w:rFonts w:asciiTheme="minorHAnsi" w:hAnsiTheme="minorHAnsi" w:cstheme="minorHAnsi"/>
          <w:sz w:val="22"/>
        </w:rPr>
        <w:t xml:space="preserve">11% </w:t>
      </w:r>
      <w:r w:rsidR="006B6EAF">
        <w:rPr>
          <w:rFonts w:asciiTheme="minorHAnsi" w:hAnsiTheme="minorHAnsi" w:cstheme="minorHAnsi"/>
          <w:sz w:val="22"/>
        </w:rPr>
        <w:t xml:space="preserve">to achieve the </w:t>
      </w:r>
      <w:r w:rsidR="00B43FC8">
        <w:rPr>
          <w:rFonts w:asciiTheme="minorHAnsi" w:hAnsiTheme="minorHAnsi" w:cstheme="minorHAnsi"/>
          <w:sz w:val="22"/>
        </w:rPr>
        <w:t xml:space="preserve">2030 </w:t>
      </w:r>
      <w:r w:rsidR="00215C43">
        <w:rPr>
          <w:rFonts w:asciiTheme="minorHAnsi" w:hAnsiTheme="minorHAnsi" w:cstheme="minorHAnsi"/>
          <w:sz w:val="22"/>
        </w:rPr>
        <w:t xml:space="preserve">Sustainable development goal </w:t>
      </w:r>
      <w:r w:rsidR="006B6EAF">
        <w:rPr>
          <w:rFonts w:asciiTheme="minorHAnsi" w:hAnsiTheme="minorHAnsi" w:cstheme="minorHAnsi"/>
          <w:sz w:val="22"/>
        </w:rPr>
        <w:t xml:space="preserve">targets </w:t>
      </w:r>
      <w:r w:rsidR="00B43FC8">
        <w:rPr>
          <w:rFonts w:asciiTheme="minorHAnsi" w:hAnsiTheme="minorHAnsi" w:cstheme="minorHAnsi"/>
          <w:sz w:val="22"/>
        </w:rPr>
        <w:t>by</w:t>
      </w:r>
      <w:r w:rsidR="006B6EAF">
        <w:rPr>
          <w:rFonts w:asciiTheme="minorHAnsi" w:hAnsiTheme="minorHAnsi" w:cstheme="minorHAnsi"/>
          <w:sz w:val="22"/>
        </w:rPr>
        <w:t xml:space="preserve"> 2025. </w:t>
      </w:r>
      <w:r w:rsidR="008C6BCE" w:rsidRPr="00D96007">
        <w:rPr>
          <w:rFonts w:asciiTheme="minorHAnsi" w:hAnsiTheme="minorHAnsi" w:cstheme="minorHAnsi"/>
          <w:sz w:val="22"/>
        </w:rPr>
        <w:t xml:space="preserve">Since 2017, </w:t>
      </w:r>
      <w:r w:rsidR="00522281" w:rsidRPr="00D96007">
        <w:rPr>
          <w:rFonts w:asciiTheme="minorHAnsi" w:hAnsiTheme="minorHAnsi" w:cstheme="minorHAnsi"/>
          <w:sz w:val="22"/>
        </w:rPr>
        <w:t>m</w:t>
      </w:r>
      <w:r w:rsidR="00C66E5A" w:rsidRPr="00D96007">
        <w:rPr>
          <w:rFonts w:asciiTheme="minorHAnsi" w:hAnsiTheme="minorHAnsi" w:cstheme="minorHAnsi"/>
          <w:sz w:val="22"/>
        </w:rPr>
        <w:t>any new policies and g</w:t>
      </w:r>
      <w:r w:rsidR="00811EE5" w:rsidRPr="00D96007">
        <w:rPr>
          <w:rFonts w:asciiTheme="minorHAnsi" w:hAnsiTheme="minorHAnsi" w:cstheme="minorHAnsi"/>
          <w:sz w:val="22"/>
        </w:rPr>
        <w:t>uidelines have been promulgated</w:t>
      </w:r>
      <w:r w:rsidR="00522281" w:rsidRPr="00D96007">
        <w:rPr>
          <w:rFonts w:asciiTheme="minorHAnsi" w:hAnsiTheme="minorHAnsi" w:cstheme="minorHAnsi"/>
          <w:sz w:val="22"/>
        </w:rPr>
        <w:t>, new tools made available, extensive</w:t>
      </w:r>
      <w:r w:rsidR="00811EE5" w:rsidRPr="00D96007">
        <w:rPr>
          <w:rFonts w:asciiTheme="minorHAnsi" w:hAnsiTheme="minorHAnsi" w:cstheme="minorHAnsi"/>
          <w:sz w:val="22"/>
        </w:rPr>
        <w:t xml:space="preserve"> learnings from </w:t>
      </w:r>
      <w:r w:rsidR="00522281" w:rsidRPr="00D96007">
        <w:rPr>
          <w:rFonts w:asciiTheme="minorHAnsi" w:hAnsiTheme="minorHAnsi" w:cstheme="minorHAnsi"/>
          <w:sz w:val="22"/>
        </w:rPr>
        <w:t>implementation and scale up of n</w:t>
      </w:r>
      <w:r w:rsidR="00A31E5D" w:rsidRPr="00D96007">
        <w:rPr>
          <w:rFonts w:asciiTheme="minorHAnsi" w:hAnsiTheme="minorHAnsi" w:cstheme="minorHAnsi"/>
          <w:sz w:val="22"/>
        </w:rPr>
        <w:t xml:space="preserve">ew programme activities is </w:t>
      </w:r>
      <w:r w:rsidR="00D96007" w:rsidRPr="00D96007">
        <w:rPr>
          <w:rFonts w:asciiTheme="minorHAnsi" w:hAnsiTheme="minorHAnsi" w:cstheme="minorHAnsi"/>
          <w:sz w:val="22"/>
        </w:rPr>
        <w:t>ongoing</w:t>
      </w:r>
      <w:r w:rsidR="00752D5F" w:rsidRPr="00D96007">
        <w:rPr>
          <w:rFonts w:asciiTheme="minorHAnsi" w:hAnsiTheme="minorHAnsi" w:cstheme="minorHAnsi"/>
          <w:sz w:val="22"/>
        </w:rPr>
        <w:t xml:space="preserve">. </w:t>
      </w:r>
      <w:r w:rsidR="004444BF" w:rsidRPr="00D96007">
        <w:rPr>
          <w:rFonts w:asciiTheme="minorHAnsi" w:hAnsiTheme="minorHAnsi" w:cstheme="minorHAnsi"/>
          <w:sz w:val="22"/>
        </w:rPr>
        <w:t xml:space="preserve">The joint monitoring mission in 2019 has also provided insights into the current </w:t>
      </w:r>
      <w:r w:rsidR="002B66BD" w:rsidRPr="00D96007">
        <w:rPr>
          <w:rFonts w:asciiTheme="minorHAnsi" w:hAnsiTheme="minorHAnsi" w:cstheme="minorHAnsi"/>
          <w:sz w:val="22"/>
        </w:rPr>
        <w:t>status of programme</w:t>
      </w:r>
      <w:r w:rsidR="002B66BD" w:rsidRPr="007F69F7">
        <w:rPr>
          <w:rFonts w:asciiTheme="minorHAnsi" w:hAnsiTheme="minorHAnsi" w:cstheme="minorHAnsi"/>
          <w:sz w:val="22"/>
        </w:rPr>
        <w:t xml:space="preserve"> performance</w:t>
      </w:r>
      <w:r w:rsidR="004444BF" w:rsidRPr="007F69F7">
        <w:rPr>
          <w:rFonts w:asciiTheme="minorHAnsi" w:hAnsiTheme="minorHAnsi" w:cstheme="minorHAnsi"/>
          <w:sz w:val="22"/>
        </w:rPr>
        <w:t xml:space="preserve"> and recommends </w:t>
      </w:r>
      <w:r w:rsidR="002B66BD" w:rsidRPr="007F69F7">
        <w:rPr>
          <w:rFonts w:asciiTheme="minorHAnsi" w:hAnsiTheme="minorHAnsi" w:cstheme="minorHAnsi"/>
          <w:sz w:val="22"/>
        </w:rPr>
        <w:t xml:space="preserve">further course of action </w:t>
      </w:r>
      <w:r w:rsidR="007544AA" w:rsidRPr="007F69F7">
        <w:rPr>
          <w:rFonts w:asciiTheme="minorHAnsi" w:hAnsiTheme="minorHAnsi" w:cstheme="minorHAnsi"/>
          <w:sz w:val="22"/>
        </w:rPr>
        <w:t xml:space="preserve">towards ending TB in the </w:t>
      </w:r>
      <w:r w:rsidR="00E4041C" w:rsidRPr="007F69F7">
        <w:rPr>
          <w:rFonts w:asciiTheme="minorHAnsi" w:hAnsiTheme="minorHAnsi" w:cstheme="minorHAnsi"/>
          <w:sz w:val="22"/>
        </w:rPr>
        <w:t>country</w:t>
      </w:r>
      <w:r w:rsidR="002B66BD" w:rsidRPr="007F69F7">
        <w:rPr>
          <w:rFonts w:asciiTheme="minorHAnsi" w:hAnsiTheme="minorHAnsi" w:cstheme="minorHAnsi"/>
          <w:sz w:val="22"/>
        </w:rPr>
        <w:t xml:space="preserve">. </w:t>
      </w:r>
      <w:r w:rsidR="0038235F" w:rsidRPr="0038235F">
        <w:rPr>
          <w:rFonts w:asciiTheme="minorHAnsi" w:hAnsiTheme="minorHAnsi" w:cstheme="minorHAnsi"/>
          <w:sz w:val="22"/>
        </w:rPr>
        <w:t>While the strategic direction of the NSP 2017</w:t>
      </w:r>
      <w:r w:rsidR="002F2E41">
        <w:rPr>
          <w:rFonts w:asciiTheme="minorHAnsi" w:hAnsiTheme="minorHAnsi" w:cstheme="minorHAnsi"/>
          <w:sz w:val="22"/>
        </w:rPr>
        <w:t>-</w:t>
      </w:r>
      <w:r w:rsidR="0038235F" w:rsidRPr="0038235F">
        <w:rPr>
          <w:rFonts w:asciiTheme="minorHAnsi" w:hAnsiTheme="minorHAnsi" w:cstheme="minorHAnsi"/>
          <w:sz w:val="22"/>
        </w:rPr>
        <w:t>2025</w:t>
      </w:r>
      <w:r w:rsidR="00E42DF0">
        <w:rPr>
          <w:rFonts w:asciiTheme="minorHAnsi" w:hAnsiTheme="minorHAnsi" w:cstheme="minorHAnsi"/>
          <w:sz w:val="22"/>
        </w:rPr>
        <w:t xml:space="preserve"> </w:t>
      </w:r>
      <w:r w:rsidR="00E42DF0" w:rsidRPr="00E42DF0">
        <w:rPr>
          <w:rFonts w:asciiTheme="minorHAnsi" w:hAnsiTheme="minorHAnsi" w:cstheme="minorHAnsi"/>
          <w:sz w:val="22"/>
        </w:rPr>
        <w:t>remains</w:t>
      </w:r>
      <w:r w:rsidR="00E42DF0">
        <w:rPr>
          <w:rFonts w:asciiTheme="minorHAnsi" w:hAnsiTheme="minorHAnsi" w:cstheme="minorHAnsi"/>
          <w:sz w:val="22"/>
        </w:rPr>
        <w:t xml:space="preserve"> valid</w:t>
      </w:r>
      <w:r w:rsidR="0038235F" w:rsidRPr="0038235F">
        <w:rPr>
          <w:rFonts w:asciiTheme="minorHAnsi" w:hAnsiTheme="minorHAnsi" w:cstheme="minorHAnsi"/>
          <w:sz w:val="22"/>
        </w:rPr>
        <w:t>,</w:t>
      </w:r>
      <w:r w:rsidR="00E42DF0">
        <w:rPr>
          <w:rFonts w:asciiTheme="minorHAnsi" w:hAnsiTheme="minorHAnsi" w:cstheme="minorHAnsi"/>
          <w:sz w:val="22"/>
        </w:rPr>
        <w:t xml:space="preserve"> </w:t>
      </w:r>
      <w:r w:rsidR="00E42DF0" w:rsidRPr="00E42DF0">
        <w:rPr>
          <w:rFonts w:asciiTheme="minorHAnsi" w:hAnsiTheme="minorHAnsi" w:cstheme="minorHAnsi"/>
          <w:sz w:val="22"/>
        </w:rPr>
        <w:t>there are issues that have gained critical importance and none more than continued access to quality TB care during</w:t>
      </w:r>
      <w:r w:rsidR="00E42DF0">
        <w:rPr>
          <w:rFonts w:asciiTheme="minorHAnsi" w:hAnsiTheme="minorHAnsi" w:cstheme="minorHAnsi"/>
          <w:sz w:val="22"/>
        </w:rPr>
        <w:t xml:space="preserve"> </w:t>
      </w:r>
      <w:r w:rsidR="00E42DF0" w:rsidRPr="00E42DF0">
        <w:rPr>
          <w:rFonts w:asciiTheme="minorHAnsi" w:hAnsiTheme="minorHAnsi" w:cstheme="minorHAnsi"/>
          <w:sz w:val="22"/>
        </w:rPr>
        <w:t>complex emergencies like the COVID-19 pandemic. In addition, the unfinished agenda of addressing the ‘missing cases’, scale up of TB care services in the private sector, providing social support to TB patients, TB preventive services, and addressing the social determinants of TB through a multisectoral approach continue to challenge the NTEP and remain the focus of this NSP and NTEP over the next five years</w:t>
      </w:r>
      <w:r w:rsidR="00CE2C02" w:rsidRPr="007F69F7">
        <w:rPr>
          <w:rFonts w:asciiTheme="minorHAnsi" w:hAnsiTheme="minorHAnsi" w:cstheme="minorHAnsi"/>
          <w:sz w:val="22"/>
        </w:rPr>
        <w:t>.</w:t>
      </w:r>
      <w:r w:rsidR="00E4041C" w:rsidRPr="007F69F7">
        <w:rPr>
          <w:rFonts w:asciiTheme="minorHAnsi" w:hAnsiTheme="minorHAnsi" w:cstheme="minorHAnsi"/>
          <w:sz w:val="22"/>
        </w:rPr>
        <w:t xml:space="preserve">  </w:t>
      </w:r>
      <w:r w:rsidR="007544AA" w:rsidRPr="007F69F7">
        <w:rPr>
          <w:rFonts w:asciiTheme="minorHAnsi" w:hAnsiTheme="minorHAnsi" w:cstheme="minorHAnsi"/>
          <w:sz w:val="22"/>
        </w:rPr>
        <w:t xml:space="preserve"> </w:t>
      </w:r>
    </w:p>
    <w:p w14:paraId="2E806EF9" w14:textId="03AF89B1" w:rsidR="00742C32" w:rsidRPr="00EC3830" w:rsidRDefault="00A531BE" w:rsidP="00EC3830">
      <w:pPr>
        <w:jc w:val="both"/>
        <w:rPr>
          <w:rFonts w:asciiTheme="minorHAnsi" w:hAnsiTheme="minorHAnsi" w:cstheme="minorHAnsi"/>
          <w:b/>
          <w:color w:val="C86A07" w:themeColor="accent2" w:themeShade="BF"/>
          <w:sz w:val="28"/>
        </w:rPr>
      </w:pPr>
      <w:r>
        <w:rPr>
          <w:rFonts w:asciiTheme="minorHAnsi" w:hAnsiTheme="minorHAnsi" w:cstheme="minorHAnsi"/>
          <w:b/>
          <w:color w:val="C86A07" w:themeColor="accent2" w:themeShade="BF"/>
          <w:sz w:val="28"/>
        </w:rPr>
        <w:t>Context</w:t>
      </w:r>
    </w:p>
    <w:p w14:paraId="207A2E8D" w14:textId="627DF310" w:rsidR="00AB78FA" w:rsidRDefault="00AB78FA" w:rsidP="00C129C4">
      <w:pPr>
        <w:jc w:val="both"/>
        <w:rPr>
          <w:rFonts w:asciiTheme="minorHAnsi" w:hAnsiTheme="minorHAnsi" w:cstheme="minorHAnsi"/>
          <w:sz w:val="22"/>
        </w:rPr>
      </w:pPr>
      <w:r w:rsidRPr="00AB78FA">
        <w:rPr>
          <w:rFonts w:asciiTheme="minorHAnsi" w:hAnsiTheme="minorHAnsi" w:cstheme="minorHAnsi"/>
          <w:sz w:val="22"/>
        </w:rPr>
        <w:t xml:space="preserve">After decades of successful program implementation, India has accomplished numerous impressive achievements in tuberculosis prevention, care </w:t>
      </w:r>
      <w:r w:rsidRPr="00B154BC">
        <w:rPr>
          <w:rFonts w:asciiTheme="minorHAnsi" w:hAnsiTheme="minorHAnsi" w:cstheme="minorHAnsi"/>
          <w:sz w:val="22"/>
        </w:rPr>
        <w:t>and control. The NTEP has screened more than 80 million people for tuberculosis, successfully treated 15 million patients and saved millions of lives</w:t>
      </w:r>
      <w:r w:rsidRPr="00B154BC">
        <w:rPr>
          <w:rStyle w:val="FootnoteReference"/>
          <w:rFonts w:cstheme="minorHAnsi"/>
        </w:rPr>
        <w:footnoteReference w:id="1"/>
      </w:r>
      <w:r w:rsidRPr="00B154BC">
        <w:rPr>
          <w:rFonts w:asciiTheme="minorHAnsi" w:hAnsiTheme="minorHAnsi" w:cstheme="minorHAnsi"/>
          <w:sz w:val="22"/>
        </w:rPr>
        <w:t xml:space="preserve">. However, India continues to contribute the largest number of TB patients, and TB-related deaths in </w:t>
      </w:r>
      <w:r w:rsidRPr="00AB78FA">
        <w:rPr>
          <w:rFonts w:asciiTheme="minorHAnsi" w:hAnsiTheme="minorHAnsi" w:cstheme="minorHAnsi"/>
          <w:sz w:val="22"/>
        </w:rPr>
        <w:t>the world.</w:t>
      </w:r>
      <w:r>
        <w:rPr>
          <w:rStyle w:val="FootnoteReference"/>
          <w:rFonts w:cstheme="minorHAnsi"/>
        </w:rPr>
        <w:footnoteReference w:id="2"/>
      </w:r>
      <w:r w:rsidRPr="00AB78FA">
        <w:rPr>
          <w:rFonts w:asciiTheme="minorHAnsi" w:hAnsiTheme="minorHAnsi" w:cstheme="minorHAnsi"/>
          <w:sz w:val="22"/>
        </w:rPr>
        <w:t xml:space="preserve"> The epidemiology of tuberculosis in India is very heterogeneous, both from an epidemiological perspective and in ter</w:t>
      </w:r>
      <w:r>
        <w:rPr>
          <w:rFonts w:asciiTheme="minorHAnsi" w:hAnsiTheme="minorHAnsi" w:cstheme="minorHAnsi"/>
          <w:sz w:val="22"/>
        </w:rPr>
        <w:t>ms of programmatic performance.</w:t>
      </w:r>
      <w:r>
        <w:rPr>
          <w:rStyle w:val="FootnoteReference"/>
          <w:rFonts w:cstheme="minorHAnsi"/>
        </w:rPr>
        <w:footnoteReference w:id="3"/>
      </w:r>
      <w:r w:rsidRPr="00AB78FA">
        <w:rPr>
          <w:rFonts w:asciiTheme="minorHAnsi" w:hAnsiTheme="minorHAnsi" w:cstheme="minorHAnsi"/>
          <w:sz w:val="22"/>
        </w:rPr>
        <w:t xml:space="preserve"> Results from subnational TB prevalence surveys, annual rate of tuberculosis infection surveys (ARTI) and analysis of routinely collected programme surveillance data reveal substantial local variation in prevalence, rates of HIV coinfection, drug-resistant forms of TB, and utilization of TB services in the private sector.</w:t>
      </w:r>
    </w:p>
    <w:p w14:paraId="6E30C818" w14:textId="69D24D30" w:rsidR="0038235F" w:rsidRPr="0038235F" w:rsidRDefault="0038235F" w:rsidP="0038235F">
      <w:pPr>
        <w:jc w:val="both"/>
        <w:rPr>
          <w:rFonts w:asciiTheme="minorHAnsi" w:hAnsiTheme="minorHAnsi" w:cstheme="minorHAnsi"/>
          <w:sz w:val="22"/>
        </w:rPr>
      </w:pPr>
      <w:r w:rsidRPr="0038235F">
        <w:rPr>
          <w:rFonts w:asciiTheme="minorHAnsi" w:hAnsiTheme="minorHAnsi" w:cstheme="minorHAnsi"/>
          <w:sz w:val="22"/>
        </w:rPr>
        <w:t xml:space="preserve">Over the past three years (2017-19) impressive gains have been made by the NTEP which include an additional 1,200,000 people with TB disease detected and notified through the Nikshay national digital information system. </w:t>
      </w:r>
      <w:r w:rsidR="00310650">
        <w:rPr>
          <w:rFonts w:asciiTheme="minorHAnsi" w:hAnsiTheme="minorHAnsi" w:cstheme="minorHAnsi"/>
          <w:sz w:val="22"/>
        </w:rPr>
        <w:t>The programme</w:t>
      </w:r>
      <w:r w:rsidRPr="0038235F">
        <w:rPr>
          <w:rFonts w:asciiTheme="minorHAnsi" w:hAnsiTheme="minorHAnsi" w:cstheme="minorHAnsi"/>
          <w:sz w:val="22"/>
        </w:rPr>
        <w:t xml:space="preserve"> has leveraged near-universal mobile network access and India’s digital payments infrastructure to deploy social support via accountable electronic direct benefits transfer (DBT), which is being expanded for all TB patients.  The NTEP now effectively engage private providers, who account for most healthcare delivery services, and is scaling up these approaches, remarkably reaching 1.6 million in the private sector over the three years.  In addition, NTEP is making progress towards offering universal drug susceptibility testing for people diagnosed with TB, employing 1530 rapid molecular diagnostic devices (NAAT), testing 1 million people with TB, </w:t>
      </w:r>
      <w:r w:rsidRPr="0038235F">
        <w:rPr>
          <w:rFonts w:asciiTheme="minorHAnsi" w:hAnsiTheme="minorHAnsi" w:cstheme="minorHAnsi"/>
          <w:sz w:val="22"/>
        </w:rPr>
        <w:lastRenderedPageBreak/>
        <w:t>and ultimately detecting and treating 66,255 patients with drug resistant forms of TB in 2019. Enabling these expansions reflects a new commitment to patient-centered services and care, emphasizing community engagement and in some settings mobilizing the general health system in the national effort towards ending TB.</w:t>
      </w:r>
    </w:p>
    <w:p w14:paraId="607924F9" w14:textId="40FC0026" w:rsidR="0038235F" w:rsidRPr="0038235F" w:rsidRDefault="0038235F" w:rsidP="00076DD5">
      <w:pPr>
        <w:jc w:val="both"/>
        <w:rPr>
          <w:rFonts w:asciiTheme="minorHAnsi" w:hAnsiTheme="minorHAnsi" w:cstheme="minorHAnsi"/>
          <w:sz w:val="22"/>
        </w:rPr>
      </w:pPr>
      <w:r w:rsidRPr="0038235F">
        <w:rPr>
          <w:rFonts w:asciiTheme="minorHAnsi" w:hAnsiTheme="minorHAnsi" w:cstheme="minorHAnsi"/>
          <w:sz w:val="22"/>
        </w:rPr>
        <w:t xml:space="preserve">Despite these accomplishments, the challenges ahead remain daunting and </w:t>
      </w:r>
      <w:r w:rsidR="007A6DC9">
        <w:rPr>
          <w:rFonts w:asciiTheme="minorHAnsi" w:hAnsiTheme="minorHAnsi" w:cstheme="minorHAnsi"/>
          <w:sz w:val="22"/>
        </w:rPr>
        <w:t>require concrete actions</w:t>
      </w:r>
      <w:r w:rsidRPr="0038235F">
        <w:rPr>
          <w:rFonts w:asciiTheme="minorHAnsi" w:hAnsiTheme="minorHAnsi" w:cstheme="minorHAnsi"/>
          <w:sz w:val="22"/>
        </w:rPr>
        <w:t xml:space="preserve"> to achieve the national goals unless concrete and deliberate actions are promptly undertaken. India has more than 27% of the world’s burden of TB</w:t>
      </w:r>
      <w:r w:rsidRPr="00076DD5">
        <w:rPr>
          <w:rFonts w:asciiTheme="minorHAnsi" w:hAnsiTheme="minorHAnsi" w:cstheme="minorHAnsi"/>
          <w:sz w:val="22"/>
        </w:rPr>
        <w:t xml:space="preserve">. </w:t>
      </w:r>
      <w:r w:rsidR="00076DD5">
        <w:rPr>
          <w:rFonts w:asciiTheme="minorHAnsi" w:hAnsiTheme="minorHAnsi" w:cstheme="minorHAnsi"/>
          <w:sz w:val="22"/>
        </w:rPr>
        <w:t xml:space="preserve">In addition it has significant impact on the national economy. </w:t>
      </w:r>
      <w:r w:rsidR="00076DD5" w:rsidRPr="00076DD5">
        <w:rPr>
          <w:rFonts w:asciiTheme="minorHAnsi" w:hAnsiTheme="minorHAnsi" w:cstheme="minorHAnsi"/>
          <w:sz w:val="22"/>
        </w:rPr>
        <w:t>In 2016, TB caused India to lose an estimated 23.7 billion USD (around 1% of India’s GDP in 2016), and patients often deal with catastrophic out-of-pocket expenditures</w:t>
      </w:r>
      <w:r w:rsidR="00076DD5" w:rsidRPr="00076DD5">
        <w:rPr>
          <w:rStyle w:val="FootnoteReference"/>
          <w:rFonts w:cstheme="minorHAnsi"/>
        </w:rPr>
        <w:footnoteReference w:id="4"/>
      </w:r>
      <w:r w:rsidR="00076DD5" w:rsidRPr="00076DD5">
        <w:rPr>
          <w:rFonts w:asciiTheme="minorHAnsi" w:hAnsiTheme="minorHAnsi" w:cstheme="minorHAnsi"/>
          <w:sz w:val="22"/>
        </w:rPr>
        <w:t>.</w:t>
      </w:r>
      <w:r w:rsidRPr="00076DD5">
        <w:rPr>
          <w:rFonts w:asciiTheme="minorHAnsi" w:hAnsiTheme="minorHAnsi" w:cstheme="minorHAnsi"/>
          <w:sz w:val="22"/>
        </w:rPr>
        <w:t xml:space="preserve"> Patients are ofte</w:t>
      </w:r>
      <w:r w:rsidRPr="0038235F">
        <w:rPr>
          <w:rFonts w:asciiTheme="minorHAnsi" w:hAnsiTheme="minorHAnsi" w:cstheme="minorHAnsi"/>
          <w:sz w:val="22"/>
        </w:rPr>
        <w:t xml:space="preserve">n deterred from seeking treatment by social stigma and poor access to quality services in the public sector. Most patients opt for treatment from formal or informal providers in the private health system. But because this sector is largely unregulated and data gathering is poor, tracking patients throughout their course of treatment is difficult. </w:t>
      </w:r>
      <w:r w:rsidRPr="007C55E6">
        <w:rPr>
          <w:rFonts w:asciiTheme="minorHAnsi" w:hAnsiTheme="minorHAnsi" w:cstheme="minorHAnsi"/>
          <w:sz w:val="22"/>
        </w:rPr>
        <w:t xml:space="preserve">Close to </w:t>
      </w:r>
      <w:r w:rsidR="007C55E6" w:rsidRPr="007C55E6">
        <w:rPr>
          <w:rFonts w:asciiTheme="minorHAnsi" w:hAnsiTheme="minorHAnsi" w:cstheme="minorHAnsi"/>
          <w:sz w:val="22"/>
        </w:rPr>
        <w:t>30</w:t>
      </w:r>
      <w:r w:rsidRPr="007C55E6">
        <w:rPr>
          <w:rFonts w:asciiTheme="minorHAnsi" w:hAnsiTheme="minorHAnsi" w:cstheme="minorHAnsi"/>
          <w:sz w:val="22"/>
        </w:rPr>
        <w:t xml:space="preserve">0,000 TB affected persons remain </w:t>
      </w:r>
      <w:r w:rsidR="007A6DC9" w:rsidRPr="007C55E6">
        <w:rPr>
          <w:rFonts w:asciiTheme="minorHAnsi" w:hAnsiTheme="minorHAnsi" w:cstheme="minorHAnsi"/>
          <w:sz w:val="22"/>
        </w:rPr>
        <w:t>missing from</w:t>
      </w:r>
      <w:r w:rsidRPr="007C55E6">
        <w:rPr>
          <w:rFonts w:asciiTheme="minorHAnsi" w:hAnsiTheme="minorHAnsi" w:cstheme="minorHAnsi"/>
          <w:sz w:val="22"/>
        </w:rPr>
        <w:t xml:space="preserve"> TB surveillance/notification and services, and are likely in private health delivery systems or the community.</w:t>
      </w:r>
      <w:r w:rsidR="007C55E6">
        <w:rPr>
          <w:rStyle w:val="FootnoteReference"/>
          <w:rFonts w:cstheme="minorHAnsi"/>
        </w:rPr>
        <w:footnoteReference w:id="5"/>
      </w:r>
      <w:r w:rsidRPr="007C55E6">
        <w:rPr>
          <w:rFonts w:asciiTheme="minorHAnsi" w:hAnsiTheme="minorHAnsi" w:cstheme="minorHAnsi"/>
          <w:sz w:val="22"/>
        </w:rPr>
        <w:t xml:space="preserve"> </w:t>
      </w:r>
      <w:r w:rsidRPr="0038235F">
        <w:rPr>
          <w:rFonts w:asciiTheme="minorHAnsi" w:hAnsiTheme="minorHAnsi" w:cstheme="minorHAnsi"/>
          <w:sz w:val="22"/>
        </w:rPr>
        <w:t xml:space="preserve"> </w:t>
      </w:r>
      <w:r w:rsidR="00310650">
        <w:rPr>
          <w:rFonts w:asciiTheme="minorHAnsi" w:hAnsiTheme="minorHAnsi" w:cstheme="minorHAnsi"/>
          <w:sz w:val="22"/>
        </w:rPr>
        <w:t>T</w:t>
      </w:r>
      <w:r w:rsidRPr="0038235F">
        <w:rPr>
          <w:rFonts w:asciiTheme="minorHAnsi" w:hAnsiTheme="minorHAnsi" w:cstheme="minorHAnsi"/>
          <w:sz w:val="22"/>
        </w:rPr>
        <w:t>he majority of patients reported by private providers could not be confirmed to have completed treatment. Many are not screened or treated for key comorbidities such as HIV, diabetes, or malnutrition – all critical measures to maximize successful treatment outcomes and survival.</w:t>
      </w:r>
    </w:p>
    <w:p w14:paraId="22806249" w14:textId="53A66564" w:rsidR="00742C32" w:rsidRPr="00DF56E2" w:rsidRDefault="0038235F" w:rsidP="0038235F">
      <w:pPr>
        <w:jc w:val="both"/>
        <w:rPr>
          <w:rFonts w:asciiTheme="minorHAnsi" w:hAnsiTheme="minorHAnsi" w:cstheme="minorHAnsi"/>
          <w:sz w:val="22"/>
        </w:rPr>
      </w:pPr>
      <w:r w:rsidRPr="0038235F">
        <w:rPr>
          <w:rFonts w:asciiTheme="minorHAnsi" w:hAnsiTheme="minorHAnsi" w:cstheme="minorHAnsi"/>
          <w:sz w:val="22"/>
        </w:rPr>
        <w:t xml:space="preserve">The strengths of India’s general health system </w:t>
      </w:r>
      <w:r w:rsidR="00076DD5">
        <w:rPr>
          <w:rFonts w:asciiTheme="minorHAnsi" w:hAnsiTheme="minorHAnsi" w:cstheme="minorHAnsi"/>
          <w:sz w:val="22"/>
        </w:rPr>
        <w:t>is yet to be leveraged to its full potential</w:t>
      </w:r>
      <w:r w:rsidRPr="0038235F">
        <w:rPr>
          <w:rFonts w:asciiTheme="minorHAnsi" w:hAnsiTheme="minorHAnsi" w:cstheme="minorHAnsi"/>
          <w:sz w:val="22"/>
        </w:rPr>
        <w:t xml:space="preserve"> for the national campaign against TB, particularly in settings with the highest burden of disease.  Tools available to NTEP, such as advanced molecular diagnostics, enhanced patient and adherence support systems, or newer drug regimens, still remain incompletely implemented.</w:t>
      </w:r>
    </w:p>
    <w:p w14:paraId="640C0391" w14:textId="706263F6" w:rsidR="004F210A" w:rsidRPr="00EC3830" w:rsidRDefault="00EF71DF" w:rsidP="00EC3830">
      <w:pPr>
        <w:jc w:val="both"/>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Achieving the SDG for 2030 by 2025</w:t>
      </w:r>
    </w:p>
    <w:p w14:paraId="049DB29A" w14:textId="0B509BCE" w:rsidR="00AA46AF" w:rsidRDefault="00AA46AF" w:rsidP="00C129C4">
      <w:pPr>
        <w:jc w:val="both"/>
        <w:rPr>
          <w:rFonts w:asciiTheme="minorHAnsi" w:hAnsiTheme="minorHAnsi" w:cstheme="minorHAnsi"/>
          <w:sz w:val="22"/>
        </w:rPr>
      </w:pPr>
      <w:r>
        <w:rPr>
          <w:rFonts w:asciiTheme="minorHAnsi" w:hAnsiTheme="minorHAnsi" w:cstheme="minorHAnsi"/>
          <w:sz w:val="22"/>
        </w:rPr>
        <w:t xml:space="preserve">The </w:t>
      </w:r>
      <w:r w:rsidR="005A6643">
        <w:rPr>
          <w:rFonts w:asciiTheme="minorHAnsi" w:hAnsiTheme="minorHAnsi" w:cstheme="minorHAnsi"/>
          <w:sz w:val="22"/>
        </w:rPr>
        <w:t>actions</w:t>
      </w:r>
      <w:r>
        <w:rPr>
          <w:rFonts w:asciiTheme="minorHAnsi" w:hAnsiTheme="minorHAnsi" w:cstheme="minorHAnsi"/>
          <w:sz w:val="22"/>
        </w:rPr>
        <w:t xml:space="preserve"> over the next five years will contribute to the attainment of Sustainable Development Goal 3. The relationship between health and wealth is well-established, with better health resulting in enhanced cognitive development and increased human capital.</w:t>
      </w:r>
      <w:r w:rsidR="005A6643">
        <w:rPr>
          <w:rFonts w:asciiTheme="minorHAnsi" w:hAnsiTheme="minorHAnsi" w:cstheme="minorHAnsi"/>
          <w:sz w:val="22"/>
        </w:rPr>
        <w:t xml:space="preserve"> Besides affecting health TB leads to income loss and forces people deeper into poverty. The NTEP will continue to contribute to the government’s efforts to achieve UHC, an acknowledged mechanism to catalyze</w:t>
      </w:r>
      <w:r w:rsidR="000B728F">
        <w:rPr>
          <w:rFonts w:asciiTheme="minorHAnsi" w:hAnsiTheme="minorHAnsi" w:cstheme="minorHAnsi"/>
          <w:sz w:val="22"/>
        </w:rPr>
        <w:t xml:space="preserve"> realize </w:t>
      </w:r>
      <w:r w:rsidR="005A6643">
        <w:rPr>
          <w:rFonts w:asciiTheme="minorHAnsi" w:hAnsiTheme="minorHAnsi" w:cstheme="minorHAnsi"/>
          <w:sz w:val="22"/>
        </w:rPr>
        <w:t xml:space="preserve">SDG, by effective national coverage of TB through the proposed strategic areas and interventions (Table 1).    </w:t>
      </w:r>
      <w:r>
        <w:rPr>
          <w:rFonts w:asciiTheme="minorHAnsi" w:hAnsiTheme="minorHAnsi" w:cstheme="minorHAnsi"/>
          <w:sz w:val="22"/>
        </w:rPr>
        <w:t xml:space="preserve">  </w:t>
      </w:r>
    </w:p>
    <w:p w14:paraId="60CACC28" w14:textId="4F133C7B" w:rsidR="00EC0FF2" w:rsidRDefault="00EC0FF2" w:rsidP="00C129C4">
      <w:pPr>
        <w:jc w:val="both"/>
        <w:rPr>
          <w:rFonts w:asciiTheme="minorHAnsi" w:hAnsiTheme="minorHAnsi" w:cstheme="minorHAnsi"/>
          <w:sz w:val="22"/>
        </w:rPr>
      </w:pPr>
      <w:r w:rsidRPr="00EC0FF2">
        <w:rPr>
          <w:rFonts w:asciiTheme="minorHAnsi" w:hAnsiTheme="minorHAnsi" w:cstheme="minorHAnsi"/>
          <w:sz w:val="22"/>
        </w:rPr>
        <w:t>The requirements for moving towards ending TB and ultimately TB eliminatio</w:t>
      </w:r>
      <w:r>
        <w:rPr>
          <w:rFonts w:asciiTheme="minorHAnsi" w:hAnsiTheme="minorHAnsi" w:cstheme="minorHAnsi"/>
          <w:sz w:val="22"/>
        </w:rPr>
        <w:t xml:space="preserve">n have been integrated into four </w:t>
      </w:r>
      <w:r w:rsidRPr="00EC0FF2">
        <w:rPr>
          <w:rFonts w:asciiTheme="minorHAnsi" w:hAnsiTheme="minorHAnsi" w:cstheme="minorHAnsi"/>
          <w:sz w:val="22"/>
        </w:rPr>
        <w:t>strategic</w:t>
      </w:r>
      <w:r>
        <w:rPr>
          <w:rFonts w:asciiTheme="minorHAnsi" w:hAnsiTheme="minorHAnsi" w:cstheme="minorHAnsi"/>
          <w:sz w:val="22"/>
        </w:rPr>
        <w:t xml:space="preserve"> pillars that correspond with the four NSP objectives and are reconfigured from </w:t>
      </w:r>
      <w:r w:rsidR="00B35F6E">
        <w:rPr>
          <w:rFonts w:asciiTheme="minorHAnsi" w:hAnsiTheme="minorHAnsi" w:cstheme="minorHAnsi"/>
          <w:sz w:val="22"/>
        </w:rPr>
        <w:t>the previous NSP framework. The</w:t>
      </w:r>
      <w:r>
        <w:rPr>
          <w:rFonts w:asciiTheme="minorHAnsi" w:hAnsiTheme="minorHAnsi" w:cstheme="minorHAnsi"/>
          <w:sz w:val="22"/>
        </w:rPr>
        <w:t xml:space="preserve"> NSP</w:t>
      </w:r>
      <w:r w:rsidR="00B35F6E">
        <w:rPr>
          <w:rFonts w:asciiTheme="minorHAnsi" w:hAnsiTheme="minorHAnsi" w:cstheme="minorHAnsi"/>
          <w:sz w:val="22"/>
        </w:rPr>
        <w:t xml:space="preserve"> </w:t>
      </w:r>
      <w:r w:rsidR="00E20F7B">
        <w:rPr>
          <w:rFonts w:asciiTheme="minorHAnsi" w:hAnsiTheme="minorHAnsi" w:cstheme="minorHAnsi"/>
          <w:sz w:val="22"/>
        </w:rPr>
        <w:t>2020-25 reasserts</w:t>
      </w:r>
      <w:r>
        <w:rPr>
          <w:rFonts w:asciiTheme="minorHAnsi" w:hAnsiTheme="minorHAnsi" w:cstheme="minorHAnsi"/>
          <w:sz w:val="22"/>
        </w:rPr>
        <w:t xml:space="preserve"> the </w:t>
      </w:r>
      <w:r w:rsidRPr="00EC0FF2">
        <w:rPr>
          <w:rFonts w:asciiTheme="minorHAnsi" w:hAnsiTheme="minorHAnsi" w:cstheme="minorHAnsi"/>
          <w:sz w:val="22"/>
        </w:rPr>
        <w:t xml:space="preserve">thrust </w:t>
      </w:r>
      <w:r>
        <w:rPr>
          <w:rFonts w:asciiTheme="minorHAnsi" w:hAnsiTheme="minorHAnsi" w:cstheme="minorHAnsi"/>
          <w:sz w:val="22"/>
        </w:rPr>
        <w:t>o</w:t>
      </w:r>
      <w:r w:rsidRPr="00EC0FF2">
        <w:rPr>
          <w:rFonts w:asciiTheme="minorHAnsi" w:hAnsiTheme="minorHAnsi" w:cstheme="minorHAnsi"/>
          <w:sz w:val="22"/>
        </w:rPr>
        <w:t xml:space="preserve">n early diagnosis of all TB patients, reducing transmission and treating those best at first interface with right drugs and regimens along with suitable patient support systems. This is supplemented by prevention strategies including </w:t>
      </w:r>
      <w:r w:rsidR="006D4764">
        <w:rPr>
          <w:rFonts w:asciiTheme="minorHAnsi" w:hAnsiTheme="minorHAnsi" w:cstheme="minorHAnsi"/>
          <w:sz w:val="22"/>
        </w:rPr>
        <w:t xml:space="preserve">programmatic </w:t>
      </w:r>
      <w:r w:rsidR="00343348">
        <w:rPr>
          <w:rFonts w:ascii="Calibri" w:hAnsi="Calibri" w:cs="Calibri"/>
          <w:sz w:val="22"/>
        </w:rPr>
        <w:t>scale-up of TB preventive treatment</w:t>
      </w:r>
      <w:r w:rsidRPr="00EC0FF2">
        <w:rPr>
          <w:rFonts w:asciiTheme="minorHAnsi" w:hAnsiTheme="minorHAnsi" w:cstheme="minorHAnsi"/>
          <w:sz w:val="22"/>
        </w:rPr>
        <w:t xml:space="preserve"> for risk </w:t>
      </w:r>
      <w:r w:rsidR="00343348">
        <w:rPr>
          <w:rFonts w:ascii="Calibri" w:hAnsi="Calibri" w:cs="Calibri"/>
          <w:sz w:val="22"/>
        </w:rPr>
        <w:t>populations nationwide</w:t>
      </w:r>
      <w:r w:rsidRPr="00EC0FF2">
        <w:rPr>
          <w:rFonts w:asciiTheme="minorHAnsi" w:hAnsiTheme="minorHAnsi" w:cstheme="minorHAnsi"/>
          <w:sz w:val="22"/>
        </w:rPr>
        <w:t xml:space="preserve"> and airborne infection control</w:t>
      </w:r>
      <w:r w:rsidR="00343348">
        <w:rPr>
          <w:rFonts w:asciiTheme="minorHAnsi" w:hAnsiTheme="minorHAnsi" w:cstheme="minorHAnsi"/>
          <w:sz w:val="22"/>
        </w:rPr>
        <w:t xml:space="preserve"> </w:t>
      </w:r>
      <w:r w:rsidR="00343348">
        <w:rPr>
          <w:rFonts w:ascii="Calibri" w:hAnsi="Calibri" w:cs="Calibri"/>
          <w:sz w:val="22"/>
        </w:rPr>
        <w:t>in health care facilities</w:t>
      </w:r>
      <w:r w:rsidRPr="00EC0FF2">
        <w:rPr>
          <w:rFonts w:asciiTheme="minorHAnsi" w:hAnsiTheme="minorHAnsi" w:cstheme="minorHAnsi"/>
          <w:sz w:val="22"/>
        </w:rPr>
        <w:t xml:space="preserve">. All these are supported by creating an enabling environment with adequate finances and resources, and a strong </w:t>
      </w:r>
      <w:r w:rsidR="00504D35">
        <w:rPr>
          <w:rFonts w:asciiTheme="minorHAnsi" w:hAnsiTheme="minorHAnsi" w:cstheme="minorHAnsi"/>
          <w:sz w:val="22"/>
        </w:rPr>
        <w:t xml:space="preserve">digital ecosystem based programme management and </w:t>
      </w:r>
      <w:r w:rsidR="00504D35" w:rsidRPr="00504D35">
        <w:rPr>
          <w:rFonts w:asciiTheme="minorHAnsi" w:hAnsiTheme="minorHAnsi" w:cstheme="minorHAnsi"/>
          <w:bCs/>
          <w:sz w:val="22"/>
        </w:rPr>
        <w:t>service delivery</w:t>
      </w:r>
      <w:r w:rsidRPr="00504D35">
        <w:rPr>
          <w:rFonts w:asciiTheme="minorHAnsi" w:hAnsiTheme="minorHAnsi" w:cstheme="minorHAnsi"/>
          <w:sz w:val="22"/>
        </w:rPr>
        <w:t>.</w:t>
      </w:r>
      <w:r w:rsidR="00B07503" w:rsidRPr="00504D35">
        <w:rPr>
          <w:rFonts w:asciiTheme="minorHAnsi" w:hAnsiTheme="minorHAnsi" w:cstheme="minorHAnsi"/>
          <w:sz w:val="22"/>
        </w:rPr>
        <w:t xml:space="preserve"> </w:t>
      </w:r>
      <w:r w:rsidR="00B35F6E">
        <w:rPr>
          <w:rFonts w:asciiTheme="minorHAnsi" w:hAnsiTheme="minorHAnsi" w:cstheme="minorHAnsi"/>
          <w:sz w:val="22"/>
        </w:rPr>
        <w:t>Ending TB will not be possible without addressing the s</w:t>
      </w:r>
      <w:r w:rsidR="00B35F6E" w:rsidRPr="00B35F6E">
        <w:rPr>
          <w:rFonts w:asciiTheme="minorHAnsi" w:hAnsiTheme="minorHAnsi" w:cstheme="minorHAnsi"/>
          <w:sz w:val="22"/>
        </w:rPr>
        <w:t xml:space="preserve">ocial determinants </w:t>
      </w:r>
      <w:r w:rsidR="00B35F6E">
        <w:rPr>
          <w:rFonts w:asciiTheme="minorHAnsi" w:hAnsiTheme="minorHAnsi" w:cstheme="minorHAnsi"/>
          <w:sz w:val="22"/>
        </w:rPr>
        <w:t xml:space="preserve">which </w:t>
      </w:r>
      <w:r w:rsidR="00B35F6E" w:rsidRPr="00B35F6E">
        <w:rPr>
          <w:rFonts w:asciiTheme="minorHAnsi" w:hAnsiTheme="minorHAnsi" w:cstheme="minorHAnsi"/>
          <w:sz w:val="22"/>
        </w:rPr>
        <w:t xml:space="preserve">are an important driver of </w:t>
      </w:r>
      <w:r w:rsidR="00B35F6E">
        <w:rPr>
          <w:rFonts w:asciiTheme="minorHAnsi" w:hAnsiTheme="minorHAnsi" w:cstheme="minorHAnsi"/>
          <w:sz w:val="22"/>
        </w:rPr>
        <w:t xml:space="preserve">the </w:t>
      </w:r>
      <w:r w:rsidR="00B35F6E" w:rsidRPr="00B35F6E">
        <w:rPr>
          <w:rFonts w:asciiTheme="minorHAnsi" w:hAnsiTheme="minorHAnsi" w:cstheme="minorHAnsi"/>
          <w:sz w:val="22"/>
        </w:rPr>
        <w:t>TB</w:t>
      </w:r>
      <w:r w:rsidR="00B35F6E">
        <w:rPr>
          <w:rFonts w:asciiTheme="minorHAnsi" w:hAnsiTheme="minorHAnsi" w:cstheme="minorHAnsi"/>
          <w:sz w:val="22"/>
        </w:rPr>
        <w:t xml:space="preserve"> epidemic in India. </w:t>
      </w:r>
      <w:r w:rsidR="007A6DC9">
        <w:rPr>
          <w:rFonts w:asciiTheme="minorHAnsi" w:hAnsiTheme="minorHAnsi" w:cstheme="minorHAnsi"/>
          <w:sz w:val="22"/>
        </w:rPr>
        <w:t>T</w:t>
      </w:r>
      <w:r w:rsidRPr="00EC0FF2">
        <w:rPr>
          <w:rFonts w:asciiTheme="minorHAnsi" w:hAnsiTheme="minorHAnsi" w:cstheme="minorHAnsi"/>
          <w:sz w:val="22"/>
        </w:rPr>
        <w:t>able</w:t>
      </w:r>
      <w:r w:rsidR="0036723B">
        <w:rPr>
          <w:rFonts w:asciiTheme="minorHAnsi" w:hAnsiTheme="minorHAnsi" w:cstheme="minorHAnsi"/>
          <w:sz w:val="22"/>
        </w:rPr>
        <w:t xml:space="preserve"> 1</w:t>
      </w:r>
      <w:r w:rsidRPr="00EC0FF2">
        <w:rPr>
          <w:rFonts w:asciiTheme="minorHAnsi" w:hAnsiTheme="minorHAnsi" w:cstheme="minorHAnsi"/>
          <w:sz w:val="22"/>
        </w:rPr>
        <w:t xml:space="preserve"> describes the renewed approach to END TB in the country.</w:t>
      </w:r>
      <w:r w:rsidR="00215A7D">
        <w:rPr>
          <w:rFonts w:asciiTheme="minorHAnsi" w:hAnsiTheme="minorHAnsi" w:cstheme="minorHAnsi"/>
          <w:sz w:val="22"/>
        </w:rPr>
        <w:t xml:space="preserve"> </w:t>
      </w:r>
    </w:p>
    <w:p w14:paraId="437503D0" w14:textId="6DFA6293" w:rsidR="00215A7D" w:rsidRPr="00D21A12" w:rsidRDefault="00215A7D" w:rsidP="0085017B">
      <w:pPr>
        <w:spacing w:after="0"/>
        <w:jc w:val="both"/>
        <w:rPr>
          <w:rFonts w:asciiTheme="minorHAnsi" w:hAnsiTheme="minorHAnsi" w:cstheme="minorHAnsi"/>
          <w:b/>
        </w:rPr>
      </w:pPr>
      <w:r w:rsidRPr="00D21A12">
        <w:rPr>
          <w:rFonts w:asciiTheme="minorHAnsi" w:hAnsiTheme="minorHAnsi" w:cstheme="minorHAnsi"/>
          <w:b/>
        </w:rPr>
        <w:t>Table 1: Strategic Framework to END TB in India</w:t>
      </w:r>
    </w:p>
    <w:tbl>
      <w:tblPr>
        <w:tblW w:w="9090" w:type="dxa"/>
        <w:tblInd w:w="-30" w:type="dxa"/>
        <w:tblBorders>
          <w:top w:val="single" w:sz="8" w:space="0" w:color="FFFFFF" w:themeColor="background1"/>
          <w:bottom w:val="single" w:sz="8" w:space="0" w:color="FFFFFF" w:themeColor="background1"/>
          <w:insideH w:val="single" w:sz="8" w:space="0" w:color="FFFFFF" w:themeColor="background1"/>
          <w:insideV w:val="single" w:sz="8" w:space="0" w:color="auto"/>
        </w:tblBorders>
        <w:tblLayout w:type="fixed"/>
        <w:tblCellMar>
          <w:top w:w="14" w:type="dxa"/>
          <w:left w:w="43" w:type="dxa"/>
          <w:right w:w="0" w:type="dxa"/>
        </w:tblCellMar>
        <w:tblLook w:val="04A0" w:firstRow="1" w:lastRow="0" w:firstColumn="1" w:lastColumn="0" w:noHBand="0" w:noVBand="1"/>
      </w:tblPr>
      <w:tblGrid>
        <w:gridCol w:w="9090"/>
      </w:tblGrid>
      <w:tr w:rsidR="00215A7D" w:rsidRPr="00666C4F" w14:paraId="0AF304E0" w14:textId="77777777" w:rsidTr="00666C4F">
        <w:trPr>
          <w:trHeight w:val="364"/>
        </w:trPr>
        <w:tc>
          <w:tcPr>
            <w:tcW w:w="9090" w:type="dxa"/>
            <w:shd w:val="clear" w:color="auto" w:fill="0F243E" w:themeFill="text2" w:themeFillShade="80"/>
            <w:tcMar>
              <w:top w:w="14" w:type="dxa"/>
              <w:left w:w="43" w:type="dxa"/>
              <w:bottom w:w="14" w:type="dxa"/>
            </w:tcMar>
          </w:tcPr>
          <w:p w14:paraId="40D6C93D" w14:textId="1974884B" w:rsidR="00215A7D" w:rsidRPr="00C02E66" w:rsidRDefault="00215A7D" w:rsidP="00C129C4">
            <w:pPr>
              <w:spacing w:before="0" w:after="0"/>
              <w:jc w:val="both"/>
              <w:rPr>
                <w:rFonts w:asciiTheme="minorHAnsi" w:eastAsia="Times New Roman" w:hAnsiTheme="minorHAnsi" w:cstheme="minorHAnsi"/>
                <w:b/>
                <w:bCs/>
                <w:color w:val="FFFFFF"/>
                <w:kern w:val="24"/>
                <w:sz w:val="22"/>
                <w:lang w:eastAsia="en-IN"/>
              </w:rPr>
            </w:pPr>
            <w:r w:rsidRPr="00C02E66">
              <w:rPr>
                <w:rFonts w:asciiTheme="minorHAnsi" w:eastAsia="Times New Roman" w:hAnsiTheme="minorHAnsi" w:cstheme="minorHAnsi"/>
                <w:b/>
                <w:bCs/>
                <w:color w:val="FFFFFF"/>
                <w:kern w:val="24"/>
                <w:sz w:val="22"/>
                <w:lang w:eastAsia="en-IN"/>
              </w:rPr>
              <w:t xml:space="preserve">PILLAR 1:     </w:t>
            </w:r>
            <w:r w:rsidRPr="00666C4F">
              <w:rPr>
                <w:rFonts w:asciiTheme="minorHAnsi" w:eastAsia="Times New Roman" w:hAnsiTheme="minorHAnsi" w:cstheme="minorHAnsi"/>
                <w:b/>
                <w:bCs/>
                <w:color w:val="FFFFFF"/>
                <w:kern w:val="24"/>
                <w:sz w:val="22"/>
                <w:lang w:eastAsia="en-IN"/>
              </w:rPr>
              <w:t>B U I L D,    S T R E N G T H E N    A N D    S U S T A I N    A N    E N A B L I N G   E N V I R O N M E N T   F O R    T B    E L I M I N A T I O N</w:t>
            </w:r>
          </w:p>
        </w:tc>
      </w:tr>
      <w:tr w:rsidR="00215A7D" w:rsidRPr="00666C4F" w14:paraId="59B93F24" w14:textId="77777777" w:rsidTr="00666C4F">
        <w:trPr>
          <w:trHeight w:val="121"/>
        </w:trPr>
        <w:tc>
          <w:tcPr>
            <w:tcW w:w="9090" w:type="dxa"/>
            <w:shd w:val="clear" w:color="auto" w:fill="0F243E" w:themeFill="text2" w:themeFillShade="80"/>
            <w:tcMar>
              <w:top w:w="14" w:type="dxa"/>
              <w:left w:w="43" w:type="dxa"/>
              <w:bottom w:w="14" w:type="dxa"/>
            </w:tcMar>
          </w:tcPr>
          <w:p w14:paraId="280EC571" w14:textId="77777777" w:rsidR="00215A7D" w:rsidRPr="00666C4F" w:rsidRDefault="00215A7D" w:rsidP="00C129C4">
            <w:pPr>
              <w:spacing w:before="0" w:after="0"/>
              <w:jc w:val="both"/>
              <w:rPr>
                <w:rFonts w:asciiTheme="minorHAnsi" w:eastAsia="Times New Roman" w:hAnsiTheme="minorHAnsi" w:cstheme="minorHAnsi"/>
                <w:b/>
                <w:bCs/>
                <w:color w:val="FFFFFF"/>
                <w:kern w:val="24"/>
                <w:sz w:val="22"/>
                <w:lang w:eastAsia="en-IN"/>
              </w:rPr>
            </w:pPr>
            <w:r w:rsidRPr="00C02E66">
              <w:rPr>
                <w:rFonts w:asciiTheme="minorHAnsi" w:eastAsia="Times New Roman" w:hAnsiTheme="minorHAnsi" w:cstheme="minorHAnsi"/>
                <w:b/>
                <w:bCs/>
                <w:color w:val="FFFFFF"/>
                <w:kern w:val="24"/>
                <w:sz w:val="22"/>
                <w:lang w:eastAsia="en-IN"/>
              </w:rPr>
              <w:lastRenderedPageBreak/>
              <w:t>Objective 1</w:t>
            </w:r>
            <w:r w:rsidRPr="00666C4F">
              <w:rPr>
                <w:rFonts w:asciiTheme="minorHAnsi" w:eastAsia="Times New Roman" w:hAnsiTheme="minorHAnsi" w:cstheme="minorHAnsi"/>
                <w:b/>
                <w:bCs/>
                <w:color w:val="FFFFFF"/>
                <w:kern w:val="24"/>
                <w:sz w:val="22"/>
                <w:lang w:eastAsia="en-IN"/>
              </w:rPr>
              <w:t xml:space="preserve">. Build, strengthen and sustain enabling policies, empowered institutions, multi-sectoral collaborations, engaged communities, and human resources with enhanced capacities to create a supportive ecosystem which accelerates PREVENT – DETECT – TREAT        </w:t>
            </w:r>
          </w:p>
        </w:tc>
      </w:tr>
      <w:tr w:rsidR="00215A7D" w:rsidRPr="00C02E66" w14:paraId="5CA3C9EC" w14:textId="77777777" w:rsidTr="00666C4F">
        <w:trPr>
          <w:trHeight w:val="66"/>
        </w:trPr>
        <w:tc>
          <w:tcPr>
            <w:tcW w:w="9090" w:type="dxa"/>
            <w:shd w:val="clear" w:color="auto" w:fill="4381CF" w:themeFill="accent5" w:themeFillShade="BF"/>
            <w:tcMar>
              <w:top w:w="14" w:type="dxa"/>
              <w:left w:w="43" w:type="dxa"/>
              <w:bottom w:w="14" w:type="dxa"/>
            </w:tcMar>
          </w:tcPr>
          <w:p w14:paraId="32B81FAC" w14:textId="7CC7D969" w:rsidR="00215A7D" w:rsidRPr="00C02E66" w:rsidRDefault="00215A7D" w:rsidP="00C129C4">
            <w:pPr>
              <w:spacing w:before="0" w:after="0"/>
              <w:jc w:val="both"/>
              <w:rPr>
                <w:rFonts w:asciiTheme="minorHAnsi" w:eastAsia="Times New Roman" w:hAnsiTheme="minorHAnsi" w:cstheme="minorHAnsi"/>
                <w:b/>
                <w:color w:val="FFFFFF"/>
                <w:kern w:val="24"/>
                <w:sz w:val="22"/>
                <w:lang w:val="pt-PT" w:eastAsia="en-IN"/>
              </w:rPr>
            </w:pPr>
            <w:r w:rsidRPr="00C02E66">
              <w:rPr>
                <w:rFonts w:asciiTheme="minorHAnsi" w:eastAsia="Times New Roman" w:hAnsiTheme="minorHAnsi" w:cstheme="minorHAnsi"/>
                <w:b/>
                <w:bCs/>
                <w:color w:val="FFFFFF"/>
                <w:kern w:val="24"/>
                <w:sz w:val="22"/>
                <w:lang w:eastAsia="en-IN"/>
              </w:rPr>
              <w:t xml:space="preserve">S </w:t>
            </w:r>
            <w:r w:rsidR="00A71BBC">
              <w:rPr>
                <w:rFonts w:asciiTheme="minorHAnsi" w:eastAsia="Times New Roman" w:hAnsiTheme="minorHAnsi" w:cstheme="minorHAnsi"/>
                <w:b/>
                <w:bCs/>
                <w:color w:val="FFFFFF"/>
                <w:kern w:val="24"/>
                <w:sz w:val="22"/>
                <w:lang w:eastAsia="en-IN"/>
              </w:rPr>
              <w:t xml:space="preserve">T </w:t>
            </w:r>
            <w:r w:rsidRPr="00C02E66">
              <w:rPr>
                <w:rFonts w:asciiTheme="minorHAnsi" w:eastAsia="Times New Roman" w:hAnsiTheme="minorHAnsi" w:cstheme="minorHAnsi"/>
                <w:b/>
                <w:bCs/>
                <w:color w:val="FFFFFF"/>
                <w:kern w:val="24"/>
                <w:sz w:val="22"/>
                <w:lang w:eastAsia="en-IN"/>
              </w:rPr>
              <w:t>R A T E G I C   A R E A</w:t>
            </w:r>
          </w:p>
        </w:tc>
      </w:tr>
      <w:tr w:rsidR="00A91B99" w:rsidRPr="00C02E66" w14:paraId="12544F7D" w14:textId="77777777" w:rsidTr="009B2236">
        <w:trPr>
          <w:trHeight w:val="65"/>
        </w:trPr>
        <w:tc>
          <w:tcPr>
            <w:tcW w:w="9090" w:type="dxa"/>
            <w:shd w:val="clear" w:color="auto" w:fill="E5E5E5" w:themeFill="accent3" w:themeFillTint="33"/>
            <w:tcMar>
              <w:top w:w="14" w:type="dxa"/>
              <w:left w:w="43" w:type="dxa"/>
              <w:bottom w:w="14" w:type="dxa"/>
              <w:right w:w="76" w:type="dxa"/>
            </w:tcMar>
          </w:tcPr>
          <w:p w14:paraId="4405171B" w14:textId="4E8EAA74" w:rsidR="00A91B99" w:rsidRPr="001E5A57" w:rsidRDefault="00A91B99"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sidRPr="0077376B">
              <w:rPr>
                <w:rFonts w:asciiTheme="minorHAnsi" w:hAnsiTheme="minorHAnsi" w:cstheme="minorHAnsi"/>
                <w:kern w:val="24"/>
                <w:sz w:val="22"/>
                <w:lang w:eastAsia="en-IN"/>
              </w:rPr>
              <w:t>Ensure a fully funded NSP</w:t>
            </w:r>
            <w:r>
              <w:rPr>
                <w:rFonts w:asciiTheme="minorHAnsi" w:hAnsiTheme="minorHAnsi" w:cstheme="minorHAnsi"/>
                <w:kern w:val="24"/>
                <w:sz w:val="22"/>
                <w:lang w:eastAsia="en-IN"/>
              </w:rPr>
              <w:t xml:space="preserve"> </w:t>
            </w:r>
          </w:p>
        </w:tc>
      </w:tr>
      <w:tr w:rsidR="00A91B99" w:rsidRPr="00C02E66" w14:paraId="3205C390"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477A185F" w14:textId="720862F4" w:rsidR="00A91B99" w:rsidRPr="001E5A57" w:rsidRDefault="0036723B"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Pr>
                <w:rFonts w:asciiTheme="minorHAnsi" w:hAnsiTheme="minorHAnsi" w:cstheme="minorHAnsi"/>
                <w:kern w:val="24"/>
                <w:sz w:val="22"/>
                <w:lang w:eastAsia="en-IN"/>
              </w:rPr>
              <w:t>Enhance TB care related</w:t>
            </w:r>
            <w:r w:rsidR="00A91B99">
              <w:rPr>
                <w:rFonts w:asciiTheme="minorHAnsi" w:hAnsiTheme="minorHAnsi" w:cstheme="minorHAnsi"/>
                <w:kern w:val="24"/>
                <w:sz w:val="22"/>
                <w:lang w:eastAsia="en-IN"/>
              </w:rPr>
              <w:t xml:space="preserve"> human r</w:t>
            </w:r>
            <w:r w:rsidR="00A91B99" w:rsidRPr="001E5A57">
              <w:rPr>
                <w:rFonts w:asciiTheme="minorHAnsi" w:hAnsiTheme="minorHAnsi" w:cstheme="minorHAnsi"/>
                <w:kern w:val="24"/>
                <w:sz w:val="22"/>
                <w:lang w:eastAsia="en-IN"/>
              </w:rPr>
              <w:t>esource</w:t>
            </w:r>
            <w:r w:rsidR="00A91B99">
              <w:rPr>
                <w:rFonts w:asciiTheme="minorHAnsi" w:hAnsiTheme="minorHAnsi" w:cstheme="minorHAnsi"/>
                <w:kern w:val="24"/>
                <w:sz w:val="22"/>
                <w:lang w:eastAsia="en-IN"/>
              </w:rPr>
              <w:t xml:space="preserve"> and its m</w:t>
            </w:r>
            <w:r w:rsidR="00A91B99" w:rsidRPr="001E5A57">
              <w:rPr>
                <w:rFonts w:asciiTheme="minorHAnsi" w:hAnsiTheme="minorHAnsi" w:cstheme="minorHAnsi"/>
                <w:kern w:val="24"/>
                <w:sz w:val="22"/>
                <w:lang w:eastAsia="en-IN"/>
              </w:rPr>
              <w:t>anagement</w:t>
            </w:r>
            <w:r w:rsidR="00A91B99">
              <w:rPr>
                <w:rFonts w:asciiTheme="minorHAnsi" w:hAnsiTheme="minorHAnsi" w:cstheme="minorHAnsi"/>
                <w:kern w:val="24"/>
                <w:sz w:val="22"/>
                <w:lang w:eastAsia="en-IN"/>
              </w:rPr>
              <w:t xml:space="preserve"> within the NTEP</w:t>
            </w:r>
          </w:p>
        </w:tc>
      </w:tr>
      <w:tr w:rsidR="00A91B99" w:rsidRPr="00C02E66" w14:paraId="15467349"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222C36FE" w14:textId="5C7CE83F" w:rsidR="00A91B99" w:rsidRPr="001E5A57" w:rsidRDefault="00A91B99"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sidRPr="001E5A57">
              <w:rPr>
                <w:rFonts w:asciiTheme="minorHAnsi" w:hAnsiTheme="minorHAnsi" w:cstheme="minorHAnsi"/>
                <w:kern w:val="24"/>
                <w:sz w:val="22"/>
                <w:lang w:eastAsia="en-IN"/>
              </w:rPr>
              <w:t>Increase efficiency and effectiveness of governance</w:t>
            </w:r>
            <w:r>
              <w:rPr>
                <w:rFonts w:asciiTheme="minorHAnsi" w:hAnsiTheme="minorHAnsi" w:cstheme="minorHAnsi"/>
                <w:kern w:val="24"/>
                <w:sz w:val="22"/>
                <w:lang w:eastAsia="en-IN"/>
              </w:rPr>
              <w:t xml:space="preserve"> and programme management</w:t>
            </w:r>
            <w:r w:rsidRPr="001E5A57">
              <w:rPr>
                <w:rFonts w:asciiTheme="minorHAnsi" w:hAnsiTheme="minorHAnsi" w:cstheme="minorHAnsi"/>
                <w:kern w:val="24"/>
                <w:sz w:val="22"/>
                <w:lang w:eastAsia="en-IN"/>
              </w:rPr>
              <w:t xml:space="preserve"> mechanisms for TB elimination</w:t>
            </w:r>
          </w:p>
        </w:tc>
      </w:tr>
      <w:tr w:rsidR="00A91B99" w:rsidRPr="00C02E66" w14:paraId="7ADED709"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4AC17629" w14:textId="27917BC4" w:rsidR="00A91B99" w:rsidRPr="001E5A57" w:rsidRDefault="00A91B99"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Pr>
                <w:rFonts w:asciiTheme="minorHAnsi" w:hAnsiTheme="minorHAnsi" w:cstheme="minorHAnsi"/>
                <w:kern w:val="24"/>
                <w:sz w:val="22"/>
                <w:lang w:eastAsia="en-IN"/>
              </w:rPr>
              <w:t>Expedite multi sectoral c</w:t>
            </w:r>
            <w:r w:rsidRPr="00C02E66">
              <w:rPr>
                <w:rFonts w:asciiTheme="minorHAnsi" w:hAnsiTheme="minorHAnsi" w:cstheme="minorHAnsi"/>
                <w:kern w:val="24"/>
                <w:sz w:val="22"/>
                <w:lang w:eastAsia="en-IN"/>
              </w:rPr>
              <w:t>ollaboration</w:t>
            </w:r>
            <w:r>
              <w:rPr>
                <w:rFonts w:asciiTheme="minorHAnsi" w:hAnsiTheme="minorHAnsi" w:cstheme="minorHAnsi"/>
                <w:kern w:val="24"/>
                <w:sz w:val="22"/>
                <w:lang w:eastAsia="en-IN"/>
              </w:rPr>
              <w:t xml:space="preserve"> with a focus on the </w:t>
            </w:r>
            <w:r w:rsidR="0036723B">
              <w:rPr>
                <w:rFonts w:asciiTheme="minorHAnsi" w:hAnsiTheme="minorHAnsi" w:cstheme="minorHAnsi"/>
                <w:kern w:val="24"/>
                <w:sz w:val="22"/>
                <w:lang w:eastAsia="en-IN"/>
              </w:rPr>
              <w:t xml:space="preserve">improving </w:t>
            </w:r>
            <w:r>
              <w:rPr>
                <w:rFonts w:asciiTheme="minorHAnsi" w:hAnsiTheme="minorHAnsi" w:cstheme="minorHAnsi"/>
                <w:kern w:val="24"/>
                <w:sz w:val="22"/>
                <w:lang w:eastAsia="en-IN"/>
              </w:rPr>
              <w:t xml:space="preserve">accountability </w:t>
            </w:r>
            <w:r w:rsidR="0036723B">
              <w:rPr>
                <w:rFonts w:asciiTheme="minorHAnsi" w:hAnsiTheme="minorHAnsi" w:cstheme="minorHAnsi"/>
                <w:kern w:val="24"/>
                <w:sz w:val="22"/>
                <w:lang w:eastAsia="en-IN"/>
              </w:rPr>
              <w:t>mechanisms</w:t>
            </w:r>
          </w:p>
        </w:tc>
      </w:tr>
      <w:tr w:rsidR="00A91B99" w:rsidRPr="00C02E66" w14:paraId="772338F1"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51EC73CC" w14:textId="2CB6DA47" w:rsidR="00A91B99" w:rsidRPr="001E5A57" w:rsidRDefault="00A91B99"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sidRPr="0055632C">
              <w:rPr>
                <w:rFonts w:asciiTheme="minorHAnsi" w:hAnsiTheme="minorHAnsi" w:cstheme="minorHAnsi"/>
                <w:kern w:val="24"/>
                <w:sz w:val="22"/>
                <w:lang w:eastAsia="en-IN"/>
              </w:rPr>
              <w:t>Strengthen</w:t>
            </w:r>
            <w:r w:rsidR="00E87999">
              <w:rPr>
                <w:rFonts w:asciiTheme="minorHAnsi" w:hAnsiTheme="minorHAnsi" w:cstheme="minorHAnsi"/>
                <w:kern w:val="24"/>
                <w:sz w:val="22"/>
                <w:lang w:eastAsia="en-IN"/>
              </w:rPr>
              <w:t>, enhance</w:t>
            </w:r>
            <w:r w:rsidRPr="0055632C">
              <w:rPr>
                <w:rFonts w:asciiTheme="minorHAnsi" w:hAnsiTheme="minorHAnsi" w:cstheme="minorHAnsi"/>
                <w:kern w:val="24"/>
                <w:sz w:val="22"/>
                <w:lang w:eastAsia="en-IN"/>
              </w:rPr>
              <w:t xml:space="preserve"> and scale-up the existing private sector engagement with new additionalities to enlist greater p</w:t>
            </w:r>
            <w:r w:rsidR="006863AB">
              <w:rPr>
                <w:rFonts w:asciiTheme="minorHAnsi" w:hAnsiTheme="minorHAnsi" w:cstheme="minorHAnsi"/>
                <w:kern w:val="24"/>
                <w:sz w:val="22"/>
                <w:lang w:eastAsia="en-IN"/>
              </w:rPr>
              <w:t xml:space="preserve">rivate </w:t>
            </w:r>
            <w:r w:rsidRPr="0055632C">
              <w:rPr>
                <w:rFonts w:asciiTheme="minorHAnsi" w:hAnsiTheme="minorHAnsi" w:cstheme="minorHAnsi"/>
                <w:kern w:val="24"/>
                <w:sz w:val="22"/>
                <w:lang w:eastAsia="en-IN"/>
              </w:rPr>
              <w:t xml:space="preserve">sector support and programme reach    </w:t>
            </w:r>
          </w:p>
        </w:tc>
      </w:tr>
      <w:tr w:rsidR="00A91B99" w:rsidRPr="00C02E66" w14:paraId="15630C13"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1D4C5B9B" w14:textId="0642F606" w:rsidR="00A91B99" w:rsidRPr="001E5A57" w:rsidRDefault="00E87999"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Pr>
                <w:rFonts w:asciiTheme="minorHAnsi" w:hAnsiTheme="minorHAnsi" w:cstheme="minorHAnsi"/>
                <w:kern w:val="24"/>
                <w:sz w:val="22"/>
                <w:lang w:eastAsia="en-IN"/>
              </w:rPr>
              <w:t>C</w:t>
            </w:r>
            <w:r w:rsidR="00A91B99">
              <w:rPr>
                <w:rFonts w:asciiTheme="minorHAnsi" w:hAnsiTheme="minorHAnsi" w:cstheme="minorHAnsi"/>
                <w:kern w:val="24"/>
                <w:sz w:val="22"/>
                <w:lang w:eastAsia="en-IN"/>
              </w:rPr>
              <w:t xml:space="preserve">reate </w:t>
            </w:r>
            <w:r w:rsidR="00A91B99" w:rsidRPr="00C02E66">
              <w:rPr>
                <w:rFonts w:asciiTheme="minorHAnsi" w:hAnsiTheme="minorHAnsi" w:cstheme="minorHAnsi"/>
                <w:kern w:val="24"/>
                <w:sz w:val="22"/>
                <w:lang w:eastAsia="en-IN"/>
              </w:rPr>
              <w:t>empowered</w:t>
            </w:r>
            <w:r w:rsidR="00A91B99">
              <w:rPr>
                <w:rFonts w:asciiTheme="minorHAnsi" w:hAnsiTheme="minorHAnsi" w:cstheme="minorHAnsi"/>
                <w:kern w:val="24"/>
                <w:sz w:val="22"/>
                <w:lang w:eastAsia="en-IN"/>
              </w:rPr>
              <w:t xml:space="preserve"> and engaged</w:t>
            </w:r>
            <w:r w:rsidR="00A91B99" w:rsidRPr="00C02E66">
              <w:rPr>
                <w:rFonts w:asciiTheme="minorHAnsi" w:hAnsiTheme="minorHAnsi" w:cstheme="minorHAnsi"/>
                <w:kern w:val="24"/>
                <w:sz w:val="22"/>
                <w:lang w:eastAsia="en-IN"/>
              </w:rPr>
              <w:t xml:space="preserve"> communities to fight TB</w:t>
            </w:r>
          </w:p>
        </w:tc>
      </w:tr>
      <w:tr w:rsidR="00A91B99" w:rsidRPr="00C02E66" w14:paraId="1C40CD63"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13D2E250" w14:textId="76E1FA86" w:rsidR="00A91B99" w:rsidRPr="001E5A57" w:rsidRDefault="0019425D"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Pr>
                <w:rFonts w:asciiTheme="minorHAnsi" w:hAnsiTheme="minorHAnsi" w:cstheme="minorHAnsi"/>
                <w:kern w:val="24"/>
                <w:sz w:val="22"/>
                <w:lang w:eastAsia="en-IN"/>
              </w:rPr>
              <w:t>Undertake a</w:t>
            </w:r>
            <w:r w:rsidR="00A91B99" w:rsidRPr="001E5A57">
              <w:rPr>
                <w:rFonts w:asciiTheme="minorHAnsi" w:hAnsiTheme="minorHAnsi" w:cstheme="minorHAnsi"/>
                <w:kern w:val="24"/>
                <w:sz w:val="22"/>
                <w:lang w:eastAsia="en-IN"/>
              </w:rPr>
              <w:t>dvocacy</w:t>
            </w:r>
            <w:r w:rsidR="00215C43">
              <w:rPr>
                <w:rFonts w:asciiTheme="minorHAnsi" w:hAnsiTheme="minorHAnsi" w:cstheme="minorHAnsi"/>
                <w:kern w:val="24"/>
                <w:sz w:val="22"/>
                <w:lang w:eastAsia="en-IN"/>
              </w:rPr>
              <w:t xml:space="preserve">, </w:t>
            </w:r>
            <w:r w:rsidR="00A91B99" w:rsidRPr="001E5A57">
              <w:rPr>
                <w:rFonts w:asciiTheme="minorHAnsi" w:hAnsiTheme="minorHAnsi" w:cstheme="minorHAnsi"/>
                <w:kern w:val="24"/>
                <w:sz w:val="22"/>
                <w:lang w:eastAsia="en-IN"/>
              </w:rPr>
              <w:t>strategic communication</w:t>
            </w:r>
            <w:r w:rsidR="00215C43">
              <w:rPr>
                <w:rFonts w:asciiTheme="minorHAnsi" w:hAnsiTheme="minorHAnsi" w:cstheme="minorHAnsi"/>
                <w:kern w:val="24"/>
                <w:sz w:val="22"/>
                <w:lang w:eastAsia="en-IN"/>
              </w:rPr>
              <w:t>, and social mobilization</w:t>
            </w:r>
            <w:r>
              <w:rPr>
                <w:rFonts w:asciiTheme="minorHAnsi" w:hAnsiTheme="minorHAnsi" w:cstheme="minorHAnsi"/>
                <w:kern w:val="24"/>
                <w:sz w:val="22"/>
                <w:lang w:eastAsia="en-IN"/>
              </w:rPr>
              <w:t xml:space="preserve"> for TB elimination</w:t>
            </w:r>
          </w:p>
        </w:tc>
      </w:tr>
      <w:tr w:rsidR="00A91B99" w:rsidRPr="00C02E66" w14:paraId="07A52D13" w14:textId="77777777" w:rsidTr="00890123">
        <w:trPr>
          <w:trHeight w:val="128"/>
        </w:trPr>
        <w:tc>
          <w:tcPr>
            <w:tcW w:w="9090" w:type="dxa"/>
            <w:shd w:val="clear" w:color="auto" w:fill="E5E5E5" w:themeFill="accent3" w:themeFillTint="33"/>
            <w:tcMar>
              <w:top w:w="14" w:type="dxa"/>
              <w:left w:w="43" w:type="dxa"/>
              <w:bottom w:w="14" w:type="dxa"/>
              <w:right w:w="76" w:type="dxa"/>
            </w:tcMar>
          </w:tcPr>
          <w:p w14:paraId="7D141CE3" w14:textId="222BADE5" w:rsidR="00A91B99" w:rsidRPr="001E5A57" w:rsidRDefault="00A91B99"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Pr>
                <w:rFonts w:asciiTheme="minorHAnsi" w:hAnsiTheme="minorHAnsi" w:cstheme="minorHAnsi"/>
                <w:kern w:val="24"/>
                <w:sz w:val="22"/>
                <w:lang w:eastAsia="en-IN"/>
              </w:rPr>
              <w:t>Enhance and strengthen surveillance, m</w:t>
            </w:r>
            <w:r w:rsidRPr="001E5A57">
              <w:rPr>
                <w:rFonts w:asciiTheme="minorHAnsi" w:hAnsiTheme="minorHAnsi" w:cstheme="minorHAnsi"/>
                <w:kern w:val="24"/>
                <w:sz w:val="22"/>
                <w:lang w:eastAsia="en-IN"/>
              </w:rPr>
              <w:t xml:space="preserve">onitoring and </w:t>
            </w:r>
            <w:r>
              <w:rPr>
                <w:rFonts w:asciiTheme="minorHAnsi" w:hAnsiTheme="minorHAnsi" w:cstheme="minorHAnsi"/>
                <w:kern w:val="24"/>
                <w:sz w:val="22"/>
                <w:lang w:eastAsia="en-IN"/>
              </w:rPr>
              <w:t>e</w:t>
            </w:r>
            <w:r w:rsidRPr="001E5A57">
              <w:rPr>
                <w:rFonts w:asciiTheme="minorHAnsi" w:hAnsiTheme="minorHAnsi" w:cstheme="minorHAnsi"/>
                <w:kern w:val="24"/>
                <w:sz w:val="22"/>
                <w:lang w:eastAsia="en-IN"/>
              </w:rPr>
              <w:t>valuation</w:t>
            </w:r>
            <w:r>
              <w:rPr>
                <w:rFonts w:asciiTheme="minorHAnsi" w:hAnsiTheme="minorHAnsi" w:cstheme="minorHAnsi"/>
                <w:kern w:val="24"/>
                <w:sz w:val="22"/>
                <w:lang w:eastAsia="en-IN"/>
              </w:rPr>
              <w:t xml:space="preserve"> of NTEP</w:t>
            </w:r>
          </w:p>
        </w:tc>
      </w:tr>
      <w:tr w:rsidR="00A91B99" w:rsidRPr="00C02E66" w14:paraId="44DA0741"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66BEE813" w14:textId="69F75BDB" w:rsidR="00A91B99" w:rsidRPr="001E5A57" w:rsidRDefault="0019425D" w:rsidP="00442A67">
            <w:pPr>
              <w:pStyle w:val="ListParagraph"/>
              <w:numPr>
                <w:ilvl w:val="1"/>
                <w:numId w:val="20"/>
              </w:numPr>
              <w:spacing w:before="0" w:after="0"/>
              <w:ind w:left="750" w:hanging="672"/>
              <w:rPr>
                <w:rFonts w:asciiTheme="minorHAnsi" w:hAnsiTheme="minorHAnsi" w:cstheme="minorHAnsi"/>
                <w:kern w:val="24"/>
                <w:sz w:val="22"/>
                <w:lang w:eastAsia="en-IN"/>
              </w:rPr>
            </w:pPr>
            <w:r>
              <w:rPr>
                <w:rFonts w:asciiTheme="minorHAnsi" w:hAnsiTheme="minorHAnsi" w:cstheme="minorHAnsi"/>
                <w:kern w:val="24"/>
                <w:sz w:val="22"/>
                <w:lang w:eastAsia="en-IN"/>
              </w:rPr>
              <w:t xml:space="preserve">Promote </w:t>
            </w:r>
            <w:r w:rsidR="00146E4B">
              <w:rPr>
                <w:rFonts w:asciiTheme="minorHAnsi" w:hAnsiTheme="minorHAnsi" w:cstheme="minorHAnsi"/>
                <w:kern w:val="24"/>
                <w:sz w:val="22"/>
                <w:lang w:eastAsia="en-IN"/>
              </w:rPr>
              <w:t>TB r</w:t>
            </w:r>
            <w:r w:rsidR="00A91B99" w:rsidRPr="001E5A57">
              <w:rPr>
                <w:rFonts w:asciiTheme="minorHAnsi" w:hAnsiTheme="minorHAnsi" w:cstheme="minorHAnsi"/>
                <w:kern w:val="24"/>
                <w:sz w:val="22"/>
                <w:lang w:eastAsia="en-IN"/>
              </w:rPr>
              <w:t>esearch</w:t>
            </w:r>
            <w:r w:rsidR="00215C43">
              <w:rPr>
                <w:rFonts w:asciiTheme="minorHAnsi" w:hAnsiTheme="minorHAnsi" w:cstheme="minorHAnsi"/>
                <w:kern w:val="24"/>
                <w:sz w:val="22"/>
                <w:lang w:eastAsia="en-IN"/>
              </w:rPr>
              <w:t xml:space="preserve"> on the prioritized national agenda for TB research</w:t>
            </w:r>
          </w:p>
        </w:tc>
      </w:tr>
      <w:tr w:rsidR="00A91B99" w:rsidRPr="00C02E66" w14:paraId="0CC9C5CC"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7B552718" w14:textId="5C6F6DC2" w:rsidR="00A91B99" w:rsidRPr="001E5A57" w:rsidRDefault="00A91B99" w:rsidP="00442A67">
            <w:pPr>
              <w:pStyle w:val="ListParagraph"/>
              <w:numPr>
                <w:ilvl w:val="1"/>
                <w:numId w:val="20"/>
              </w:numPr>
              <w:spacing w:before="0" w:after="0"/>
              <w:ind w:left="480" w:hanging="402"/>
              <w:jc w:val="both"/>
              <w:rPr>
                <w:rFonts w:asciiTheme="minorHAnsi" w:hAnsiTheme="minorHAnsi" w:cstheme="minorHAnsi"/>
                <w:kern w:val="24"/>
                <w:sz w:val="22"/>
                <w:lang w:eastAsia="en-IN"/>
              </w:rPr>
            </w:pPr>
            <w:r w:rsidRPr="001E5A57">
              <w:rPr>
                <w:rFonts w:asciiTheme="minorHAnsi" w:hAnsiTheme="minorHAnsi" w:cstheme="minorHAnsi"/>
                <w:kern w:val="24"/>
                <w:sz w:val="22"/>
                <w:lang w:eastAsia="en-IN"/>
              </w:rPr>
              <w:t>Strengthen procurement and supply chain management</w:t>
            </w:r>
          </w:p>
        </w:tc>
      </w:tr>
      <w:tr w:rsidR="00A91B99" w:rsidRPr="00C02E66" w14:paraId="63D8F46F"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33B5E32D" w14:textId="1EB8F998" w:rsidR="00A91B99" w:rsidRPr="001E5A57" w:rsidRDefault="0019425D"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Pr>
                <w:rFonts w:asciiTheme="minorHAnsi" w:hAnsiTheme="minorHAnsi" w:cstheme="minorHAnsi"/>
                <w:kern w:val="24"/>
                <w:sz w:val="22"/>
                <w:lang w:eastAsia="en-IN"/>
              </w:rPr>
              <w:t>Establish n</w:t>
            </w:r>
            <w:r w:rsidR="00575D79">
              <w:rPr>
                <w:rFonts w:asciiTheme="minorHAnsi" w:hAnsiTheme="minorHAnsi" w:cstheme="minorHAnsi"/>
                <w:kern w:val="24"/>
                <w:sz w:val="22"/>
                <w:lang w:eastAsia="en-IN"/>
              </w:rPr>
              <w:t xml:space="preserve">ext generation </w:t>
            </w:r>
            <w:r>
              <w:rPr>
                <w:rFonts w:asciiTheme="minorHAnsi" w:hAnsiTheme="minorHAnsi" w:cstheme="minorHAnsi"/>
                <w:kern w:val="24"/>
                <w:sz w:val="22"/>
                <w:lang w:eastAsia="en-IN"/>
              </w:rPr>
              <w:t>program m</w:t>
            </w:r>
            <w:r w:rsidR="00575D79" w:rsidRPr="00575D79">
              <w:rPr>
                <w:rFonts w:asciiTheme="minorHAnsi" w:hAnsiTheme="minorHAnsi" w:cstheme="minorHAnsi"/>
                <w:kern w:val="24"/>
                <w:sz w:val="22"/>
                <w:lang w:eastAsia="en-IN"/>
              </w:rPr>
              <w:t>anagement (</w:t>
            </w:r>
            <w:r w:rsidRPr="00575D79">
              <w:rPr>
                <w:rFonts w:asciiTheme="minorHAnsi" w:hAnsiTheme="minorHAnsi" w:cstheme="minorHAnsi"/>
                <w:kern w:val="24"/>
                <w:sz w:val="22"/>
                <w:lang w:eastAsia="en-IN"/>
              </w:rPr>
              <w:t>surveillance, planning, training, supervision, monitoring, and evaluation</w:t>
            </w:r>
            <w:r w:rsidR="00575D79" w:rsidRPr="00575D79">
              <w:rPr>
                <w:rFonts w:asciiTheme="minorHAnsi" w:hAnsiTheme="minorHAnsi" w:cstheme="minorHAnsi"/>
                <w:kern w:val="24"/>
                <w:sz w:val="22"/>
                <w:lang w:eastAsia="en-IN"/>
              </w:rPr>
              <w:t xml:space="preserve">) built on state-of-art </w:t>
            </w:r>
            <w:r w:rsidR="00215C43">
              <w:rPr>
                <w:rFonts w:asciiTheme="minorHAnsi" w:hAnsiTheme="minorHAnsi" w:cstheme="minorHAnsi"/>
                <w:kern w:val="24"/>
                <w:sz w:val="22"/>
                <w:lang w:eastAsia="en-IN"/>
              </w:rPr>
              <w:t>digital</w:t>
            </w:r>
            <w:r w:rsidR="00575D79" w:rsidRPr="00575D79">
              <w:rPr>
                <w:rFonts w:asciiTheme="minorHAnsi" w:hAnsiTheme="minorHAnsi" w:cstheme="minorHAnsi"/>
                <w:kern w:val="24"/>
                <w:sz w:val="22"/>
                <w:lang w:eastAsia="en-IN"/>
              </w:rPr>
              <w:t xml:space="preserve"> Information and communication technology.</w:t>
            </w:r>
          </w:p>
        </w:tc>
      </w:tr>
      <w:tr w:rsidR="00A91B99" w:rsidRPr="00C02E66" w14:paraId="78163E97"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15264448" w14:textId="6794E8DE" w:rsidR="00A91B99" w:rsidRPr="001E5A57" w:rsidRDefault="00A91B99" w:rsidP="00442A67">
            <w:pPr>
              <w:pStyle w:val="ListParagraph"/>
              <w:numPr>
                <w:ilvl w:val="1"/>
                <w:numId w:val="20"/>
              </w:numPr>
              <w:spacing w:before="0" w:after="0"/>
              <w:ind w:left="480" w:hanging="402"/>
              <w:jc w:val="both"/>
              <w:rPr>
                <w:rFonts w:asciiTheme="minorHAnsi" w:hAnsiTheme="minorHAnsi" w:cstheme="minorHAnsi"/>
                <w:kern w:val="24"/>
                <w:sz w:val="22"/>
                <w:lang w:eastAsia="en-IN"/>
              </w:rPr>
            </w:pPr>
            <w:r>
              <w:rPr>
                <w:rFonts w:asciiTheme="minorHAnsi" w:hAnsiTheme="minorHAnsi" w:cstheme="minorHAnsi"/>
                <w:kern w:val="24"/>
                <w:sz w:val="22"/>
                <w:lang w:eastAsia="en-IN"/>
              </w:rPr>
              <w:t>Secure cutting edge t</w:t>
            </w:r>
            <w:r w:rsidRPr="00C02E66">
              <w:rPr>
                <w:rFonts w:asciiTheme="minorHAnsi" w:hAnsiTheme="minorHAnsi" w:cstheme="minorHAnsi"/>
                <w:kern w:val="24"/>
                <w:sz w:val="22"/>
                <w:lang w:eastAsia="en-IN"/>
              </w:rPr>
              <w:t xml:space="preserve">echnical </w:t>
            </w:r>
            <w:r>
              <w:rPr>
                <w:rFonts w:asciiTheme="minorHAnsi" w:hAnsiTheme="minorHAnsi" w:cstheme="minorHAnsi"/>
                <w:kern w:val="24"/>
                <w:sz w:val="22"/>
                <w:lang w:eastAsia="en-IN"/>
              </w:rPr>
              <w:t>a</w:t>
            </w:r>
            <w:r w:rsidRPr="00C02E66">
              <w:rPr>
                <w:rFonts w:asciiTheme="minorHAnsi" w:hAnsiTheme="minorHAnsi" w:cstheme="minorHAnsi"/>
                <w:kern w:val="24"/>
                <w:sz w:val="22"/>
                <w:lang w:eastAsia="en-IN"/>
              </w:rPr>
              <w:t>ssistance</w:t>
            </w:r>
            <w:r>
              <w:rPr>
                <w:rFonts w:asciiTheme="minorHAnsi" w:hAnsiTheme="minorHAnsi" w:cstheme="minorHAnsi"/>
                <w:kern w:val="24"/>
                <w:sz w:val="22"/>
                <w:lang w:eastAsia="en-IN"/>
              </w:rPr>
              <w:t xml:space="preserve"> </w:t>
            </w:r>
          </w:p>
        </w:tc>
      </w:tr>
      <w:tr w:rsidR="00A91B99" w:rsidRPr="00890123" w14:paraId="3959AE3B"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086C2F27" w14:textId="14F68F68" w:rsidR="00A91B99" w:rsidRPr="00890123" w:rsidRDefault="00FE7FB4" w:rsidP="00442A67">
            <w:pPr>
              <w:pStyle w:val="ListParagraph"/>
              <w:numPr>
                <w:ilvl w:val="1"/>
                <w:numId w:val="20"/>
              </w:numPr>
              <w:spacing w:before="0" w:after="0"/>
              <w:ind w:left="480" w:hanging="402"/>
              <w:jc w:val="both"/>
              <w:rPr>
                <w:rFonts w:asciiTheme="minorHAnsi" w:hAnsiTheme="minorHAnsi" w:cstheme="minorHAnsi"/>
                <w:kern w:val="24"/>
                <w:sz w:val="22"/>
                <w:lang w:eastAsia="en-IN"/>
              </w:rPr>
            </w:pPr>
            <w:r>
              <w:rPr>
                <w:rFonts w:asciiTheme="minorHAnsi" w:hAnsiTheme="minorHAnsi" w:cstheme="minorHAnsi"/>
                <w:kern w:val="24"/>
                <w:sz w:val="22"/>
                <w:lang w:eastAsia="en-IN"/>
              </w:rPr>
              <w:t>Addressing</w:t>
            </w:r>
            <w:r w:rsidR="00A91B99" w:rsidRPr="00C02E66">
              <w:rPr>
                <w:rFonts w:asciiTheme="minorHAnsi" w:hAnsiTheme="minorHAnsi" w:cstheme="minorHAnsi"/>
                <w:kern w:val="24"/>
                <w:sz w:val="22"/>
                <w:lang w:eastAsia="en-IN"/>
              </w:rPr>
              <w:t xml:space="preserve"> human rights and gender related barriers</w:t>
            </w:r>
            <w:r w:rsidR="006863AB">
              <w:rPr>
                <w:rFonts w:asciiTheme="minorHAnsi" w:hAnsiTheme="minorHAnsi" w:cstheme="minorHAnsi"/>
                <w:kern w:val="24"/>
                <w:sz w:val="22"/>
                <w:lang w:eastAsia="en-IN"/>
              </w:rPr>
              <w:t xml:space="preserve"> in access</w:t>
            </w:r>
            <w:r w:rsidR="00A91B99" w:rsidRPr="00C02E66">
              <w:rPr>
                <w:rFonts w:asciiTheme="minorHAnsi" w:hAnsiTheme="minorHAnsi" w:cstheme="minorHAnsi"/>
                <w:kern w:val="24"/>
                <w:sz w:val="22"/>
                <w:lang w:eastAsia="en-IN"/>
              </w:rPr>
              <w:t xml:space="preserve"> to TB services</w:t>
            </w:r>
          </w:p>
        </w:tc>
      </w:tr>
      <w:tr w:rsidR="00A91B99" w:rsidRPr="00890123" w14:paraId="239F2218" w14:textId="77777777" w:rsidTr="009B2236">
        <w:trPr>
          <w:trHeight w:val="35"/>
        </w:trPr>
        <w:tc>
          <w:tcPr>
            <w:tcW w:w="9090" w:type="dxa"/>
            <w:shd w:val="clear" w:color="auto" w:fill="E5E5E5" w:themeFill="accent3" w:themeFillTint="33"/>
            <w:tcMar>
              <w:top w:w="14" w:type="dxa"/>
              <w:left w:w="43" w:type="dxa"/>
              <w:bottom w:w="14" w:type="dxa"/>
              <w:right w:w="76" w:type="dxa"/>
            </w:tcMar>
          </w:tcPr>
          <w:p w14:paraId="6097337D" w14:textId="1BD6A9B0" w:rsidR="00A91B99" w:rsidRDefault="00A91B99" w:rsidP="00442A67">
            <w:pPr>
              <w:pStyle w:val="ListParagraph"/>
              <w:numPr>
                <w:ilvl w:val="1"/>
                <w:numId w:val="20"/>
              </w:numPr>
              <w:spacing w:before="0" w:after="0"/>
              <w:ind w:left="750" w:hanging="672"/>
              <w:jc w:val="both"/>
              <w:rPr>
                <w:rFonts w:asciiTheme="minorHAnsi" w:hAnsiTheme="minorHAnsi" w:cstheme="minorHAnsi"/>
                <w:kern w:val="24"/>
                <w:sz w:val="22"/>
                <w:lang w:eastAsia="en-IN"/>
              </w:rPr>
            </w:pPr>
            <w:r>
              <w:rPr>
                <w:rFonts w:asciiTheme="minorHAnsi" w:hAnsiTheme="minorHAnsi" w:cstheme="minorHAnsi"/>
                <w:kern w:val="24"/>
                <w:sz w:val="22"/>
                <w:lang w:eastAsia="en-IN"/>
              </w:rPr>
              <w:t xml:space="preserve">TB care in the era of </w:t>
            </w:r>
            <w:r w:rsidR="001A7278">
              <w:rPr>
                <w:rFonts w:asciiTheme="minorHAnsi" w:hAnsiTheme="minorHAnsi" w:cstheme="minorHAnsi"/>
                <w:kern w:val="24"/>
                <w:sz w:val="22"/>
                <w:lang w:eastAsia="en-IN"/>
              </w:rPr>
              <w:t xml:space="preserve">COVID-19   </w:t>
            </w:r>
            <w:r>
              <w:rPr>
                <w:rFonts w:asciiTheme="minorHAnsi" w:hAnsiTheme="minorHAnsi" w:cstheme="minorHAnsi"/>
                <w:kern w:val="24"/>
                <w:sz w:val="22"/>
                <w:lang w:eastAsia="en-IN"/>
              </w:rPr>
              <w:t xml:space="preserve"> : B</w:t>
            </w:r>
            <w:r w:rsidRPr="00AC5994">
              <w:rPr>
                <w:rFonts w:asciiTheme="minorHAnsi" w:hAnsiTheme="minorHAnsi" w:cstheme="minorHAnsi"/>
                <w:kern w:val="24"/>
                <w:sz w:val="22"/>
                <w:lang w:eastAsia="en-IN"/>
              </w:rPr>
              <w:t xml:space="preserve">uild a resilient, responsive and agile </w:t>
            </w:r>
            <w:r>
              <w:rPr>
                <w:rFonts w:asciiTheme="minorHAnsi" w:hAnsiTheme="minorHAnsi" w:cstheme="minorHAnsi"/>
                <w:kern w:val="24"/>
                <w:sz w:val="22"/>
                <w:lang w:eastAsia="en-IN"/>
              </w:rPr>
              <w:t>NTEP</w:t>
            </w:r>
            <w:r w:rsidRPr="00AC5994">
              <w:rPr>
                <w:rFonts w:asciiTheme="minorHAnsi" w:hAnsiTheme="minorHAnsi" w:cstheme="minorHAnsi"/>
                <w:kern w:val="24"/>
                <w:sz w:val="22"/>
                <w:lang w:eastAsia="en-IN"/>
              </w:rPr>
              <w:t xml:space="preserve"> to respond to complex emergencies</w:t>
            </w:r>
          </w:p>
        </w:tc>
      </w:tr>
      <w:tr w:rsidR="00215A7D" w:rsidRPr="00C02E66" w14:paraId="36A2F6AF" w14:textId="77777777" w:rsidTr="00666C4F">
        <w:trPr>
          <w:trHeight w:val="230"/>
        </w:trPr>
        <w:tc>
          <w:tcPr>
            <w:tcW w:w="9090" w:type="dxa"/>
            <w:shd w:val="clear" w:color="auto" w:fill="0F243E" w:themeFill="text2" w:themeFillShade="80"/>
            <w:tcMar>
              <w:top w:w="14" w:type="dxa"/>
              <w:left w:w="43" w:type="dxa"/>
              <w:bottom w:w="14" w:type="dxa"/>
            </w:tcMar>
          </w:tcPr>
          <w:p w14:paraId="407DD6B7" w14:textId="77777777" w:rsidR="00215A7D" w:rsidRPr="00C02E66" w:rsidRDefault="00215A7D" w:rsidP="00C129C4">
            <w:pPr>
              <w:spacing w:before="0" w:after="0"/>
              <w:jc w:val="both"/>
              <w:rPr>
                <w:rFonts w:asciiTheme="minorHAnsi" w:eastAsia="Times New Roman" w:hAnsiTheme="minorHAnsi" w:cstheme="minorHAnsi"/>
                <w:b/>
                <w:bCs/>
                <w:color w:val="FFFFFF"/>
                <w:kern w:val="24"/>
                <w:sz w:val="22"/>
                <w:lang w:eastAsia="en-IN"/>
              </w:rPr>
            </w:pPr>
            <w:r w:rsidRPr="00C02E66">
              <w:rPr>
                <w:rFonts w:asciiTheme="minorHAnsi" w:eastAsia="Times New Roman" w:hAnsiTheme="minorHAnsi" w:cstheme="minorHAnsi"/>
                <w:b/>
                <w:bCs/>
                <w:color w:val="FFFFFF"/>
                <w:kern w:val="24"/>
                <w:sz w:val="22"/>
                <w:lang w:eastAsia="en-IN"/>
              </w:rPr>
              <w:t>PILLAR 2:  P R E V E N T</w:t>
            </w:r>
          </w:p>
        </w:tc>
      </w:tr>
      <w:tr w:rsidR="00215A7D" w:rsidRPr="00C02E66" w14:paraId="03223329" w14:textId="77777777" w:rsidTr="00666C4F">
        <w:trPr>
          <w:trHeight w:val="21"/>
        </w:trPr>
        <w:tc>
          <w:tcPr>
            <w:tcW w:w="9090" w:type="dxa"/>
            <w:shd w:val="clear" w:color="auto" w:fill="0F243E" w:themeFill="text2" w:themeFillShade="80"/>
            <w:tcMar>
              <w:top w:w="14" w:type="dxa"/>
              <w:left w:w="43" w:type="dxa"/>
              <w:bottom w:w="14" w:type="dxa"/>
            </w:tcMar>
          </w:tcPr>
          <w:p w14:paraId="24DE6700" w14:textId="46912BFE" w:rsidR="00215A7D" w:rsidRPr="00C02E66" w:rsidRDefault="00215A7D" w:rsidP="00C129C4">
            <w:pPr>
              <w:spacing w:before="0" w:after="0"/>
              <w:jc w:val="both"/>
              <w:rPr>
                <w:rFonts w:asciiTheme="minorHAnsi" w:eastAsia="Times New Roman" w:hAnsiTheme="minorHAnsi" w:cstheme="minorHAnsi"/>
                <w:b/>
                <w:bCs/>
                <w:color w:val="FFFFFF"/>
                <w:kern w:val="24"/>
                <w:sz w:val="22"/>
                <w:lang w:val="en-GB" w:eastAsia="en-IN"/>
              </w:rPr>
            </w:pPr>
            <w:r w:rsidRPr="00C02E66">
              <w:rPr>
                <w:rFonts w:asciiTheme="minorHAnsi" w:eastAsia="Times New Roman" w:hAnsiTheme="minorHAnsi" w:cstheme="minorHAnsi"/>
                <w:b/>
                <w:bCs/>
                <w:color w:val="FFFFFF"/>
                <w:kern w:val="24"/>
                <w:sz w:val="22"/>
                <w:lang w:eastAsia="en-IN"/>
              </w:rPr>
              <w:t xml:space="preserve">Objective </w:t>
            </w:r>
            <w:r>
              <w:rPr>
                <w:rFonts w:asciiTheme="minorHAnsi" w:eastAsia="Times New Roman" w:hAnsiTheme="minorHAnsi" w:cstheme="minorHAnsi"/>
                <w:b/>
                <w:bCs/>
                <w:color w:val="FFFFFF"/>
                <w:kern w:val="24"/>
                <w:sz w:val="22"/>
                <w:lang w:eastAsia="en-IN"/>
              </w:rPr>
              <w:t>2</w:t>
            </w:r>
            <w:r w:rsidRPr="00C02E66">
              <w:rPr>
                <w:rFonts w:asciiTheme="minorHAnsi" w:eastAsia="Times New Roman" w:hAnsiTheme="minorHAnsi" w:cstheme="minorHAnsi"/>
                <w:b/>
                <w:bCs/>
                <w:color w:val="FFFFFF"/>
                <w:kern w:val="24"/>
                <w:sz w:val="22"/>
                <w:lang w:eastAsia="en-IN"/>
              </w:rPr>
              <w:t xml:space="preserve">: </w:t>
            </w:r>
            <w:r w:rsidR="001E1975" w:rsidRPr="001E1975">
              <w:rPr>
                <w:rFonts w:asciiTheme="minorHAnsi" w:eastAsia="Times New Roman" w:hAnsiTheme="minorHAnsi" w:cstheme="minorHAnsi"/>
                <w:b/>
                <w:bCs/>
                <w:color w:val="FFFFFF" w:themeColor="light1"/>
                <w:kern w:val="24"/>
                <w:sz w:val="22"/>
                <w:lang w:eastAsia="en-IN"/>
              </w:rPr>
              <w:t>Prevent the emergence of TB in susceptible populations using a combination of biomedical, behavioural, social and structural interventions</w:t>
            </w:r>
            <w:r w:rsidRPr="00C02E66">
              <w:rPr>
                <w:rFonts w:asciiTheme="minorHAnsi" w:eastAsia="Times New Roman" w:hAnsiTheme="minorHAnsi" w:cstheme="minorHAnsi"/>
                <w:b/>
                <w:bCs/>
                <w:color w:val="FFFFFF" w:themeColor="light1"/>
                <w:kern w:val="24"/>
                <w:sz w:val="22"/>
                <w:lang w:eastAsia="en-IN"/>
              </w:rPr>
              <w:t>.</w:t>
            </w:r>
          </w:p>
        </w:tc>
      </w:tr>
      <w:tr w:rsidR="00215A7D" w:rsidRPr="00C02E66" w14:paraId="7F0EB67C" w14:textId="77777777" w:rsidTr="00666C4F">
        <w:trPr>
          <w:trHeight w:val="230"/>
        </w:trPr>
        <w:tc>
          <w:tcPr>
            <w:tcW w:w="9090" w:type="dxa"/>
            <w:shd w:val="clear" w:color="auto" w:fill="4381CF" w:themeFill="accent5" w:themeFillShade="BF"/>
            <w:tcMar>
              <w:top w:w="14" w:type="dxa"/>
              <w:left w:w="43" w:type="dxa"/>
              <w:bottom w:w="14" w:type="dxa"/>
            </w:tcMar>
          </w:tcPr>
          <w:p w14:paraId="52115C4C" w14:textId="22DE9D19" w:rsidR="00215A7D" w:rsidRPr="00C02E66" w:rsidRDefault="00215A7D" w:rsidP="00C129C4">
            <w:pPr>
              <w:spacing w:before="0" w:after="0"/>
              <w:jc w:val="both"/>
              <w:rPr>
                <w:rFonts w:asciiTheme="minorHAnsi" w:eastAsia="Times New Roman" w:hAnsiTheme="minorHAnsi" w:cstheme="minorHAnsi"/>
                <w:b/>
                <w:bCs/>
                <w:color w:val="FFFFFF"/>
                <w:kern w:val="24"/>
                <w:sz w:val="22"/>
                <w:lang w:eastAsia="en-IN"/>
              </w:rPr>
            </w:pPr>
            <w:r w:rsidRPr="00C02E66">
              <w:rPr>
                <w:rFonts w:asciiTheme="minorHAnsi" w:eastAsia="Times New Roman" w:hAnsiTheme="minorHAnsi" w:cstheme="minorHAnsi"/>
                <w:b/>
                <w:bCs/>
                <w:color w:val="FFFFFF"/>
                <w:kern w:val="24"/>
                <w:sz w:val="22"/>
                <w:lang w:eastAsia="en-IN"/>
              </w:rPr>
              <w:t xml:space="preserve">S </w:t>
            </w:r>
            <w:r w:rsidR="00A71BBC">
              <w:rPr>
                <w:rFonts w:asciiTheme="minorHAnsi" w:eastAsia="Times New Roman" w:hAnsiTheme="minorHAnsi" w:cstheme="minorHAnsi"/>
                <w:b/>
                <w:bCs/>
                <w:color w:val="FFFFFF"/>
                <w:kern w:val="24"/>
                <w:sz w:val="22"/>
                <w:lang w:eastAsia="en-IN"/>
              </w:rPr>
              <w:t xml:space="preserve">T </w:t>
            </w:r>
            <w:r w:rsidRPr="00C02E66">
              <w:rPr>
                <w:rFonts w:asciiTheme="minorHAnsi" w:eastAsia="Times New Roman" w:hAnsiTheme="minorHAnsi" w:cstheme="minorHAnsi"/>
                <w:b/>
                <w:bCs/>
                <w:color w:val="FFFFFF"/>
                <w:kern w:val="24"/>
                <w:sz w:val="22"/>
                <w:lang w:eastAsia="en-IN"/>
              </w:rPr>
              <w:t>R A T E G I C   A R E A</w:t>
            </w:r>
          </w:p>
        </w:tc>
      </w:tr>
      <w:tr w:rsidR="00215A7D" w:rsidRPr="00C02E66" w14:paraId="4FF3C282" w14:textId="77777777" w:rsidTr="009B2236">
        <w:trPr>
          <w:trHeight w:val="20"/>
          <w:hidden/>
        </w:trPr>
        <w:tc>
          <w:tcPr>
            <w:tcW w:w="9090" w:type="dxa"/>
            <w:shd w:val="clear" w:color="auto" w:fill="E5E5E5" w:themeFill="accent3" w:themeFillTint="33"/>
            <w:tcMar>
              <w:top w:w="14" w:type="dxa"/>
              <w:left w:w="43" w:type="dxa"/>
              <w:bottom w:w="14" w:type="dxa"/>
              <w:right w:w="76" w:type="dxa"/>
            </w:tcMar>
            <w:hideMark/>
          </w:tcPr>
          <w:p w14:paraId="727BB2F2" w14:textId="77777777" w:rsidR="00215A7D" w:rsidRPr="000F0DDA" w:rsidRDefault="00215A7D" w:rsidP="00442A67">
            <w:pPr>
              <w:pStyle w:val="ListParagraph"/>
              <w:numPr>
                <w:ilvl w:val="0"/>
                <w:numId w:val="20"/>
              </w:numPr>
              <w:spacing w:before="0" w:after="0"/>
              <w:jc w:val="both"/>
              <w:rPr>
                <w:rFonts w:asciiTheme="minorHAnsi" w:hAnsiTheme="minorHAnsi" w:cstheme="minorHAnsi"/>
                <w:vanish/>
                <w:kern w:val="24"/>
                <w:sz w:val="22"/>
                <w:lang w:eastAsia="en-IN"/>
              </w:rPr>
            </w:pPr>
          </w:p>
          <w:p w14:paraId="0E8CF084" w14:textId="08FBB5BD" w:rsidR="00215A7D" w:rsidRPr="000F0DDA" w:rsidRDefault="00DF2126" w:rsidP="00442A67">
            <w:pPr>
              <w:numPr>
                <w:ilvl w:val="1"/>
                <w:numId w:val="20"/>
              </w:numPr>
              <w:spacing w:before="0" w:after="0"/>
              <w:ind w:left="510"/>
              <w:contextualSpacing/>
              <w:jc w:val="both"/>
              <w:rPr>
                <w:rFonts w:asciiTheme="minorHAnsi" w:hAnsiTheme="minorHAnsi" w:cstheme="minorHAnsi"/>
                <w:kern w:val="24"/>
                <w:sz w:val="22"/>
                <w:lang w:eastAsia="en-IN"/>
              </w:rPr>
            </w:pPr>
            <w:r>
              <w:rPr>
                <w:rFonts w:ascii="Calibri" w:hAnsi="Calibri" w:cs="Calibri"/>
                <w:sz w:val="22"/>
              </w:rPr>
              <w:t xml:space="preserve">Access to shorter and effective </w:t>
            </w:r>
            <w:r w:rsidR="00215A7D" w:rsidRPr="00C02E66">
              <w:rPr>
                <w:rFonts w:asciiTheme="minorHAnsi" w:hAnsiTheme="minorHAnsi" w:cstheme="minorHAnsi"/>
                <w:kern w:val="24"/>
                <w:sz w:val="22"/>
                <w:lang w:eastAsia="en-IN"/>
              </w:rPr>
              <w:t>TB Preventive Treatment (TPT) and Programmatic management of  LTBI</w:t>
            </w:r>
          </w:p>
        </w:tc>
      </w:tr>
      <w:tr w:rsidR="00215A7D" w:rsidRPr="00666C4F" w14:paraId="3B7FC291" w14:textId="77777777" w:rsidTr="009B2236">
        <w:trPr>
          <w:trHeight w:val="20"/>
        </w:trPr>
        <w:tc>
          <w:tcPr>
            <w:tcW w:w="9090" w:type="dxa"/>
            <w:shd w:val="clear" w:color="auto" w:fill="E5E5E5" w:themeFill="accent3" w:themeFillTint="33"/>
            <w:tcMar>
              <w:top w:w="14" w:type="dxa"/>
              <w:left w:w="43" w:type="dxa"/>
              <w:bottom w:w="14" w:type="dxa"/>
              <w:right w:w="76" w:type="dxa"/>
            </w:tcMar>
          </w:tcPr>
          <w:p w14:paraId="5579C4CD" w14:textId="77777777" w:rsidR="00215A7D" w:rsidRPr="00C02E66" w:rsidRDefault="00215A7D" w:rsidP="00442A67">
            <w:pPr>
              <w:pStyle w:val="ListParagraph"/>
              <w:numPr>
                <w:ilvl w:val="1"/>
                <w:numId w:val="20"/>
              </w:numPr>
              <w:spacing w:before="0" w:after="0"/>
              <w:ind w:left="480" w:hanging="402"/>
              <w:jc w:val="both"/>
              <w:rPr>
                <w:rFonts w:asciiTheme="minorHAnsi" w:hAnsiTheme="minorHAnsi" w:cstheme="minorHAnsi"/>
                <w:kern w:val="24"/>
                <w:sz w:val="22"/>
                <w:lang w:eastAsia="en-IN"/>
              </w:rPr>
            </w:pPr>
            <w:r w:rsidRPr="00C02E66">
              <w:rPr>
                <w:rFonts w:asciiTheme="minorHAnsi" w:hAnsiTheme="minorHAnsi" w:cstheme="minorHAnsi"/>
                <w:kern w:val="24"/>
                <w:sz w:val="22"/>
                <w:lang w:eastAsia="en-IN"/>
              </w:rPr>
              <w:t xml:space="preserve">Scale up TB - infection control (TB-IC) measures at home, community, and health care facilities </w:t>
            </w:r>
          </w:p>
        </w:tc>
      </w:tr>
      <w:tr w:rsidR="00215A7D" w:rsidRPr="00666C4F" w14:paraId="5E7FA327" w14:textId="77777777" w:rsidTr="00666C4F">
        <w:trPr>
          <w:trHeight w:val="35"/>
        </w:trPr>
        <w:tc>
          <w:tcPr>
            <w:tcW w:w="9090" w:type="dxa"/>
            <w:shd w:val="clear" w:color="auto" w:fill="0F243E" w:themeFill="text2" w:themeFillShade="80"/>
            <w:tcMar>
              <w:top w:w="14" w:type="dxa"/>
              <w:left w:w="43" w:type="dxa"/>
              <w:bottom w:w="14" w:type="dxa"/>
            </w:tcMar>
          </w:tcPr>
          <w:p w14:paraId="2F580334" w14:textId="77777777" w:rsidR="00215A7D" w:rsidRPr="00666C4F" w:rsidRDefault="00215A7D" w:rsidP="00C129C4">
            <w:pPr>
              <w:spacing w:before="0" w:after="0"/>
              <w:jc w:val="both"/>
              <w:rPr>
                <w:rFonts w:asciiTheme="minorHAnsi" w:eastAsia="Times New Roman" w:hAnsiTheme="minorHAnsi" w:cstheme="minorHAnsi"/>
                <w:b/>
                <w:bCs/>
                <w:color w:val="FFFFFF"/>
                <w:kern w:val="24"/>
                <w:sz w:val="22"/>
                <w:lang w:eastAsia="en-IN"/>
              </w:rPr>
            </w:pPr>
            <w:r w:rsidRPr="00C02E66">
              <w:rPr>
                <w:rFonts w:asciiTheme="minorHAnsi" w:eastAsia="Times New Roman" w:hAnsiTheme="minorHAnsi" w:cstheme="minorHAnsi"/>
                <w:b/>
                <w:bCs/>
                <w:color w:val="FFFFFF"/>
                <w:kern w:val="24"/>
                <w:sz w:val="22"/>
                <w:lang w:eastAsia="en-IN"/>
              </w:rPr>
              <w:t xml:space="preserve">PILLAR 3 :  D E T E C T   A L L </w:t>
            </w:r>
          </w:p>
        </w:tc>
      </w:tr>
      <w:tr w:rsidR="00215A7D" w:rsidRPr="00666C4F" w14:paraId="43055590" w14:textId="77777777" w:rsidTr="00666C4F">
        <w:trPr>
          <w:trHeight w:val="21"/>
        </w:trPr>
        <w:tc>
          <w:tcPr>
            <w:tcW w:w="9090" w:type="dxa"/>
            <w:shd w:val="clear" w:color="auto" w:fill="0F243E" w:themeFill="text2" w:themeFillShade="80"/>
            <w:tcMar>
              <w:top w:w="14" w:type="dxa"/>
              <w:left w:w="43" w:type="dxa"/>
              <w:bottom w:w="14" w:type="dxa"/>
            </w:tcMar>
          </w:tcPr>
          <w:p w14:paraId="61A2F106" w14:textId="77777777" w:rsidR="00215A7D" w:rsidRPr="00C02E66" w:rsidRDefault="00215A7D" w:rsidP="00C129C4">
            <w:pPr>
              <w:spacing w:before="0" w:after="0"/>
              <w:jc w:val="both"/>
              <w:rPr>
                <w:rFonts w:asciiTheme="minorHAnsi" w:eastAsia="Times New Roman" w:hAnsiTheme="minorHAnsi" w:cstheme="minorHAnsi"/>
                <w:b/>
                <w:bCs/>
                <w:color w:val="FFFFFF"/>
                <w:kern w:val="24"/>
                <w:sz w:val="22"/>
                <w:lang w:eastAsia="en-IN"/>
              </w:rPr>
            </w:pPr>
            <w:r w:rsidRPr="00C02E66">
              <w:rPr>
                <w:rFonts w:asciiTheme="minorHAnsi" w:eastAsia="Times New Roman" w:hAnsiTheme="minorHAnsi" w:cstheme="minorHAnsi"/>
                <w:b/>
                <w:bCs/>
                <w:color w:val="FFFFFF"/>
                <w:kern w:val="24"/>
                <w:sz w:val="22"/>
                <w:lang w:eastAsia="en-IN"/>
              </w:rPr>
              <w:t xml:space="preserve">Objective </w:t>
            </w:r>
            <w:r>
              <w:rPr>
                <w:rFonts w:asciiTheme="minorHAnsi" w:eastAsia="Times New Roman" w:hAnsiTheme="minorHAnsi" w:cstheme="minorHAnsi"/>
                <w:b/>
                <w:bCs/>
                <w:color w:val="FFFFFF"/>
                <w:kern w:val="24"/>
                <w:sz w:val="22"/>
                <w:lang w:eastAsia="en-IN"/>
              </w:rPr>
              <w:t>3</w:t>
            </w:r>
            <w:r w:rsidRPr="00C02E66">
              <w:rPr>
                <w:rFonts w:asciiTheme="minorHAnsi" w:eastAsia="Times New Roman" w:hAnsiTheme="minorHAnsi" w:cstheme="minorHAnsi"/>
                <w:b/>
                <w:bCs/>
                <w:color w:val="FFFFFF"/>
                <w:kern w:val="24"/>
                <w:sz w:val="22"/>
                <w:lang w:eastAsia="en-IN"/>
              </w:rPr>
              <w:t xml:space="preserve">: </w:t>
            </w:r>
            <w:r w:rsidRPr="00666C4F">
              <w:rPr>
                <w:rFonts w:asciiTheme="minorHAnsi" w:eastAsia="Times New Roman" w:hAnsiTheme="minorHAnsi" w:cstheme="minorHAnsi"/>
                <w:b/>
                <w:bCs/>
                <w:color w:val="FFFFFF"/>
                <w:kern w:val="24"/>
                <w:sz w:val="22"/>
                <w:lang w:eastAsia="en-IN"/>
              </w:rPr>
              <w:t>Early identification of presumptive TB, at the first point of contact be it private or public sectors, and prompt diagnosis using high sensitivity diagnostic tests to provide universal access to quality TB diagnosis including drug resistant TB in the country.</w:t>
            </w:r>
          </w:p>
        </w:tc>
      </w:tr>
      <w:tr w:rsidR="00215A7D" w:rsidRPr="00C02E66" w14:paraId="09F0DE57" w14:textId="77777777" w:rsidTr="00666C4F">
        <w:trPr>
          <w:trHeight w:val="212"/>
        </w:trPr>
        <w:tc>
          <w:tcPr>
            <w:tcW w:w="9090" w:type="dxa"/>
            <w:shd w:val="clear" w:color="auto" w:fill="4381CF" w:themeFill="accent5" w:themeFillShade="BF"/>
            <w:tcMar>
              <w:top w:w="14" w:type="dxa"/>
              <w:left w:w="43" w:type="dxa"/>
              <w:bottom w:w="14" w:type="dxa"/>
            </w:tcMar>
          </w:tcPr>
          <w:p w14:paraId="3EB03BBF" w14:textId="437F97A8" w:rsidR="00215A7D" w:rsidRPr="00C02E66" w:rsidRDefault="00215A7D" w:rsidP="00C129C4">
            <w:pPr>
              <w:spacing w:before="0" w:after="0" w:line="228" w:lineRule="auto"/>
              <w:jc w:val="both"/>
              <w:rPr>
                <w:rFonts w:asciiTheme="minorHAnsi" w:eastAsia="Times New Roman" w:hAnsiTheme="minorHAnsi" w:cstheme="minorHAnsi"/>
                <w:b/>
                <w:bCs/>
                <w:color w:val="FFFFFF"/>
                <w:kern w:val="24"/>
                <w:sz w:val="22"/>
                <w:lang w:eastAsia="en-IN"/>
              </w:rPr>
            </w:pPr>
            <w:r w:rsidRPr="00C02E66">
              <w:rPr>
                <w:rFonts w:asciiTheme="minorHAnsi" w:eastAsia="Times New Roman" w:hAnsiTheme="minorHAnsi" w:cstheme="minorHAnsi"/>
                <w:b/>
                <w:bCs/>
                <w:color w:val="FFFFFF"/>
                <w:kern w:val="24"/>
                <w:sz w:val="22"/>
                <w:lang w:eastAsia="en-IN"/>
              </w:rPr>
              <w:t xml:space="preserve">S </w:t>
            </w:r>
            <w:r w:rsidR="00A71BBC">
              <w:rPr>
                <w:rFonts w:asciiTheme="minorHAnsi" w:eastAsia="Times New Roman" w:hAnsiTheme="minorHAnsi" w:cstheme="minorHAnsi"/>
                <w:b/>
                <w:bCs/>
                <w:color w:val="FFFFFF"/>
                <w:kern w:val="24"/>
                <w:sz w:val="22"/>
                <w:lang w:eastAsia="en-IN"/>
              </w:rPr>
              <w:t xml:space="preserve">T </w:t>
            </w:r>
            <w:r w:rsidRPr="00C02E66">
              <w:rPr>
                <w:rFonts w:asciiTheme="minorHAnsi" w:eastAsia="Times New Roman" w:hAnsiTheme="minorHAnsi" w:cstheme="minorHAnsi"/>
                <w:b/>
                <w:bCs/>
                <w:color w:val="FFFFFF"/>
                <w:kern w:val="24"/>
                <w:sz w:val="22"/>
                <w:lang w:eastAsia="en-IN"/>
              </w:rPr>
              <w:t xml:space="preserve">R A T E G I C   A R E A </w:t>
            </w:r>
          </w:p>
        </w:tc>
      </w:tr>
      <w:tr w:rsidR="00215A7D" w:rsidRPr="00C02E66" w14:paraId="29C3BA0B" w14:textId="77777777" w:rsidTr="009B2236">
        <w:trPr>
          <w:trHeight w:val="65"/>
          <w:hidden/>
        </w:trPr>
        <w:tc>
          <w:tcPr>
            <w:tcW w:w="9090" w:type="dxa"/>
            <w:shd w:val="clear" w:color="auto" w:fill="E5E5E5" w:themeFill="accent3" w:themeFillTint="33"/>
            <w:tcMar>
              <w:top w:w="14" w:type="dxa"/>
              <w:left w:w="43" w:type="dxa"/>
              <w:bottom w:w="14" w:type="dxa"/>
              <w:right w:w="76" w:type="dxa"/>
            </w:tcMar>
            <w:hideMark/>
          </w:tcPr>
          <w:p w14:paraId="788E5BCF" w14:textId="77777777" w:rsidR="00215A7D" w:rsidRPr="000F0DDA" w:rsidRDefault="00215A7D" w:rsidP="00442A67">
            <w:pPr>
              <w:pStyle w:val="ListParagraph"/>
              <w:numPr>
                <w:ilvl w:val="0"/>
                <w:numId w:val="20"/>
              </w:numPr>
              <w:spacing w:before="0" w:after="0"/>
              <w:jc w:val="both"/>
              <w:rPr>
                <w:rFonts w:asciiTheme="minorHAnsi" w:hAnsiTheme="minorHAnsi" w:cstheme="minorHAnsi"/>
                <w:vanish/>
                <w:kern w:val="24"/>
                <w:sz w:val="22"/>
                <w:lang w:eastAsia="en-IN"/>
              </w:rPr>
            </w:pPr>
          </w:p>
          <w:p w14:paraId="08651AD9" w14:textId="31FCA485" w:rsidR="00215A7D" w:rsidRPr="00C02E66" w:rsidRDefault="00215A7D" w:rsidP="00442A67">
            <w:pPr>
              <w:pStyle w:val="ListParagraph"/>
              <w:numPr>
                <w:ilvl w:val="1"/>
                <w:numId w:val="20"/>
              </w:numPr>
              <w:spacing w:before="0" w:after="0"/>
              <w:ind w:left="510"/>
              <w:jc w:val="both"/>
              <w:rPr>
                <w:rFonts w:asciiTheme="minorHAnsi" w:hAnsiTheme="minorHAnsi" w:cstheme="minorHAnsi"/>
                <w:kern w:val="24"/>
                <w:sz w:val="22"/>
                <w:lang w:eastAsia="en-IN"/>
              </w:rPr>
            </w:pPr>
            <w:r w:rsidRPr="00C02E66">
              <w:rPr>
                <w:rFonts w:asciiTheme="minorHAnsi" w:hAnsiTheme="minorHAnsi" w:cstheme="minorHAnsi"/>
                <w:kern w:val="24"/>
                <w:sz w:val="22"/>
                <w:lang w:eastAsia="en-IN"/>
              </w:rPr>
              <w:t xml:space="preserve">Scale-up free, high sensitivity </w:t>
            </w:r>
            <w:r w:rsidR="006863AB">
              <w:rPr>
                <w:rFonts w:asciiTheme="minorHAnsi" w:hAnsiTheme="minorHAnsi" w:cstheme="minorHAnsi"/>
                <w:kern w:val="24"/>
                <w:sz w:val="22"/>
                <w:lang w:eastAsia="en-IN"/>
              </w:rPr>
              <w:t xml:space="preserve">TB </w:t>
            </w:r>
            <w:r w:rsidRPr="00C02E66">
              <w:rPr>
                <w:rFonts w:asciiTheme="minorHAnsi" w:hAnsiTheme="minorHAnsi" w:cstheme="minorHAnsi"/>
                <w:kern w:val="24"/>
                <w:sz w:val="22"/>
                <w:lang w:eastAsia="en-IN"/>
              </w:rPr>
              <w:t xml:space="preserve">diagnostic tests and algorithms </w:t>
            </w:r>
          </w:p>
        </w:tc>
      </w:tr>
      <w:tr w:rsidR="00215A7D" w:rsidRPr="00C02E66" w14:paraId="26E574F1" w14:textId="77777777" w:rsidTr="009B2236">
        <w:trPr>
          <w:trHeight w:val="192"/>
        </w:trPr>
        <w:tc>
          <w:tcPr>
            <w:tcW w:w="9090" w:type="dxa"/>
            <w:shd w:val="clear" w:color="auto" w:fill="E5E5E5" w:themeFill="accent3" w:themeFillTint="33"/>
            <w:tcMar>
              <w:top w:w="14" w:type="dxa"/>
              <w:left w:w="43" w:type="dxa"/>
              <w:bottom w:w="14" w:type="dxa"/>
              <w:right w:w="76" w:type="dxa"/>
            </w:tcMar>
          </w:tcPr>
          <w:p w14:paraId="54C50F36" w14:textId="00EC0555" w:rsidR="00215A7D" w:rsidRPr="00C02E66" w:rsidRDefault="00215A7D" w:rsidP="00442A67">
            <w:pPr>
              <w:pStyle w:val="ListParagraph"/>
              <w:numPr>
                <w:ilvl w:val="1"/>
                <w:numId w:val="20"/>
              </w:numPr>
              <w:spacing w:before="0" w:after="0"/>
              <w:ind w:left="480" w:hanging="402"/>
              <w:jc w:val="both"/>
              <w:rPr>
                <w:rFonts w:asciiTheme="minorHAnsi" w:hAnsiTheme="minorHAnsi" w:cstheme="minorHAnsi"/>
                <w:kern w:val="24"/>
                <w:sz w:val="22"/>
                <w:lang w:eastAsia="en-IN"/>
              </w:rPr>
            </w:pPr>
            <w:r w:rsidRPr="00C02E66">
              <w:rPr>
                <w:rFonts w:asciiTheme="minorHAnsi" w:hAnsiTheme="minorHAnsi" w:cstheme="minorHAnsi"/>
                <w:kern w:val="24"/>
                <w:sz w:val="22"/>
                <w:lang w:eastAsia="en-IN"/>
              </w:rPr>
              <w:t xml:space="preserve">Intensify TB case finding efforts </w:t>
            </w:r>
            <w:r w:rsidR="006863AB">
              <w:rPr>
                <w:rFonts w:asciiTheme="minorHAnsi" w:hAnsiTheme="minorHAnsi" w:cstheme="minorHAnsi"/>
                <w:kern w:val="24"/>
                <w:sz w:val="22"/>
                <w:lang w:eastAsia="en-IN"/>
              </w:rPr>
              <w:t>amongst</w:t>
            </w:r>
            <w:r w:rsidRPr="00C02E66">
              <w:rPr>
                <w:rFonts w:asciiTheme="minorHAnsi" w:hAnsiTheme="minorHAnsi" w:cstheme="minorHAnsi"/>
                <w:kern w:val="24"/>
                <w:sz w:val="22"/>
                <w:lang w:eastAsia="en-IN"/>
              </w:rPr>
              <w:t xml:space="preserve"> all programmes within the MOHFW </w:t>
            </w:r>
            <w:r w:rsidR="00E45EDD">
              <w:rPr>
                <w:rFonts w:asciiTheme="minorHAnsi" w:hAnsiTheme="minorHAnsi" w:cstheme="minorHAnsi"/>
                <w:kern w:val="24"/>
                <w:sz w:val="22"/>
                <w:lang w:eastAsia="en-IN"/>
              </w:rPr>
              <w:t>and other ministries</w:t>
            </w:r>
          </w:p>
        </w:tc>
      </w:tr>
      <w:tr w:rsidR="00215A7D" w:rsidRPr="00C02E66" w14:paraId="205F7A66" w14:textId="77777777" w:rsidTr="00666C4F">
        <w:trPr>
          <w:trHeight w:val="21"/>
        </w:trPr>
        <w:tc>
          <w:tcPr>
            <w:tcW w:w="9090" w:type="dxa"/>
            <w:shd w:val="clear" w:color="auto" w:fill="0F243E" w:themeFill="text2" w:themeFillShade="80"/>
            <w:tcMar>
              <w:top w:w="14" w:type="dxa"/>
              <w:left w:w="43" w:type="dxa"/>
              <w:bottom w:w="14" w:type="dxa"/>
            </w:tcMar>
          </w:tcPr>
          <w:p w14:paraId="6D27867E" w14:textId="018BF2E7" w:rsidR="00215A7D" w:rsidRPr="00C02E66" w:rsidRDefault="00215A7D" w:rsidP="00C129C4">
            <w:pPr>
              <w:spacing w:before="0" w:after="0"/>
              <w:jc w:val="both"/>
              <w:rPr>
                <w:rFonts w:asciiTheme="minorHAnsi" w:eastAsia="Times New Roman" w:hAnsiTheme="minorHAnsi" w:cstheme="minorHAnsi"/>
                <w:b/>
                <w:bCs/>
                <w:color w:val="FFFFFF"/>
                <w:kern w:val="24"/>
                <w:sz w:val="22"/>
                <w:lang w:eastAsia="en-IN"/>
              </w:rPr>
            </w:pPr>
            <w:r w:rsidRPr="00C02E66">
              <w:rPr>
                <w:rFonts w:asciiTheme="minorHAnsi" w:eastAsia="Times New Roman" w:hAnsiTheme="minorHAnsi" w:cstheme="minorHAnsi"/>
                <w:b/>
                <w:bCs/>
                <w:color w:val="FFFFFF"/>
                <w:kern w:val="24"/>
                <w:sz w:val="22"/>
                <w:lang w:eastAsia="en-IN"/>
              </w:rPr>
              <w:t xml:space="preserve">PILLAR </w:t>
            </w:r>
            <w:r w:rsidR="009F5B23">
              <w:rPr>
                <w:rFonts w:asciiTheme="minorHAnsi" w:eastAsia="Times New Roman" w:hAnsiTheme="minorHAnsi" w:cstheme="minorHAnsi"/>
                <w:b/>
                <w:bCs/>
                <w:color w:val="FFFFFF"/>
                <w:kern w:val="24"/>
                <w:sz w:val="22"/>
                <w:lang w:eastAsia="en-IN"/>
              </w:rPr>
              <w:t>4</w:t>
            </w:r>
            <w:r w:rsidRPr="00C02E66">
              <w:rPr>
                <w:rFonts w:asciiTheme="minorHAnsi" w:eastAsia="Times New Roman" w:hAnsiTheme="minorHAnsi" w:cstheme="minorHAnsi"/>
                <w:b/>
                <w:bCs/>
                <w:color w:val="FFFFFF"/>
                <w:kern w:val="24"/>
                <w:sz w:val="22"/>
                <w:lang w:eastAsia="en-IN"/>
              </w:rPr>
              <w:t>: T R E A T   A L L</w:t>
            </w:r>
          </w:p>
        </w:tc>
      </w:tr>
      <w:tr w:rsidR="00215A7D" w:rsidRPr="00C02E66" w14:paraId="0C79E987" w14:textId="77777777" w:rsidTr="00666C4F">
        <w:trPr>
          <w:trHeight w:val="723"/>
        </w:trPr>
        <w:tc>
          <w:tcPr>
            <w:tcW w:w="9090" w:type="dxa"/>
            <w:shd w:val="clear" w:color="auto" w:fill="0F243E" w:themeFill="text2" w:themeFillShade="80"/>
            <w:tcMar>
              <w:top w:w="14" w:type="dxa"/>
              <w:left w:w="43" w:type="dxa"/>
              <w:bottom w:w="14" w:type="dxa"/>
            </w:tcMar>
          </w:tcPr>
          <w:p w14:paraId="09E760D1" w14:textId="45C7B413" w:rsidR="00215A7D" w:rsidRPr="00693FC5" w:rsidRDefault="00215A7D" w:rsidP="00693FC5">
            <w:pPr>
              <w:spacing w:before="0" w:after="0"/>
              <w:jc w:val="both"/>
              <w:rPr>
                <w:rFonts w:asciiTheme="minorHAnsi" w:eastAsia="Times New Roman" w:hAnsiTheme="minorHAnsi" w:cstheme="minorHAnsi"/>
                <w:b/>
                <w:bCs/>
                <w:color w:val="FFFFFF" w:themeColor="background1"/>
                <w:kern w:val="24"/>
                <w:sz w:val="22"/>
                <w:lang w:val="en-GB" w:eastAsia="en-IN"/>
              </w:rPr>
            </w:pPr>
            <w:r w:rsidRPr="00693FC5">
              <w:rPr>
                <w:rFonts w:asciiTheme="minorHAnsi" w:eastAsia="Times New Roman" w:hAnsiTheme="minorHAnsi" w:cstheme="minorHAnsi"/>
                <w:b/>
                <w:bCs/>
                <w:color w:val="FFFFFF" w:themeColor="background1"/>
                <w:kern w:val="24"/>
                <w:sz w:val="22"/>
                <w:lang w:eastAsia="en-IN"/>
              </w:rPr>
              <w:t>Objective 4:</w:t>
            </w:r>
          </w:p>
        </w:tc>
      </w:tr>
      <w:tr w:rsidR="00215A7D" w:rsidRPr="00C02E66" w14:paraId="7BE075BA" w14:textId="77777777" w:rsidTr="00666C4F">
        <w:trPr>
          <w:trHeight w:val="21"/>
        </w:trPr>
        <w:tc>
          <w:tcPr>
            <w:tcW w:w="9090" w:type="dxa"/>
            <w:shd w:val="clear" w:color="auto" w:fill="4381CF" w:themeFill="accent5" w:themeFillShade="BF"/>
            <w:tcMar>
              <w:top w:w="14" w:type="dxa"/>
              <w:left w:w="43" w:type="dxa"/>
              <w:bottom w:w="14" w:type="dxa"/>
            </w:tcMar>
          </w:tcPr>
          <w:p w14:paraId="3C008AFA" w14:textId="79768391" w:rsidR="00215A7D" w:rsidRPr="00C02E66" w:rsidRDefault="00215A7D" w:rsidP="00C129C4">
            <w:pPr>
              <w:spacing w:before="0" w:after="0"/>
              <w:jc w:val="both"/>
              <w:rPr>
                <w:rFonts w:asciiTheme="minorHAnsi" w:eastAsia="Times New Roman" w:hAnsiTheme="minorHAnsi" w:cstheme="minorHAnsi"/>
                <w:b/>
                <w:bCs/>
                <w:color w:val="FFFFFF"/>
                <w:kern w:val="24"/>
                <w:sz w:val="22"/>
                <w:lang w:eastAsia="en-IN"/>
              </w:rPr>
            </w:pPr>
            <w:r w:rsidRPr="00C02E66">
              <w:rPr>
                <w:rFonts w:asciiTheme="minorHAnsi" w:eastAsia="Times New Roman" w:hAnsiTheme="minorHAnsi" w:cstheme="minorHAnsi"/>
                <w:b/>
                <w:bCs/>
                <w:color w:val="FFFFFF"/>
                <w:kern w:val="24"/>
                <w:sz w:val="22"/>
                <w:lang w:eastAsia="en-IN"/>
              </w:rPr>
              <w:t xml:space="preserve">S </w:t>
            </w:r>
            <w:r w:rsidR="00A71BBC">
              <w:rPr>
                <w:rFonts w:asciiTheme="minorHAnsi" w:eastAsia="Times New Roman" w:hAnsiTheme="minorHAnsi" w:cstheme="minorHAnsi"/>
                <w:b/>
                <w:bCs/>
                <w:color w:val="FFFFFF"/>
                <w:kern w:val="24"/>
                <w:sz w:val="22"/>
                <w:lang w:eastAsia="en-IN"/>
              </w:rPr>
              <w:t xml:space="preserve">T </w:t>
            </w:r>
            <w:r w:rsidRPr="00C02E66">
              <w:rPr>
                <w:rFonts w:asciiTheme="minorHAnsi" w:eastAsia="Times New Roman" w:hAnsiTheme="minorHAnsi" w:cstheme="minorHAnsi"/>
                <w:b/>
                <w:bCs/>
                <w:color w:val="FFFFFF"/>
                <w:kern w:val="24"/>
                <w:sz w:val="22"/>
                <w:lang w:eastAsia="en-IN"/>
              </w:rPr>
              <w:t>R A T E G I C   A R E A</w:t>
            </w:r>
          </w:p>
        </w:tc>
      </w:tr>
      <w:tr w:rsidR="00215A7D" w:rsidRPr="00C02E66" w14:paraId="0FAA392A" w14:textId="77777777" w:rsidTr="009B2236">
        <w:trPr>
          <w:trHeight w:val="20"/>
          <w:hidden/>
        </w:trPr>
        <w:tc>
          <w:tcPr>
            <w:tcW w:w="9090" w:type="dxa"/>
            <w:shd w:val="clear" w:color="auto" w:fill="E5E5E5" w:themeFill="accent3" w:themeFillTint="33"/>
            <w:tcMar>
              <w:top w:w="14" w:type="dxa"/>
              <w:left w:w="43" w:type="dxa"/>
              <w:bottom w:w="14" w:type="dxa"/>
              <w:right w:w="76" w:type="dxa"/>
            </w:tcMar>
            <w:hideMark/>
          </w:tcPr>
          <w:p w14:paraId="6D1169C3" w14:textId="77777777" w:rsidR="00215A7D" w:rsidRPr="000F0DDA" w:rsidRDefault="00215A7D" w:rsidP="00442A67">
            <w:pPr>
              <w:pStyle w:val="ListParagraph"/>
              <w:numPr>
                <w:ilvl w:val="0"/>
                <w:numId w:val="20"/>
              </w:numPr>
              <w:spacing w:before="0" w:after="0"/>
              <w:jc w:val="both"/>
              <w:rPr>
                <w:rFonts w:asciiTheme="minorHAnsi" w:hAnsiTheme="minorHAnsi" w:cstheme="minorHAnsi"/>
                <w:vanish/>
                <w:kern w:val="24"/>
                <w:sz w:val="22"/>
                <w:lang w:eastAsia="en-IN"/>
              </w:rPr>
            </w:pPr>
          </w:p>
          <w:p w14:paraId="50134E28" w14:textId="77777777" w:rsidR="00215A7D" w:rsidRPr="00C02E66" w:rsidRDefault="00215A7D" w:rsidP="00442A67">
            <w:pPr>
              <w:pStyle w:val="ListParagraph"/>
              <w:numPr>
                <w:ilvl w:val="1"/>
                <w:numId w:val="20"/>
              </w:numPr>
              <w:spacing w:before="0" w:after="0"/>
              <w:ind w:left="510"/>
              <w:jc w:val="both"/>
              <w:rPr>
                <w:rFonts w:asciiTheme="minorHAnsi" w:hAnsiTheme="minorHAnsi" w:cstheme="minorHAnsi"/>
                <w:kern w:val="24"/>
                <w:sz w:val="22"/>
                <w:lang w:eastAsia="en-IN"/>
              </w:rPr>
            </w:pPr>
            <w:r w:rsidRPr="00C02E66">
              <w:rPr>
                <w:rFonts w:asciiTheme="minorHAnsi" w:hAnsiTheme="minorHAnsi" w:cstheme="minorHAnsi"/>
                <w:kern w:val="24"/>
                <w:sz w:val="22"/>
                <w:lang w:eastAsia="en-IN"/>
              </w:rPr>
              <w:t>Strengthen treatment of DSTB</w:t>
            </w:r>
          </w:p>
        </w:tc>
      </w:tr>
      <w:tr w:rsidR="00215A7D" w:rsidRPr="00C02E66" w14:paraId="422BA8B8" w14:textId="77777777" w:rsidTr="009B2236">
        <w:trPr>
          <w:trHeight w:val="20"/>
        </w:trPr>
        <w:tc>
          <w:tcPr>
            <w:tcW w:w="9090" w:type="dxa"/>
            <w:shd w:val="clear" w:color="auto" w:fill="E5E5E5" w:themeFill="accent3" w:themeFillTint="33"/>
            <w:tcMar>
              <w:top w:w="14" w:type="dxa"/>
              <w:left w:w="43" w:type="dxa"/>
              <w:bottom w:w="14" w:type="dxa"/>
              <w:right w:w="76" w:type="dxa"/>
            </w:tcMar>
          </w:tcPr>
          <w:p w14:paraId="105FB190" w14:textId="77777777" w:rsidR="00215A7D" w:rsidRPr="00C02E66" w:rsidRDefault="00215A7D" w:rsidP="00442A67">
            <w:pPr>
              <w:pStyle w:val="ListParagraph"/>
              <w:numPr>
                <w:ilvl w:val="1"/>
                <w:numId w:val="20"/>
              </w:numPr>
              <w:spacing w:before="0" w:after="0"/>
              <w:ind w:left="480" w:hanging="402"/>
              <w:jc w:val="both"/>
              <w:rPr>
                <w:rFonts w:asciiTheme="minorHAnsi" w:hAnsiTheme="minorHAnsi" w:cstheme="minorHAnsi"/>
                <w:kern w:val="24"/>
                <w:sz w:val="22"/>
                <w:lang w:eastAsia="en-IN"/>
              </w:rPr>
            </w:pPr>
            <w:r w:rsidRPr="00C02E66">
              <w:rPr>
                <w:rFonts w:asciiTheme="minorHAnsi" w:hAnsiTheme="minorHAnsi" w:cstheme="minorHAnsi"/>
                <w:kern w:val="24"/>
                <w:sz w:val="22"/>
                <w:lang w:eastAsia="en-IN"/>
              </w:rPr>
              <w:lastRenderedPageBreak/>
              <w:t xml:space="preserve">Expand treatment and management of DRTB </w:t>
            </w:r>
          </w:p>
        </w:tc>
      </w:tr>
      <w:tr w:rsidR="00215A7D" w:rsidRPr="00C02E66" w14:paraId="78F0A849" w14:textId="77777777" w:rsidTr="009B2236">
        <w:trPr>
          <w:trHeight w:val="20"/>
        </w:trPr>
        <w:tc>
          <w:tcPr>
            <w:tcW w:w="9090" w:type="dxa"/>
            <w:shd w:val="clear" w:color="auto" w:fill="E5E5E5" w:themeFill="accent3" w:themeFillTint="33"/>
            <w:tcMar>
              <w:top w:w="14" w:type="dxa"/>
              <w:left w:w="43" w:type="dxa"/>
              <w:bottom w:w="14" w:type="dxa"/>
              <w:right w:w="76" w:type="dxa"/>
            </w:tcMar>
          </w:tcPr>
          <w:p w14:paraId="0D6BBAF9" w14:textId="77777777" w:rsidR="00215A7D" w:rsidRPr="00C02E66" w:rsidRDefault="00215A7D" w:rsidP="00442A67">
            <w:pPr>
              <w:pStyle w:val="ListParagraph"/>
              <w:numPr>
                <w:ilvl w:val="1"/>
                <w:numId w:val="20"/>
              </w:numPr>
              <w:spacing w:before="0" w:after="0"/>
              <w:ind w:left="480" w:hanging="402"/>
              <w:jc w:val="both"/>
              <w:rPr>
                <w:rFonts w:asciiTheme="minorHAnsi" w:hAnsiTheme="minorHAnsi" w:cstheme="minorHAnsi"/>
                <w:kern w:val="24"/>
                <w:sz w:val="22"/>
                <w:lang w:eastAsia="en-IN"/>
              </w:rPr>
            </w:pPr>
            <w:r w:rsidRPr="00C02E66">
              <w:rPr>
                <w:rFonts w:asciiTheme="minorHAnsi" w:hAnsiTheme="minorHAnsi" w:cstheme="minorHAnsi"/>
                <w:kern w:val="24"/>
                <w:sz w:val="22"/>
                <w:lang w:eastAsia="en-IN"/>
              </w:rPr>
              <w:t>Address TB in priority populations</w:t>
            </w:r>
          </w:p>
        </w:tc>
      </w:tr>
      <w:tr w:rsidR="00D8726F" w:rsidRPr="00C02E66" w14:paraId="2AA7CB0E" w14:textId="77777777" w:rsidTr="009B2236">
        <w:trPr>
          <w:trHeight w:val="20"/>
        </w:trPr>
        <w:tc>
          <w:tcPr>
            <w:tcW w:w="9090" w:type="dxa"/>
            <w:shd w:val="clear" w:color="auto" w:fill="E5E5E5" w:themeFill="accent3" w:themeFillTint="33"/>
            <w:tcMar>
              <w:top w:w="14" w:type="dxa"/>
              <w:left w:w="43" w:type="dxa"/>
              <w:bottom w:w="14" w:type="dxa"/>
              <w:right w:w="76" w:type="dxa"/>
            </w:tcMar>
          </w:tcPr>
          <w:p w14:paraId="639D753F" w14:textId="76481AE5" w:rsidR="00D8726F" w:rsidRPr="00C02E66" w:rsidRDefault="00D8726F" w:rsidP="00442A67">
            <w:pPr>
              <w:pStyle w:val="ListParagraph"/>
              <w:numPr>
                <w:ilvl w:val="1"/>
                <w:numId w:val="20"/>
              </w:numPr>
              <w:spacing w:before="0" w:after="0"/>
              <w:ind w:left="480" w:hanging="402"/>
              <w:jc w:val="both"/>
              <w:rPr>
                <w:rFonts w:asciiTheme="minorHAnsi" w:hAnsiTheme="minorHAnsi" w:cstheme="minorHAnsi"/>
                <w:kern w:val="24"/>
                <w:sz w:val="22"/>
                <w:lang w:eastAsia="en-IN"/>
              </w:rPr>
            </w:pPr>
            <w:r>
              <w:rPr>
                <w:rFonts w:asciiTheme="minorHAnsi" w:hAnsiTheme="minorHAnsi" w:cstheme="minorHAnsi"/>
                <w:kern w:val="24"/>
                <w:sz w:val="22"/>
                <w:lang w:eastAsia="en-IN"/>
              </w:rPr>
              <w:t>Strengthen and expand coverage of patient support systems</w:t>
            </w:r>
          </w:p>
        </w:tc>
      </w:tr>
    </w:tbl>
    <w:p w14:paraId="174909BA" w14:textId="77777777" w:rsidR="00293B20" w:rsidRPr="00EC3830" w:rsidRDefault="000032F7" w:rsidP="00EC3830">
      <w:pPr>
        <w:jc w:val="both"/>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T</w:t>
      </w:r>
      <w:r w:rsidR="00B311DB" w:rsidRPr="00EC3830">
        <w:rPr>
          <w:rFonts w:asciiTheme="minorHAnsi" w:hAnsiTheme="minorHAnsi" w:cstheme="minorHAnsi"/>
          <w:b/>
          <w:color w:val="C86A07" w:themeColor="accent2" w:themeShade="BF"/>
          <w:sz w:val="28"/>
        </w:rPr>
        <w:t xml:space="preserve">he </w:t>
      </w:r>
      <w:r w:rsidR="00745C04" w:rsidRPr="00EC3830">
        <w:rPr>
          <w:rFonts w:asciiTheme="minorHAnsi" w:hAnsiTheme="minorHAnsi" w:cstheme="minorHAnsi"/>
          <w:b/>
          <w:color w:val="C86A07" w:themeColor="accent2" w:themeShade="BF"/>
          <w:sz w:val="28"/>
        </w:rPr>
        <w:t>prioritized</w:t>
      </w:r>
      <w:r w:rsidR="00B311DB" w:rsidRPr="00EC3830">
        <w:rPr>
          <w:rFonts w:asciiTheme="minorHAnsi" w:hAnsiTheme="minorHAnsi" w:cstheme="minorHAnsi"/>
          <w:b/>
          <w:color w:val="C86A07" w:themeColor="accent2" w:themeShade="BF"/>
          <w:sz w:val="28"/>
        </w:rPr>
        <w:t xml:space="preserve"> set of actions</w:t>
      </w:r>
      <w:r w:rsidR="00745C04" w:rsidRPr="00EC3830">
        <w:rPr>
          <w:rFonts w:asciiTheme="minorHAnsi" w:hAnsiTheme="minorHAnsi" w:cstheme="minorHAnsi"/>
          <w:b/>
          <w:color w:val="C86A07" w:themeColor="accent2" w:themeShade="BF"/>
          <w:sz w:val="28"/>
        </w:rPr>
        <w:t xml:space="preserve"> over the NSP period:</w:t>
      </w:r>
      <w:r w:rsidR="00607F43" w:rsidRPr="00EC3830">
        <w:rPr>
          <w:rFonts w:asciiTheme="minorHAnsi" w:hAnsiTheme="minorHAnsi" w:cstheme="minorHAnsi"/>
          <w:b/>
          <w:color w:val="C86A07" w:themeColor="accent2" w:themeShade="BF"/>
          <w:sz w:val="28"/>
        </w:rPr>
        <w:t xml:space="preserve"> </w:t>
      </w:r>
    </w:p>
    <w:p w14:paraId="44343143" w14:textId="6806F557" w:rsidR="00890123" w:rsidRPr="006F2A43" w:rsidRDefault="00ED4885" w:rsidP="00A93A30">
      <w:pPr>
        <w:jc w:val="both"/>
        <w:rPr>
          <w:rFonts w:asciiTheme="minorHAnsi" w:hAnsiTheme="minorHAnsi" w:cstheme="minorHAnsi"/>
          <w:bCs/>
          <w:sz w:val="22"/>
        </w:rPr>
      </w:pPr>
      <w:r>
        <w:rPr>
          <w:rFonts w:asciiTheme="minorHAnsi" w:hAnsiTheme="minorHAnsi" w:cstheme="minorHAnsi"/>
          <w:bCs/>
          <w:sz w:val="22"/>
        </w:rPr>
        <w:t>The NTEP will u</w:t>
      </w:r>
      <w:r w:rsidR="00A21FB1" w:rsidRPr="006F2A43">
        <w:rPr>
          <w:rFonts w:asciiTheme="minorHAnsi" w:hAnsiTheme="minorHAnsi" w:cstheme="minorHAnsi"/>
          <w:bCs/>
          <w:sz w:val="22"/>
        </w:rPr>
        <w:t xml:space="preserve">ndertake necessary structural and procedural changes to </w:t>
      </w:r>
      <w:r w:rsidR="00890123" w:rsidRPr="006F2A43">
        <w:rPr>
          <w:rFonts w:asciiTheme="minorHAnsi" w:hAnsiTheme="minorHAnsi" w:cstheme="minorHAnsi"/>
          <w:bCs/>
          <w:sz w:val="22"/>
        </w:rPr>
        <w:t xml:space="preserve">ensure a robust, responsive and agile </w:t>
      </w:r>
      <w:r w:rsidR="0050507C">
        <w:rPr>
          <w:rFonts w:asciiTheme="minorHAnsi" w:hAnsiTheme="minorHAnsi" w:cstheme="minorHAnsi"/>
          <w:bCs/>
          <w:sz w:val="22"/>
        </w:rPr>
        <w:t>NTEP</w:t>
      </w:r>
      <w:r w:rsidR="00890123" w:rsidRPr="006F2A43">
        <w:rPr>
          <w:rFonts w:asciiTheme="minorHAnsi" w:hAnsiTheme="minorHAnsi" w:cstheme="minorHAnsi"/>
          <w:bCs/>
          <w:sz w:val="22"/>
        </w:rPr>
        <w:t xml:space="preserve"> that can </w:t>
      </w:r>
      <w:r w:rsidR="005C79C0" w:rsidRPr="006F2A43">
        <w:rPr>
          <w:rFonts w:asciiTheme="minorHAnsi" w:hAnsiTheme="minorHAnsi" w:cstheme="minorHAnsi"/>
          <w:bCs/>
          <w:sz w:val="22"/>
        </w:rPr>
        <w:t xml:space="preserve">safeguard and </w:t>
      </w:r>
      <w:r w:rsidR="00890123" w:rsidRPr="006F2A43">
        <w:rPr>
          <w:rFonts w:asciiTheme="minorHAnsi" w:hAnsiTheme="minorHAnsi" w:cstheme="minorHAnsi"/>
          <w:bCs/>
          <w:sz w:val="22"/>
        </w:rPr>
        <w:t>address the concerns</w:t>
      </w:r>
      <w:r w:rsidR="005C79C0" w:rsidRPr="006F2A43">
        <w:rPr>
          <w:rFonts w:asciiTheme="minorHAnsi" w:hAnsiTheme="minorHAnsi" w:cstheme="minorHAnsi"/>
          <w:bCs/>
          <w:sz w:val="22"/>
        </w:rPr>
        <w:t xml:space="preserve"> of TB patients and providers</w:t>
      </w:r>
      <w:r w:rsidR="00890123" w:rsidRPr="006F2A43">
        <w:rPr>
          <w:rFonts w:asciiTheme="minorHAnsi" w:hAnsiTheme="minorHAnsi" w:cstheme="minorHAnsi"/>
          <w:bCs/>
          <w:sz w:val="22"/>
        </w:rPr>
        <w:t xml:space="preserve"> </w:t>
      </w:r>
      <w:r w:rsidR="005C79C0" w:rsidRPr="006F2A43">
        <w:rPr>
          <w:rFonts w:asciiTheme="minorHAnsi" w:hAnsiTheme="minorHAnsi" w:cstheme="minorHAnsi"/>
          <w:bCs/>
          <w:sz w:val="22"/>
        </w:rPr>
        <w:t>during times of complex emergencies and unprecedented crisis</w:t>
      </w:r>
      <w:r w:rsidR="00A21FB1" w:rsidRPr="006F2A43">
        <w:rPr>
          <w:rFonts w:asciiTheme="minorHAnsi" w:hAnsiTheme="minorHAnsi" w:cstheme="minorHAnsi"/>
          <w:bCs/>
          <w:sz w:val="22"/>
        </w:rPr>
        <w:t>.</w:t>
      </w:r>
    </w:p>
    <w:p w14:paraId="200B5F6F" w14:textId="3D23F0A1" w:rsidR="005E4839" w:rsidRPr="006F2A43" w:rsidRDefault="00A93A30" w:rsidP="00442A67">
      <w:pPr>
        <w:pStyle w:val="ListParagraph"/>
        <w:numPr>
          <w:ilvl w:val="0"/>
          <w:numId w:val="21"/>
        </w:numPr>
        <w:spacing w:before="0"/>
        <w:jc w:val="both"/>
        <w:rPr>
          <w:rFonts w:asciiTheme="minorHAnsi" w:hAnsiTheme="minorHAnsi" w:cstheme="minorHAnsi"/>
          <w:bCs/>
          <w:sz w:val="22"/>
        </w:rPr>
      </w:pPr>
      <w:r>
        <w:rPr>
          <w:rFonts w:asciiTheme="minorHAnsi" w:hAnsiTheme="minorHAnsi" w:cstheme="minorHAnsi"/>
          <w:bCs/>
          <w:sz w:val="22"/>
        </w:rPr>
        <w:t xml:space="preserve">The NTEP will </w:t>
      </w:r>
      <w:r w:rsidR="00ED4885" w:rsidRPr="00D91971">
        <w:rPr>
          <w:rFonts w:asciiTheme="minorHAnsi" w:hAnsiTheme="minorHAnsi" w:cstheme="minorHAnsi"/>
          <w:b/>
          <w:bCs/>
          <w:sz w:val="22"/>
        </w:rPr>
        <w:t>s</w:t>
      </w:r>
      <w:r w:rsidR="005E4839" w:rsidRPr="00D91971">
        <w:rPr>
          <w:rFonts w:asciiTheme="minorHAnsi" w:hAnsiTheme="minorHAnsi" w:cstheme="minorHAnsi"/>
          <w:b/>
          <w:bCs/>
          <w:sz w:val="22"/>
        </w:rPr>
        <w:t xml:space="preserve">ecure and sustain </w:t>
      </w:r>
      <w:r w:rsidRPr="00D91971">
        <w:rPr>
          <w:rFonts w:asciiTheme="minorHAnsi" w:hAnsiTheme="minorHAnsi" w:cstheme="minorHAnsi"/>
          <w:b/>
          <w:bCs/>
          <w:sz w:val="22"/>
        </w:rPr>
        <w:t>increased</w:t>
      </w:r>
      <w:r w:rsidR="005E4839" w:rsidRPr="00D91971">
        <w:rPr>
          <w:rFonts w:asciiTheme="minorHAnsi" w:hAnsiTheme="minorHAnsi" w:cstheme="minorHAnsi"/>
          <w:b/>
          <w:bCs/>
          <w:sz w:val="22"/>
        </w:rPr>
        <w:t xml:space="preserve"> </w:t>
      </w:r>
      <w:r w:rsidR="00EF0909" w:rsidRPr="00D91971">
        <w:rPr>
          <w:rFonts w:asciiTheme="minorHAnsi" w:hAnsiTheme="minorHAnsi" w:cstheme="minorHAnsi"/>
          <w:b/>
          <w:bCs/>
          <w:sz w:val="22"/>
        </w:rPr>
        <w:t xml:space="preserve">domestic </w:t>
      </w:r>
      <w:r w:rsidR="005E4839" w:rsidRPr="00D91971">
        <w:rPr>
          <w:rFonts w:asciiTheme="minorHAnsi" w:hAnsiTheme="minorHAnsi" w:cstheme="minorHAnsi"/>
          <w:b/>
          <w:bCs/>
          <w:sz w:val="22"/>
        </w:rPr>
        <w:t>funding</w:t>
      </w:r>
      <w:r w:rsidR="00890123" w:rsidRPr="006F2A43">
        <w:rPr>
          <w:rFonts w:asciiTheme="minorHAnsi" w:hAnsiTheme="minorHAnsi" w:cstheme="minorHAnsi"/>
          <w:bCs/>
          <w:sz w:val="22"/>
        </w:rPr>
        <w:t xml:space="preserve"> commensurate with the enhanced requirements of this NSP</w:t>
      </w:r>
      <w:r w:rsidR="005E4839" w:rsidRPr="006F2A43">
        <w:rPr>
          <w:rFonts w:asciiTheme="minorHAnsi" w:hAnsiTheme="minorHAnsi" w:cstheme="minorHAnsi"/>
          <w:bCs/>
          <w:sz w:val="22"/>
        </w:rPr>
        <w:t xml:space="preserve"> to End TB in </w:t>
      </w:r>
      <w:r w:rsidR="00EF0909" w:rsidRPr="006F2A43">
        <w:rPr>
          <w:rFonts w:asciiTheme="minorHAnsi" w:hAnsiTheme="minorHAnsi" w:cstheme="minorHAnsi"/>
          <w:bCs/>
          <w:sz w:val="22"/>
        </w:rPr>
        <w:t>India</w:t>
      </w:r>
      <w:r w:rsidR="00890123" w:rsidRPr="006F2A43">
        <w:rPr>
          <w:rFonts w:asciiTheme="minorHAnsi" w:hAnsiTheme="minorHAnsi" w:cstheme="minorHAnsi"/>
          <w:bCs/>
          <w:sz w:val="22"/>
        </w:rPr>
        <w:t xml:space="preserve"> by 2025</w:t>
      </w:r>
      <w:r w:rsidR="00ED4885">
        <w:rPr>
          <w:rFonts w:asciiTheme="minorHAnsi" w:hAnsiTheme="minorHAnsi" w:cstheme="minorHAnsi"/>
          <w:bCs/>
          <w:sz w:val="22"/>
        </w:rPr>
        <w:t>.</w:t>
      </w:r>
    </w:p>
    <w:p w14:paraId="43D3C928" w14:textId="541D6AE5" w:rsidR="00453802" w:rsidRPr="00C86E48" w:rsidRDefault="00453802" w:rsidP="00442A67">
      <w:pPr>
        <w:pStyle w:val="ListParagraph"/>
        <w:numPr>
          <w:ilvl w:val="0"/>
          <w:numId w:val="21"/>
        </w:numPr>
        <w:jc w:val="both"/>
        <w:rPr>
          <w:rFonts w:asciiTheme="minorHAnsi" w:hAnsiTheme="minorHAnsi" w:cstheme="minorHAnsi"/>
          <w:bCs/>
          <w:sz w:val="22"/>
        </w:rPr>
      </w:pPr>
      <w:r>
        <w:rPr>
          <w:rFonts w:asciiTheme="minorHAnsi" w:hAnsiTheme="minorHAnsi" w:cstheme="minorHAnsi"/>
          <w:bCs/>
          <w:sz w:val="22"/>
        </w:rPr>
        <w:t>It will d</w:t>
      </w:r>
      <w:r w:rsidRPr="006F2A43">
        <w:rPr>
          <w:rFonts w:asciiTheme="minorHAnsi" w:hAnsiTheme="minorHAnsi" w:cstheme="minorHAnsi"/>
          <w:bCs/>
          <w:sz w:val="22"/>
        </w:rPr>
        <w:t xml:space="preserve">eploy and evaluate ambitious plans to implement </w:t>
      </w:r>
      <w:r w:rsidRPr="00200EBC">
        <w:rPr>
          <w:rFonts w:asciiTheme="minorHAnsi" w:hAnsiTheme="minorHAnsi" w:cstheme="minorHAnsi"/>
          <w:b/>
          <w:bCs/>
          <w:sz w:val="22"/>
        </w:rPr>
        <w:t>TB preventive treatment</w:t>
      </w:r>
      <w:r w:rsidRPr="006F2A43">
        <w:rPr>
          <w:rFonts w:asciiTheme="minorHAnsi" w:hAnsiTheme="minorHAnsi" w:cstheme="minorHAnsi"/>
          <w:bCs/>
          <w:sz w:val="22"/>
        </w:rPr>
        <w:t xml:space="preserve"> of household and other close contacts, children, PLHIV and other locally-defined high-risk groups, using new,</w:t>
      </w:r>
      <w:r w:rsidR="0019425D">
        <w:rPr>
          <w:rFonts w:asciiTheme="minorHAnsi" w:hAnsiTheme="minorHAnsi" w:cstheme="minorHAnsi"/>
          <w:bCs/>
          <w:sz w:val="22"/>
        </w:rPr>
        <w:t xml:space="preserve"> and</w:t>
      </w:r>
      <w:r w:rsidRPr="006F2A43">
        <w:rPr>
          <w:rFonts w:asciiTheme="minorHAnsi" w:hAnsiTheme="minorHAnsi" w:cstheme="minorHAnsi"/>
          <w:bCs/>
          <w:sz w:val="22"/>
        </w:rPr>
        <w:t xml:space="preserve"> shorter </w:t>
      </w:r>
      <w:r w:rsidR="00C86E48" w:rsidRPr="638E7CB3">
        <w:rPr>
          <w:rFonts w:ascii="Calibri" w:hAnsi="Calibri" w:cs="Calibri"/>
          <w:color w:val="000000" w:themeColor="text1"/>
          <w:sz w:val="22"/>
        </w:rPr>
        <w:t xml:space="preserve">regimens, building programme capacity for systematic contact investigation, detection of TB infection among recommended target populations, so as </w:t>
      </w:r>
      <w:r w:rsidR="00C86E48" w:rsidRPr="00C86E48">
        <w:rPr>
          <w:rFonts w:ascii="Calibri" w:hAnsi="Calibri" w:cs="Calibri"/>
          <w:sz w:val="22"/>
        </w:rPr>
        <w:t>to reach an expected 6 million eligible persons annually with TPT by 2022</w:t>
      </w:r>
      <w:r w:rsidRPr="00C86E48">
        <w:rPr>
          <w:rFonts w:asciiTheme="minorHAnsi" w:hAnsiTheme="minorHAnsi" w:cstheme="minorHAnsi"/>
          <w:bCs/>
          <w:sz w:val="22"/>
        </w:rPr>
        <w:t>.</w:t>
      </w:r>
    </w:p>
    <w:p w14:paraId="22455A78" w14:textId="004ED41B" w:rsidR="0001023B" w:rsidRPr="00C86E48" w:rsidRDefault="00A93A30" w:rsidP="00442A67">
      <w:pPr>
        <w:pStyle w:val="ListParagraph"/>
        <w:numPr>
          <w:ilvl w:val="0"/>
          <w:numId w:val="21"/>
        </w:numPr>
        <w:jc w:val="both"/>
        <w:rPr>
          <w:rFonts w:asciiTheme="minorHAnsi" w:hAnsiTheme="minorHAnsi" w:cstheme="minorHAnsi"/>
          <w:bCs/>
          <w:sz w:val="22"/>
        </w:rPr>
      </w:pPr>
      <w:r w:rsidRPr="00C86E48">
        <w:rPr>
          <w:rFonts w:asciiTheme="minorHAnsi" w:hAnsiTheme="minorHAnsi" w:cstheme="minorHAnsi"/>
          <w:bCs/>
          <w:sz w:val="22"/>
        </w:rPr>
        <w:t>P</w:t>
      </w:r>
      <w:r w:rsidR="005E4839" w:rsidRPr="00C86E48">
        <w:rPr>
          <w:rFonts w:asciiTheme="minorHAnsi" w:hAnsiTheme="minorHAnsi" w:cstheme="minorHAnsi"/>
          <w:bCs/>
          <w:sz w:val="22"/>
        </w:rPr>
        <w:t xml:space="preserve">rivate </w:t>
      </w:r>
      <w:r w:rsidR="006863AB" w:rsidRPr="00C86E48">
        <w:rPr>
          <w:rFonts w:asciiTheme="minorHAnsi" w:hAnsiTheme="minorHAnsi" w:cstheme="minorHAnsi"/>
          <w:bCs/>
          <w:sz w:val="22"/>
        </w:rPr>
        <w:t>sector</w:t>
      </w:r>
      <w:r w:rsidR="0001023B" w:rsidRPr="00C86E48">
        <w:rPr>
          <w:rFonts w:asciiTheme="minorHAnsi" w:hAnsiTheme="minorHAnsi" w:cstheme="minorHAnsi"/>
          <w:bCs/>
          <w:sz w:val="22"/>
        </w:rPr>
        <w:t xml:space="preserve"> engagement</w:t>
      </w:r>
      <w:r w:rsidRPr="00C86E48">
        <w:rPr>
          <w:rFonts w:asciiTheme="minorHAnsi" w:hAnsiTheme="minorHAnsi" w:cstheme="minorHAnsi"/>
          <w:bCs/>
          <w:sz w:val="22"/>
        </w:rPr>
        <w:t xml:space="preserve"> will be scaled up </w:t>
      </w:r>
      <w:r w:rsidR="00200EBC" w:rsidRPr="00C86E48">
        <w:rPr>
          <w:rFonts w:asciiTheme="minorHAnsi" w:hAnsiTheme="minorHAnsi" w:cstheme="minorHAnsi"/>
          <w:bCs/>
          <w:sz w:val="22"/>
        </w:rPr>
        <w:t>and sustained</w:t>
      </w:r>
      <w:r w:rsidR="00E42DF0" w:rsidRPr="00C86E48">
        <w:rPr>
          <w:rFonts w:asciiTheme="minorHAnsi" w:hAnsiTheme="minorHAnsi" w:cstheme="minorHAnsi"/>
          <w:bCs/>
          <w:sz w:val="22"/>
        </w:rPr>
        <w:t xml:space="preserve"> to yield an additional 5.5 million TB patients</w:t>
      </w:r>
      <w:r w:rsidR="0001023B" w:rsidRPr="00C86E48">
        <w:rPr>
          <w:rFonts w:asciiTheme="minorHAnsi" w:hAnsiTheme="minorHAnsi" w:cstheme="minorHAnsi"/>
          <w:bCs/>
          <w:sz w:val="22"/>
        </w:rPr>
        <w:t xml:space="preserve">. </w:t>
      </w:r>
    </w:p>
    <w:p w14:paraId="68B3F9D7" w14:textId="6EEEC8F7" w:rsidR="005E4839" w:rsidRDefault="00BA7AFF" w:rsidP="00442A67">
      <w:pPr>
        <w:pStyle w:val="ListParagraph"/>
        <w:numPr>
          <w:ilvl w:val="0"/>
          <w:numId w:val="21"/>
        </w:numPr>
        <w:spacing w:before="0"/>
        <w:jc w:val="both"/>
        <w:rPr>
          <w:rFonts w:asciiTheme="minorHAnsi" w:hAnsiTheme="minorHAnsi" w:cstheme="minorHAnsi"/>
          <w:bCs/>
          <w:sz w:val="22"/>
        </w:rPr>
      </w:pPr>
      <w:r>
        <w:rPr>
          <w:rFonts w:asciiTheme="minorHAnsi" w:hAnsiTheme="minorHAnsi" w:cstheme="minorHAnsi"/>
          <w:bCs/>
          <w:sz w:val="22"/>
        </w:rPr>
        <w:t>E</w:t>
      </w:r>
      <w:r w:rsidR="005C79C0" w:rsidRPr="006F2A43">
        <w:rPr>
          <w:rFonts w:asciiTheme="minorHAnsi" w:hAnsiTheme="minorHAnsi" w:cstheme="minorHAnsi"/>
          <w:bCs/>
          <w:sz w:val="22"/>
        </w:rPr>
        <w:t>xpan</w:t>
      </w:r>
      <w:r>
        <w:rPr>
          <w:rFonts w:asciiTheme="minorHAnsi" w:hAnsiTheme="minorHAnsi" w:cstheme="minorHAnsi"/>
          <w:bCs/>
          <w:sz w:val="22"/>
        </w:rPr>
        <w:t>d</w:t>
      </w:r>
      <w:r w:rsidR="005C79C0" w:rsidRPr="006F2A43">
        <w:rPr>
          <w:rFonts w:asciiTheme="minorHAnsi" w:hAnsiTheme="minorHAnsi" w:cstheme="minorHAnsi"/>
          <w:bCs/>
          <w:sz w:val="22"/>
        </w:rPr>
        <w:t xml:space="preserve"> the </w:t>
      </w:r>
      <w:r w:rsidR="005E4839" w:rsidRPr="00200EBC">
        <w:rPr>
          <w:rFonts w:asciiTheme="minorHAnsi" w:hAnsiTheme="minorHAnsi" w:cstheme="minorHAnsi"/>
          <w:b/>
          <w:bCs/>
          <w:sz w:val="22"/>
        </w:rPr>
        <w:t xml:space="preserve">social protection </w:t>
      </w:r>
      <w:r w:rsidR="005C79C0" w:rsidRPr="00200EBC">
        <w:rPr>
          <w:rFonts w:asciiTheme="minorHAnsi" w:hAnsiTheme="minorHAnsi" w:cstheme="minorHAnsi"/>
          <w:b/>
          <w:bCs/>
          <w:sz w:val="22"/>
        </w:rPr>
        <w:t>cover</w:t>
      </w:r>
      <w:r w:rsidR="005C79C0" w:rsidRPr="006F2A43">
        <w:rPr>
          <w:rFonts w:asciiTheme="minorHAnsi" w:hAnsiTheme="minorHAnsi" w:cstheme="minorHAnsi"/>
          <w:bCs/>
          <w:sz w:val="22"/>
        </w:rPr>
        <w:t xml:space="preserve"> </w:t>
      </w:r>
      <w:r w:rsidR="005E4839" w:rsidRPr="006F2A43">
        <w:rPr>
          <w:rFonts w:asciiTheme="minorHAnsi" w:hAnsiTheme="minorHAnsi" w:cstheme="minorHAnsi"/>
          <w:bCs/>
          <w:sz w:val="22"/>
        </w:rPr>
        <w:t>for people with TB and their families</w:t>
      </w:r>
      <w:r w:rsidR="00ED4885">
        <w:rPr>
          <w:rFonts w:asciiTheme="minorHAnsi" w:hAnsiTheme="minorHAnsi" w:cstheme="minorHAnsi"/>
          <w:bCs/>
          <w:sz w:val="22"/>
        </w:rPr>
        <w:t xml:space="preserve">. </w:t>
      </w:r>
    </w:p>
    <w:p w14:paraId="2DE05287" w14:textId="091AD091" w:rsidR="00EE436C" w:rsidRPr="00D33829" w:rsidRDefault="00EE436C" w:rsidP="00442A67">
      <w:pPr>
        <w:pStyle w:val="ListParagraph"/>
        <w:numPr>
          <w:ilvl w:val="0"/>
          <w:numId w:val="21"/>
        </w:numPr>
        <w:spacing w:before="0" w:after="0"/>
        <w:contextualSpacing w:val="0"/>
        <w:jc w:val="both"/>
        <w:rPr>
          <w:rFonts w:asciiTheme="minorHAnsi" w:hAnsiTheme="minorHAnsi" w:cstheme="minorHAnsi"/>
          <w:bCs/>
          <w:sz w:val="22"/>
          <w:lang w:val="en-IN"/>
        </w:rPr>
      </w:pPr>
      <w:r w:rsidRPr="00D33829">
        <w:rPr>
          <w:rFonts w:asciiTheme="minorHAnsi" w:hAnsiTheme="minorHAnsi" w:cstheme="minorHAnsi"/>
          <w:sz w:val="22"/>
        </w:rPr>
        <w:t xml:space="preserve">It will aggressively pursue the expansion of </w:t>
      </w:r>
      <w:r w:rsidR="00D91971" w:rsidRPr="00D91971">
        <w:rPr>
          <w:rFonts w:asciiTheme="minorHAnsi" w:hAnsiTheme="minorHAnsi" w:cstheme="minorHAnsi"/>
          <w:b/>
          <w:sz w:val="22"/>
        </w:rPr>
        <w:t>NIKSHAY</w:t>
      </w:r>
      <w:r w:rsidR="00D91971">
        <w:rPr>
          <w:rFonts w:asciiTheme="minorHAnsi" w:hAnsiTheme="minorHAnsi" w:cstheme="minorHAnsi"/>
          <w:sz w:val="22"/>
        </w:rPr>
        <w:t xml:space="preserve"> and the related </w:t>
      </w:r>
      <w:r w:rsidRPr="00D91971">
        <w:rPr>
          <w:rFonts w:asciiTheme="minorHAnsi" w:hAnsiTheme="minorHAnsi" w:cstheme="minorHAnsi"/>
          <w:b/>
          <w:sz w:val="22"/>
        </w:rPr>
        <w:t>digital information ecosystem</w:t>
      </w:r>
      <w:r w:rsidRPr="00D33829">
        <w:rPr>
          <w:rFonts w:asciiTheme="minorHAnsi" w:hAnsiTheme="minorHAnsi" w:cstheme="minorHAnsi"/>
          <w:sz w:val="22"/>
        </w:rPr>
        <w:t xml:space="preserve"> </w:t>
      </w:r>
      <w:r w:rsidRPr="00D33829">
        <w:rPr>
          <w:rFonts w:asciiTheme="minorHAnsi" w:hAnsiTheme="minorHAnsi" w:cstheme="minorHAnsi"/>
          <w:bCs/>
          <w:sz w:val="22"/>
        </w:rPr>
        <w:t>complete with adopting and effectively applying artificial Intelligence and analytics,</w:t>
      </w:r>
      <w:r w:rsidRPr="00D33829">
        <w:rPr>
          <w:rFonts w:asciiTheme="minorHAnsi" w:hAnsiTheme="minorHAnsi" w:cstheme="minorHAnsi"/>
          <w:sz w:val="22"/>
        </w:rPr>
        <w:t xml:space="preserve"> to drive</w:t>
      </w:r>
      <w:r w:rsidRPr="00D33829">
        <w:rPr>
          <w:rFonts w:asciiTheme="minorHAnsi" w:hAnsiTheme="minorHAnsi" w:cstheme="minorHAnsi"/>
          <w:b/>
          <w:bCs/>
          <w:sz w:val="22"/>
        </w:rPr>
        <w:t xml:space="preserve"> </w:t>
      </w:r>
      <w:r w:rsidRPr="00D33829">
        <w:rPr>
          <w:rFonts w:asciiTheme="minorHAnsi" w:hAnsiTheme="minorHAnsi" w:cstheme="minorHAnsi"/>
          <w:bCs/>
          <w:sz w:val="22"/>
        </w:rPr>
        <w:t>efficient service delivery and responsive program management.</w:t>
      </w:r>
    </w:p>
    <w:p w14:paraId="33089A65" w14:textId="6E0803E1" w:rsidR="00200EBC" w:rsidRPr="00200EBC" w:rsidRDefault="00D91971" w:rsidP="00442A67">
      <w:pPr>
        <w:pStyle w:val="ListParagraph"/>
        <w:numPr>
          <w:ilvl w:val="0"/>
          <w:numId w:val="21"/>
        </w:numPr>
        <w:spacing w:before="0" w:after="0"/>
        <w:contextualSpacing w:val="0"/>
        <w:jc w:val="both"/>
        <w:rPr>
          <w:rFonts w:asciiTheme="minorHAnsi" w:hAnsiTheme="minorHAnsi" w:cstheme="minorHAnsi"/>
          <w:bCs/>
          <w:sz w:val="22"/>
          <w:lang w:val="en-IN"/>
        </w:rPr>
      </w:pPr>
      <w:r>
        <w:rPr>
          <w:rFonts w:asciiTheme="minorHAnsi" w:hAnsiTheme="minorHAnsi" w:cstheme="minorHAnsi"/>
          <w:bCs/>
          <w:sz w:val="22"/>
          <w:lang w:val="en"/>
        </w:rPr>
        <w:t xml:space="preserve">In addition it will </w:t>
      </w:r>
      <w:r w:rsidRPr="006F2A43">
        <w:rPr>
          <w:rFonts w:asciiTheme="minorHAnsi" w:hAnsiTheme="minorHAnsi" w:cstheme="minorHAnsi"/>
          <w:bCs/>
          <w:sz w:val="22"/>
          <w:lang w:val="en"/>
        </w:rPr>
        <w:t xml:space="preserve">scale-up </w:t>
      </w:r>
      <w:r w:rsidRPr="00C86E48">
        <w:rPr>
          <w:rFonts w:asciiTheme="minorHAnsi" w:hAnsiTheme="minorHAnsi" w:cstheme="minorHAnsi"/>
          <w:b/>
          <w:bCs/>
          <w:sz w:val="22"/>
          <w:lang w:val="en"/>
        </w:rPr>
        <w:t>advanced diagnostics services</w:t>
      </w:r>
      <w:r w:rsidRPr="006F2A43">
        <w:rPr>
          <w:rFonts w:asciiTheme="minorHAnsi" w:hAnsiTheme="minorHAnsi" w:cstheme="minorHAnsi"/>
          <w:bCs/>
          <w:sz w:val="22"/>
          <w:lang w:val="en"/>
        </w:rPr>
        <w:t xml:space="preserve"> and </w:t>
      </w:r>
      <w:r w:rsidRPr="00C86E48">
        <w:rPr>
          <w:rFonts w:asciiTheme="minorHAnsi" w:hAnsiTheme="minorHAnsi" w:cstheme="minorHAnsi"/>
          <w:b/>
          <w:bCs/>
          <w:sz w:val="22"/>
          <w:lang w:val="en"/>
        </w:rPr>
        <w:t>TB surveillance capacity</w:t>
      </w:r>
      <w:r>
        <w:rPr>
          <w:rFonts w:asciiTheme="minorHAnsi" w:hAnsiTheme="minorHAnsi" w:cstheme="minorHAnsi"/>
          <w:bCs/>
          <w:sz w:val="22"/>
          <w:lang w:val="en"/>
        </w:rPr>
        <w:t xml:space="preserve"> by </w:t>
      </w:r>
      <w:r w:rsidRPr="00D91971">
        <w:rPr>
          <w:rFonts w:asciiTheme="minorHAnsi" w:hAnsiTheme="minorHAnsi" w:cstheme="minorHAnsi"/>
          <w:b/>
          <w:bCs/>
          <w:sz w:val="22"/>
          <w:lang w:val="en"/>
        </w:rPr>
        <w:t>replacing sputum microscopy services</w:t>
      </w:r>
      <w:r>
        <w:rPr>
          <w:rFonts w:asciiTheme="minorHAnsi" w:hAnsiTheme="minorHAnsi" w:cstheme="minorHAnsi"/>
          <w:bCs/>
          <w:sz w:val="22"/>
          <w:lang w:val="en"/>
        </w:rPr>
        <w:t xml:space="preserve"> with </w:t>
      </w:r>
      <w:r w:rsidR="00A21FB1" w:rsidRPr="006F2A43">
        <w:rPr>
          <w:rFonts w:asciiTheme="minorHAnsi" w:hAnsiTheme="minorHAnsi" w:cstheme="minorHAnsi"/>
          <w:bCs/>
          <w:sz w:val="22"/>
          <w:lang w:val="en"/>
        </w:rPr>
        <w:t xml:space="preserve">new </w:t>
      </w:r>
      <w:r w:rsidR="00A21FB1" w:rsidRPr="00C86E48">
        <w:rPr>
          <w:rFonts w:asciiTheme="minorHAnsi" w:hAnsiTheme="minorHAnsi" w:cstheme="minorHAnsi"/>
          <w:b/>
          <w:bCs/>
          <w:sz w:val="22"/>
          <w:lang w:val="en"/>
        </w:rPr>
        <w:t>precision diagnostic tools</w:t>
      </w:r>
      <w:r w:rsidR="001B3083">
        <w:rPr>
          <w:rFonts w:asciiTheme="minorHAnsi" w:hAnsiTheme="minorHAnsi" w:cstheme="minorHAnsi"/>
          <w:bCs/>
          <w:sz w:val="22"/>
          <w:lang w:val="en"/>
        </w:rPr>
        <w:t xml:space="preserve"> in all TB diagnostic centres in the country</w:t>
      </w:r>
      <w:r w:rsidR="00A21FB1" w:rsidRPr="006F2A43">
        <w:rPr>
          <w:rFonts w:asciiTheme="minorHAnsi" w:hAnsiTheme="minorHAnsi" w:cstheme="minorHAnsi"/>
          <w:bCs/>
          <w:sz w:val="22"/>
          <w:lang w:val="en"/>
        </w:rPr>
        <w:t xml:space="preserve">.  </w:t>
      </w:r>
    </w:p>
    <w:p w14:paraId="5B849986" w14:textId="3F2A3152" w:rsidR="005E4839" w:rsidRPr="006F2A43" w:rsidRDefault="00ED4885" w:rsidP="00442A67">
      <w:pPr>
        <w:pStyle w:val="ListParagraph"/>
        <w:numPr>
          <w:ilvl w:val="0"/>
          <w:numId w:val="21"/>
        </w:numPr>
        <w:spacing w:before="0" w:after="0"/>
        <w:contextualSpacing w:val="0"/>
        <w:jc w:val="both"/>
        <w:rPr>
          <w:rFonts w:asciiTheme="minorHAnsi" w:hAnsiTheme="minorHAnsi" w:cstheme="minorHAnsi"/>
          <w:bCs/>
          <w:sz w:val="22"/>
          <w:lang w:val="en-IN"/>
        </w:rPr>
      </w:pPr>
      <w:r>
        <w:rPr>
          <w:rFonts w:asciiTheme="minorHAnsi" w:hAnsiTheme="minorHAnsi" w:cstheme="minorHAnsi"/>
          <w:bCs/>
          <w:sz w:val="22"/>
          <w:lang w:val="en-IN"/>
        </w:rPr>
        <w:t xml:space="preserve">The programme will </w:t>
      </w:r>
      <w:r w:rsidRPr="00BA7AFF">
        <w:rPr>
          <w:rFonts w:asciiTheme="minorHAnsi" w:hAnsiTheme="minorHAnsi" w:cstheme="minorHAnsi"/>
          <w:bCs/>
          <w:sz w:val="22"/>
          <w:lang w:val="en-IN"/>
        </w:rPr>
        <w:t>c</w:t>
      </w:r>
      <w:r w:rsidR="00A21FB1" w:rsidRPr="00BA7AFF">
        <w:rPr>
          <w:rFonts w:asciiTheme="minorHAnsi" w:hAnsiTheme="minorHAnsi" w:cstheme="minorHAnsi"/>
          <w:bCs/>
          <w:sz w:val="22"/>
          <w:lang w:val="en-IN"/>
        </w:rPr>
        <w:t xml:space="preserve">ontinue </w:t>
      </w:r>
      <w:r w:rsidR="00A21FB1" w:rsidRPr="006F2A43">
        <w:rPr>
          <w:rFonts w:asciiTheme="minorHAnsi" w:hAnsiTheme="minorHAnsi" w:cstheme="minorHAnsi"/>
          <w:bCs/>
          <w:sz w:val="22"/>
          <w:lang w:val="en-IN"/>
        </w:rPr>
        <w:t>to address the</w:t>
      </w:r>
      <w:r w:rsidR="00C86E48">
        <w:rPr>
          <w:rFonts w:asciiTheme="minorHAnsi" w:hAnsiTheme="minorHAnsi" w:cstheme="minorHAnsi"/>
          <w:bCs/>
          <w:sz w:val="22"/>
          <w:lang w:val="en-IN"/>
        </w:rPr>
        <w:t xml:space="preserve"> </w:t>
      </w:r>
      <w:r w:rsidR="00A21FB1" w:rsidRPr="00D91971">
        <w:rPr>
          <w:rFonts w:asciiTheme="minorHAnsi" w:hAnsiTheme="minorHAnsi" w:cstheme="minorHAnsi"/>
          <w:b/>
          <w:bCs/>
          <w:sz w:val="22"/>
          <w:lang w:val="en-IN"/>
        </w:rPr>
        <w:t>“missing</w:t>
      </w:r>
      <w:r w:rsidR="00C86E48">
        <w:rPr>
          <w:rFonts w:asciiTheme="minorHAnsi" w:hAnsiTheme="minorHAnsi" w:cstheme="minorHAnsi"/>
          <w:b/>
          <w:bCs/>
          <w:sz w:val="22"/>
          <w:lang w:val="en-IN"/>
        </w:rPr>
        <w:t xml:space="preserve"> persons with</w:t>
      </w:r>
      <w:r w:rsidR="00A21FB1" w:rsidRPr="00D91971">
        <w:rPr>
          <w:rFonts w:asciiTheme="minorHAnsi" w:hAnsiTheme="minorHAnsi" w:cstheme="minorHAnsi"/>
          <w:b/>
          <w:bCs/>
          <w:sz w:val="22"/>
          <w:lang w:val="en-IN"/>
        </w:rPr>
        <w:t xml:space="preserve"> TB”</w:t>
      </w:r>
      <w:r w:rsidR="001B3083">
        <w:rPr>
          <w:rFonts w:asciiTheme="minorHAnsi" w:hAnsiTheme="minorHAnsi" w:cstheme="minorHAnsi"/>
          <w:b/>
          <w:bCs/>
          <w:sz w:val="22"/>
          <w:lang w:val="en-IN"/>
        </w:rPr>
        <w:t xml:space="preserve"> </w:t>
      </w:r>
      <w:r w:rsidR="001B3083" w:rsidRPr="001B3083">
        <w:rPr>
          <w:rFonts w:asciiTheme="minorHAnsi" w:hAnsiTheme="minorHAnsi" w:cstheme="minorHAnsi"/>
          <w:b/>
          <w:bCs/>
          <w:sz w:val="22"/>
          <w:lang w:val="en-IN"/>
        </w:rPr>
        <w:t>and care delivery across sequential stages of care</w:t>
      </w:r>
      <w:r w:rsidR="006863AB" w:rsidRPr="006F2A43">
        <w:rPr>
          <w:rFonts w:asciiTheme="minorHAnsi" w:hAnsiTheme="minorHAnsi" w:cstheme="minorHAnsi"/>
          <w:bCs/>
          <w:sz w:val="22"/>
          <w:lang w:val="en-IN"/>
        </w:rPr>
        <w:t xml:space="preserve"> </w:t>
      </w:r>
      <w:r w:rsidR="00A21FB1" w:rsidRPr="006F2A43">
        <w:rPr>
          <w:rFonts w:asciiTheme="minorHAnsi" w:hAnsiTheme="minorHAnsi" w:cstheme="minorHAnsi"/>
          <w:bCs/>
          <w:sz w:val="22"/>
          <w:lang w:val="en-IN"/>
        </w:rPr>
        <w:t xml:space="preserve">with a focus on </w:t>
      </w:r>
      <w:r w:rsidR="00A21FB1" w:rsidRPr="006F2A43">
        <w:rPr>
          <w:rFonts w:asciiTheme="minorHAnsi" w:hAnsiTheme="minorHAnsi" w:cstheme="minorHAnsi"/>
          <w:bCs/>
          <w:sz w:val="22"/>
          <w:lang w:val="en"/>
        </w:rPr>
        <w:t>re-design of and target</w:t>
      </w:r>
      <w:r w:rsidR="00BA7AFF">
        <w:rPr>
          <w:rFonts w:asciiTheme="minorHAnsi" w:hAnsiTheme="minorHAnsi" w:cstheme="minorHAnsi"/>
          <w:bCs/>
          <w:sz w:val="22"/>
          <w:lang w:val="en"/>
        </w:rPr>
        <w:t>ed active case finding</w:t>
      </w:r>
      <w:r w:rsidR="00D91971">
        <w:rPr>
          <w:rFonts w:asciiTheme="minorHAnsi" w:hAnsiTheme="minorHAnsi" w:cstheme="minorHAnsi"/>
          <w:bCs/>
          <w:sz w:val="22"/>
          <w:lang w:val="en"/>
        </w:rPr>
        <w:t xml:space="preserve"> efforts in priority population.</w:t>
      </w:r>
    </w:p>
    <w:p w14:paraId="2E6FA3D6" w14:textId="078C5E79" w:rsidR="00A21FB1" w:rsidRDefault="00ED4885" w:rsidP="00442A67">
      <w:pPr>
        <w:pStyle w:val="ListParagraph"/>
        <w:numPr>
          <w:ilvl w:val="0"/>
          <w:numId w:val="21"/>
        </w:numPr>
        <w:spacing w:before="0" w:after="0"/>
        <w:contextualSpacing w:val="0"/>
        <w:jc w:val="both"/>
        <w:rPr>
          <w:rFonts w:asciiTheme="minorHAnsi" w:hAnsiTheme="minorHAnsi" w:cstheme="minorHAnsi"/>
          <w:bCs/>
          <w:sz w:val="22"/>
          <w:lang w:val="en-IN"/>
        </w:rPr>
      </w:pPr>
      <w:r>
        <w:rPr>
          <w:rFonts w:asciiTheme="minorHAnsi" w:hAnsiTheme="minorHAnsi" w:cstheme="minorHAnsi"/>
          <w:bCs/>
          <w:sz w:val="22"/>
          <w:lang w:val="en-IN"/>
        </w:rPr>
        <w:t>It will also e</w:t>
      </w:r>
      <w:r w:rsidR="00A21FB1" w:rsidRPr="006F2A43">
        <w:rPr>
          <w:rFonts w:asciiTheme="minorHAnsi" w:hAnsiTheme="minorHAnsi" w:cstheme="minorHAnsi"/>
          <w:bCs/>
          <w:sz w:val="22"/>
          <w:lang w:val="en-IN"/>
        </w:rPr>
        <w:t xml:space="preserve">nsure full </w:t>
      </w:r>
      <w:r w:rsidR="00A21FB1" w:rsidRPr="00D91971">
        <w:rPr>
          <w:rFonts w:asciiTheme="minorHAnsi" w:hAnsiTheme="minorHAnsi" w:cstheme="minorHAnsi"/>
          <w:b/>
          <w:bCs/>
          <w:sz w:val="22"/>
          <w:lang w:val="en-IN"/>
        </w:rPr>
        <w:t>community participation and ownership</w:t>
      </w:r>
      <w:r w:rsidR="00A21FB1" w:rsidRPr="006F2A43">
        <w:rPr>
          <w:rFonts w:asciiTheme="minorHAnsi" w:hAnsiTheme="minorHAnsi" w:cstheme="minorHAnsi"/>
          <w:bCs/>
          <w:sz w:val="22"/>
          <w:lang w:val="en-IN"/>
        </w:rPr>
        <w:t xml:space="preserve">, with reliance on </w:t>
      </w:r>
      <w:r w:rsidR="00A21FB1" w:rsidRPr="00C86E48">
        <w:rPr>
          <w:rFonts w:asciiTheme="minorHAnsi" w:hAnsiTheme="minorHAnsi" w:cstheme="minorHAnsi"/>
          <w:b/>
          <w:bCs/>
          <w:sz w:val="22"/>
          <w:lang w:val="en-IN"/>
        </w:rPr>
        <w:t>TB champions</w:t>
      </w:r>
      <w:r w:rsidR="00A21FB1" w:rsidRPr="006F2A43">
        <w:rPr>
          <w:rFonts w:asciiTheme="minorHAnsi" w:hAnsiTheme="minorHAnsi" w:cstheme="minorHAnsi"/>
          <w:bCs/>
          <w:sz w:val="22"/>
          <w:lang w:val="en-IN"/>
        </w:rPr>
        <w:t xml:space="preserve"> and </w:t>
      </w:r>
      <w:r w:rsidR="00A21FB1" w:rsidRPr="008669A5">
        <w:rPr>
          <w:rFonts w:asciiTheme="minorHAnsi" w:hAnsiTheme="minorHAnsi" w:cstheme="minorHAnsi"/>
          <w:b/>
          <w:bCs/>
          <w:sz w:val="22"/>
          <w:lang w:val="en-IN"/>
        </w:rPr>
        <w:t>TB Survivors</w:t>
      </w:r>
      <w:r w:rsidR="00A21FB1" w:rsidRPr="006F2A43">
        <w:rPr>
          <w:rFonts w:asciiTheme="minorHAnsi" w:hAnsiTheme="minorHAnsi" w:cstheme="minorHAnsi"/>
          <w:bCs/>
          <w:sz w:val="22"/>
          <w:lang w:val="en-IN"/>
        </w:rPr>
        <w:t xml:space="preserve"> working alongside progra</w:t>
      </w:r>
      <w:r w:rsidR="00D91971">
        <w:rPr>
          <w:rFonts w:asciiTheme="minorHAnsi" w:hAnsiTheme="minorHAnsi" w:cstheme="minorHAnsi"/>
          <w:bCs/>
          <w:sz w:val="22"/>
          <w:lang w:val="en-IN"/>
        </w:rPr>
        <w:t>mme staff in advocacy, planning</w:t>
      </w:r>
      <w:r w:rsidR="00A21FB1" w:rsidRPr="006F2A43">
        <w:rPr>
          <w:rFonts w:asciiTheme="minorHAnsi" w:hAnsiTheme="minorHAnsi" w:cstheme="minorHAnsi"/>
          <w:bCs/>
          <w:sz w:val="22"/>
          <w:lang w:val="en-IN"/>
        </w:rPr>
        <w:t xml:space="preserve"> </w:t>
      </w:r>
      <w:r w:rsidR="00D91971" w:rsidRPr="006F2A43">
        <w:rPr>
          <w:rFonts w:asciiTheme="minorHAnsi" w:hAnsiTheme="minorHAnsi" w:cstheme="minorHAnsi"/>
          <w:bCs/>
          <w:sz w:val="22"/>
          <w:lang w:val="en-IN"/>
        </w:rPr>
        <w:t>and implementation</w:t>
      </w:r>
      <w:r w:rsidR="00A21FB1" w:rsidRPr="006F2A43">
        <w:rPr>
          <w:rFonts w:asciiTheme="minorHAnsi" w:hAnsiTheme="minorHAnsi" w:cstheme="minorHAnsi"/>
          <w:bCs/>
          <w:sz w:val="22"/>
          <w:lang w:val="en-IN"/>
        </w:rPr>
        <w:t xml:space="preserve"> and monitoring of the local, state, and national TB response. </w:t>
      </w:r>
      <w:r w:rsidR="00D91971">
        <w:rPr>
          <w:rFonts w:asciiTheme="minorHAnsi" w:hAnsiTheme="minorHAnsi" w:cstheme="minorHAnsi"/>
          <w:bCs/>
          <w:sz w:val="22"/>
          <w:lang w:val="en-IN"/>
        </w:rPr>
        <w:t>Intensive</w:t>
      </w:r>
      <w:r w:rsidR="00D33829">
        <w:rPr>
          <w:rFonts w:asciiTheme="minorHAnsi" w:hAnsiTheme="minorHAnsi" w:cstheme="minorHAnsi"/>
          <w:bCs/>
          <w:sz w:val="22"/>
          <w:lang w:val="en-IN"/>
        </w:rPr>
        <w:t xml:space="preserve"> efforts will be made to s</w:t>
      </w:r>
      <w:r w:rsidR="00A21FB1" w:rsidRPr="006F2A43">
        <w:rPr>
          <w:rFonts w:asciiTheme="minorHAnsi" w:hAnsiTheme="minorHAnsi" w:cstheme="minorHAnsi"/>
          <w:bCs/>
          <w:sz w:val="22"/>
          <w:lang w:val="en-IN"/>
        </w:rPr>
        <w:t>trengthen the local TB forums which are</w:t>
      </w:r>
      <w:r w:rsidR="00D91971">
        <w:rPr>
          <w:rFonts w:asciiTheme="minorHAnsi" w:hAnsiTheme="minorHAnsi" w:cstheme="minorHAnsi"/>
          <w:bCs/>
          <w:sz w:val="22"/>
          <w:lang w:val="en-IN"/>
        </w:rPr>
        <w:t xml:space="preserve"> seen as</w:t>
      </w:r>
      <w:r w:rsidR="00A21FB1" w:rsidRPr="006F2A43">
        <w:rPr>
          <w:rFonts w:asciiTheme="minorHAnsi" w:hAnsiTheme="minorHAnsi" w:cstheme="minorHAnsi"/>
          <w:bCs/>
          <w:sz w:val="22"/>
          <w:lang w:val="en-IN"/>
        </w:rPr>
        <w:t xml:space="preserve"> effective change agents able to work at reducing/eliminating stigma </w:t>
      </w:r>
      <w:r w:rsidR="00EE436C">
        <w:rPr>
          <w:rFonts w:asciiTheme="minorHAnsi" w:hAnsiTheme="minorHAnsi" w:cstheme="minorHAnsi"/>
          <w:bCs/>
          <w:sz w:val="22"/>
          <w:lang w:val="en-IN"/>
        </w:rPr>
        <w:t>and support</w:t>
      </w:r>
      <w:r w:rsidR="00A71BBC">
        <w:rPr>
          <w:rFonts w:asciiTheme="minorHAnsi" w:hAnsiTheme="minorHAnsi" w:cstheme="minorHAnsi"/>
          <w:bCs/>
          <w:sz w:val="22"/>
          <w:lang w:val="en-IN"/>
        </w:rPr>
        <w:t>ing</w:t>
      </w:r>
      <w:r w:rsidR="00EE436C">
        <w:rPr>
          <w:rFonts w:asciiTheme="minorHAnsi" w:hAnsiTheme="minorHAnsi" w:cstheme="minorHAnsi"/>
          <w:bCs/>
          <w:sz w:val="22"/>
          <w:lang w:val="en-IN"/>
        </w:rPr>
        <w:t xml:space="preserve"> TB care</w:t>
      </w:r>
      <w:r w:rsidR="00B333EB">
        <w:rPr>
          <w:rFonts w:asciiTheme="minorHAnsi" w:hAnsiTheme="minorHAnsi" w:cstheme="minorHAnsi"/>
          <w:bCs/>
          <w:sz w:val="22"/>
          <w:lang w:val="en-IN"/>
        </w:rPr>
        <w:t xml:space="preserve"> and prevention</w:t>
      </w:r>
      <w:r w:rsidR="00EE436C">
        <w:rPr>
          <w:rFonts w:asciiTheme="minorHAnsi" w:hAnsiTheme="minorHAnsi" w:cstheme="minorHAnsi"/>
          <w:bCs/>
          <w:sz w:val="22"/>
          <w:lang w:val="en-IN"/>
        </w:rPr>
        <w:t xml:space="preserve"> in</w:t>
      </w:r>
      <w:r w:rsidR="00A21FB1" w:rsidRPr="006F2A43">
        <w:rPr>
          <w:rFonts w:asciiTheme="minorHAnsi" w:hAnsiTheme="minorHAnsi" w:cstheme="minorHAnsi"/>
          <w:bCs/>
          <w:sz w:val="22"/>
          <w:lang w:val="en-IN"/>
        </w:rPr>
        <w:t xml:space="preserve"> a human rights response framework.</w:t>
      </w:r>
      <w:r w:rsidR="00DA434C">
        <w:rPr>
          <w:rFonts w:asciiTheme="minorHAnsi" w:hAnsiTheme="minorHAnsi" w:cstheme="minorHAnsi"/>
          <w:bCs/>
          <w:sz w:val="22"/>
          <w:lang w:val="en-IN"/>
        </w:rPr>
        <w:t xml:space="preserve"> </w:t>
      </w:r>
    </w:p>
    <w:p w14:paraId="226DDC26" w14:textId="1C48FA3A" w:rsidR="006863AB" w:rsidRPr="006863AB" w:rsidRDefault="00E42DF0" w:rsidP="00442A67">
      <w:pPr>
        <w:pStyle w:val="ListParagraph"/>
        <w:numPr>
          <w:ilvl w:val="0"/>
          <w:numId w:val="21"/>
        </w:numPr>
        <w:spacing w:before="0" w:after="0"/>
        <w:jc w:val="both"/>
        <w:rPr>
          <w:rFonts w:asciiTheme="minorHAnsi" w:hAnsiTheme="minorHAnsi" w:cstheme="minorHAnsi"/>
          <w:bCs/>
          <w:sz w:val="22"/>
          <w:lang w:val="en-IN"/>
        </w:rPr>
      </w:pPr>
      <w:r>
        <w:rPr>
          <w:rFonts w:asciiTheme="minorHAnsi" w:hAnsiTheme="minorHAnsi" w:cstheme="minorHAnsi"/>
          <w:bCs/>
          <w:sz w:val="22"/>
          <w:lang w:val="en-IN"/>
        </w:rPr>
        <w:t>The programme will l</w:t>
      </w:r>
      <w:r w:rsidR="006863AB" w:rsidRPr="006863AB">
        <w:rPr>
          <w:rFonts w:asciiTheme="minorHAnsi" w:hAnsiTheme="minorHAnsi" w:cstheme="minorHAnsi"/>
          <w:bCs/>
          <w:sz w:val="22"/>
          <w:lang w:val="en-IN"/>
        </w:rPr>
        <w:t xml:space="preserve">everage capacities and strengths of </w:t>
      </w:r>
      <w:r w:rsidR="006863AB" w:rsidRPr="008669A5">
        <w:rPr>
          <w:rFonts w:asciiTheme="minorHAnsi" w:hAnsiTheme="minorHAnsi" w:cstheme="minorHAnsi"/>
          <w:b/>
          <w:bCs/>
          <w:sz w:val="22"/>
          <w:lang w:val="en-IN"/>
        </w:rPr>
        <w:t>general health system</w:t>
      </w:r>
      <w:r w:rsidR="006863AB" w:rsidRPr="006863AB">
        <w:rPr>
          <w:rFonts w:asciiTheme="minorHAnsi" w:hAnsiTheme="minorHAnsi" w:cstheme="minorHAnsi"/>
          <w:bCs/>
          <w:sz w:val="22"/>
          <w:lang w:val="en-IN"/>
        </w:rPr>
        <w:t xml:space="preserve"> policies, institutions and implementation arrangements for improved access and continuum of care. </w:t>
      </w:r>
    </w:p>
    <w:p w14:paraId="6BA35001" w14:textId="3AE3E31A" w:rsidR="006863AB" w:rsidRPr="006863AB" w:rsidRDefault="00E42DF0" w:rsidP="00442A67">
      <w:pPr>
        <w:pStyle w:val="ListParagraph"/>
        <w:numPr>
          <w:ilvl w:val="0"/>
          <w:numId w:val="21"/>
        </w:numPr>
        <w:spacing w:before="0" w:after="0"/>
        <w:jc w:val="both"/>
        <w:rPr>
          <w:rFonts w:asciiTheme="minorHAnsi" w:hAnsiTheme="minorHAnsi" w:cstheme="minorHAnsi"/>
          <w:bCs/>
          <w:sz w:val="22"/>
          <w:lang w:val="en-IN"/>
        </w:rPr>
      </w:pPr>
      <w:r>
        <w:rPr>
          <w:rFonts w:asciiTheme="minorHAnsi" w:hAnsiTheme="minorHAnsi" w:cstheme="minorHAnsi"/>
          <w:bCs/>
          <w:sz w:val="22"/>
          <w:lang w:val="en-IN"/>
        </w:rPr>
        <w:t>It will p</w:t>
      </w:r>
      <w:r w:rsidR="006863AB" w:rsidRPr="006863AB">
        <w:rPr>
          <w:rFonts w:asciiTheme="minorHAnsi" w:hAnsiTheme="minorHAnsi" w:cstheme="minorHAnsi"/>
          <w:bCs/>
          <w:sz w:val="22"/>
          <w:lang w:val="en-IN"/>
        </w:rPr>
        <w:t>romo</w:t>
      </w:r>
      <w:r>
        <w:rPr>
          <w:rFonts w:asciiTheme="minorHAnsi" w:hAnsiTheme="minorHAnsi" w:cstheme="minorHAnsi"/>
          <w:bCs/>
          <w:sz w:val="22"/>
          <w:lang w:val="en-IN"/>
        </w:rPr>
        <w:t>te</w:t>
      </w:r>
      <w:r w:rsidR="006863AB" w:rsidRPr="006863AB">
        <w:rPr>
          <w:rFonts w:asciiTheme="minorHAnsi" w:hAnsiTheme="minorHAnsi" w:cstheme="minorHAnsi"/>
          <w:bCs/>
          <w:sz w:val="22"/>
          <w:lang w:val="en-IN"/>
        </w:rPr>
        <w:t xml:space="preserve"> </w:t>
      </w:r>
      <w:r w:rsidR="006863AB" w:rsidRPr="00E16FA4">
        <w:rPr>
          <w:rFonts w:asciiTheme="minorHAnsi" w:hAnsiTheme="minorHAnsi" w:cstheme="minorHAnsi"/>
          <w:b/>
          <w:bCs/>
          <w:sz w:val="22"/>
          <w:lang w:val="en-IN"/>
        </w:rPr>
        <w:t>an ecosystem of innovation</w:t>
      </w:r>
      <w:r w:rsidR="006863AB" w:rsidRPr="006863AB">
        <w:rPr>
          <w:rFonts w:asciiTheme="minorHAnsi" w:hAnsiTheme="minorHAnsi" w:cstheme="minorHAnsi"/>
          <w:bCs/>
          <w:sz w:val="22"/>
          <w:lang w:val="en-IN"/>
        </w:rPr>
        <w:t xml:space="preserve"> in thinking and implementation of NTEP.</w:t>
      </w:r>
    </w:p>
    <w:p w14:paraId="536F0DD7" w14:textId="094483E5" w:rsidR="00B5757C" w:rsidRPr="00EC3830" w:rsidRDefault="00E16FA4" w:rsidP="00EC3830">
      <w:pPr>
        <w:jc w:val="both"/>
        <w:rPr>
          <w:rFonts w:asciiTheme="minorHAnsi" w:hAnsiTheme="minorHAnsi" w:cstheme="minorHAnsi"/>
          <w:b/>
          <w:color w:val="C86A07" w:themeColor="accent2" w:themeShade="BF"/>
          <w:sz w:val="28"/>
        </w:rPr>
      </w:pPr>
      <w:r>
        <w:rPr>
          <w:rFonts w:asciiTheme="minorHAnsi" w:hAnsiTheme="minorHAnsi" w:cstheme="minorHAnsi"/>
          <w:b/>
          <w:color w:val="C86A07" w:themeColor="accent2" w:themeShade="BF"/>
          <w:sz w:val="28"/>
        </w:rPr>
        <w:t>C</w:t>
      </w:r>
      <w:r w:rsidR="00B5757C" w:rsidRPr="00EC3830">
        <w:rPr>
          <w:rFonts w:asciiTheme="minorHAnsi" w:hAnsiTheme="minorHAnsi" w:cstheme="minorHAnsi"/>
          <w:b/>
          <w:color w:val="C86A07" w:themeColor="accent2" w:themeShade="BF"/>
          <w:sz w:val="28"/>
        </w:rPr>
        <w:t>onclusion</w:t>
      </w:r>
    </w:p>
    <w:p w14:paraId="65D02EDC" w14:textId="3329E105" w:rsidR="00B5757C" w:rsidRDefault="00A93A30" w:rsidP="00C129C4">
      <w:pPr>
        <w:spacing w:after="0"/>
        <w:jc w:val="both"/>
        <w:rPr>
          <w:rFonts w:asciiTheme="minorHAnsi" w:hAnsiTheme="minorHAnsi" w:cstheme="minorHAnsi"/>
          <w:sz w:val="22"/>
        </w:rPr>
      </w:pPr>
      <w:r>
        <w:rPr>
          <w:rFonts w:asciiTheme="minorHAnsi" w:hAnsiTheme="minorHAnsi" w:cstheme="minorHAnsi"/>
          <w:sz w:val="22"/>
        </w:rPr>
        <w:t>The global public health and TB community is</w:t>
      </w:r>
      <w:r w:rsidR="00B5757C" w:rsidRPr="007F69F7">
        <w:rPr>
          <w:rFonts w:asciiTheme="minorHAnsi" w:hAnsiTheme="minorHAnsi" w:cstheme="minorHAnsi"/>
          <w:sz w:val="22"/>
        </w:rPr>
        <w:t xml:space="preserve"> shift</w:t>
      </w:r>
      <w:r>
        <w:rPr>
          <w:rFonts w:asciiTheme="minorHAnsi" w:hAnsiTheme="minorHAnsi" w:cstheme="minorHAnsi"/>
          <w:sz w:val="22"/>
        </w:rPr>
        <w:t>ing its</w:t>
      </w:r>
      <w:r w:rsidR="00B5757C" w:rsidRPr="007F69F7">
        <w:rPr>
          <w:rFonts w:asciiTheme="minorHAnsi" w:hAnsiTheme="minorHAnsi" w:cstheme="minorHAnsi"/>
          <w:sz w:val="22"/>
        </w:rPr>
        <w:t xml:space="preserve"> focus from control of the TB epidemic towards elimination.</w:t>
      </w:r>
      <w:r w:rsidR="00607F43">
        <w:rPr>
          <w:rFonts w:asciiTheme="minorHAnsi" w:hAnsiTheme="minorHAnsi" w:cstheme="minorHAnsi"/>
          <w:sz w:val="22"/>
        </w:rPr>
        <w:t xml:space="preserve"> It is India’s success that will determine the global progress towards </w:t>
      </w:r>
      <w:r>
        <w:rPr>
          <w:rFonts w:asciiTheme="minorHAnsi" w:hAnsiTheme="minorHAnsi" w:cstheme="minorHAnsi"/>
          <w:sz w:val="22"/>
        </w:rPr>
        <w:t>ending</w:t>
      </w:r>
      <w:r w:rsidR="00607F43">
        <w:rPr>
          <w:rFonts w:asciiTheme="minorHAnsi" w:hAnsiTheme="minorHAnsi" w:cstheme="minorHAnsi"/>
          <w:sz w:val="22"/>
        </w:rPr>
        <w:t xml:space="preserve"> TB</w:t>
      </w:r>
      <w:r>
        <w:rPr>
          <w:rFonts w:asciiTheme="minorHAnsi" w:hAnsiTheme="minorHAnsi" w:cstheme="minorHAnsi"/>
          <w:sz w:val="22"/>
        </w:rPr>
        <w:t xml:space="preserve"> and subsequently elimination</w:t>
      </w:r>
      <w:r w:rsidR="00607F43">
        <w:rPr>
          <w:rFonts w:asciiTheme="minorHAnsi" w:hAnsiTheme="minorHAnsi" w:cstheme="minorHAnsi"/>
          <w:sz w:val="22"/>
        </w:rPr>
        <w:t xml:space="preserve">. </w:t>
      </w:r>
      <w:r w:rsidR="00B5757C" w:rsidRPr="007F69F7">
        <w:rPr>
          <w:rFonts w:asciiTheme="minorHAnsi" w:hAnsiTheme="minorHAnsi" w:cstheme="minorHAnsi"/>
          <w:sz w:val="22"/>
        </w:rPr>
        <w:t xml:space="preserve"> India has committed to END TB and is at a critical stage with the national momentum expected to accelerate after the increased political commitment and heightened community awareness about public health and hygiene and </w:t>
      </w:r>
      <w:r>
        <w:rPr>
          <w:rFonts w:asciiTheme="minorHAnsi" w:hAnsiTheme="minorHAnsi" w:cstheme="minorHAnsi"/>
          <w:sz w:val="22"/>
        </w:rPr>
        <w:t xml:space="preserve">the threat </w:t>
      </w:r>
      <w:r w:rsidR="00B5757C" w:rsidRPr="007F69F7">
        <w:rPr>
          <w:rFonts w:asciiTheme="minorHAnsi" w:hAnsiTheme="minorHAnsi" w:cstheme="minorHAnsi"/>
          <w:sz w:val="22"/>
        </w:rPr>
        <w:t xml:space="preserve">of communicable disease following the </w:t>
      </w:r>
      <w:r w:rsidR="001A7278">
        <w:rPr>
          <w:rFonts w:asciiTheme="minorHAnsi" w:hAnsiTheme="minorHAnsi" w:cstheme="minorHAnsi"/>
          <w:sz w:val="22"/>
        </w:rPr>
        <w:t>COVID-19</w:t>
      </w:r>
      <w:r w:rsidR="00B5757C" w:rsidRPr="007F69F7">
        <w:rPr>
          <w:rFonts w:asciiTheme="minorHAnsi" w:hAnsiTheme="minorHAnsi" w:cstheme="minorHAnsi"/>
          <w:sz w:val="22"/>
        </w:rPr>
        <w:t xml:space="preserve"> pandemic.</w:t>
      </w:r>
      <w:r w:rsidR="00607F43">
        <w:rPr>
          <w:rFonts w:asciiTheme="minorHAnsi" w:hAnsiTheme="minorHAnsi" w:cstheme="minorHAnsi"/>
          <w:sz w:val="22"/>
        </w:rPr>
        <w:t xml:space="preserve"> </w:t>
      </w:r>
      <w:r w:rsidR="00B5757C">
        <w:rPr>
          <w:rFonts w:asciiTheme="minorHAnsi" w:hAnsiTheme="minorHAnsi" w:cstheme="minorHAnsi"/>
          <w:sz w:val="22"/>
        </w:rPr>
        <w:t xml:space="preserve">Hence this NSP to END TB </w:t>
      </w:r>
      <w:r w:rsidR="00A71BBC">
        <w:rPr>
          <w:rFonts w:asciiTheme="minorHAnsi" w:hAnsiTheme="minorHAnsi" w:cstheme="minorHAnsi"/>
          <w:sz w:val="22"/>
        </w:rPr>
        <w:t xml:space="preserve">by </w:t>
      </w:r>
      <w:r w:rsidR="00B5757C">
        <w:rPr>
          <w:rFonts w:asciiTheme="minorHAnsi" w:hAnsiTheme="minorHAnsi" w:cstheme="minorHAnsi"/>
          <w:sz w:val="22"/>
        </w:rPr>
        <w:t>2025 seizes this opportunity to collaborate intensively with various ministries to promote a multisectoral response to END TB while continuing to implement</w:t>
      </w:r>
      <w:r w:rsidR="00B5757C" w:rsidRPr="00EA42D0">
        <w:rPr>
          <w:rFonts w:asciiTheme="minorHAnsi" w:hAnsiTheme="minorHAnsi" w:cstheme="minorHAnsi"/>
          <w:sz w:val="22"/>
        </w:rPr>
        <w:t xml:space="preserve"> </w:t>
      </w:r>
      <w:r w:rsidR="00B5757C">
        <w:rPr>
          <w:rFonts w:asciiTheme="minorHAnsi" w:hAnsiTheme="minorHAnsi" w:cstheme="minorHAnsi"/>
          <w:sz w:val="22"/>
        </w:rPr>
        <w:t xml:space="preserve">the </w:t>
      </w:r>
      <w:r w:rsidR="00B5757C" w:rsidRPr="00EA42D0">
        <w:rPr>
          <w:rFonts w:asciiTheme="minorHAnsi" w:hAnsiTheme="minorHAnsi" w:cstheme="minorHAnsi"/>
          <w:sz w:val="22"/>
        </w:rPr>
        <w:t>program</w:t>
      </w:r>
      <w:r w:rsidR="00B5757C">
        <w:rPr>
          <w:rFonts w:asciiTheme="minorHAnsi" w:hAnsiTheme="minorHAnsi" w:cstheme="minorHAnsi"/>
          <w:sz w:val="22"/>
        </w:rPr>
        <w:t xml:space="preserve"> and deliver</w:t>
      </w:r>
      <w:r w:rsidR="00B5757C" w:rsidRPr="00EA42D0">
        <w:rPr>
          <w:rFonts w:asciiTheme="minorHAnsi" w:hAnsiTheme="minorHAnsi" w:cstheme="minorHAnsi"/>
          <w:sz w:val="22"/>
        </w:rPr>
        <w:t xml:space="preserve"> impact</w:t>
      </w:r>
      <w:r w:rsidR="001B3083">
        <w:rPr>
          <w:rFonts w:asciiTheme="minorHAnsi" w:hAnsiTheme="minorHAnsi" w:cstheme="minorHAnsi"/>
          <w:sz w:val="22"/>
        </w:rPr>
        <w:t>. Over the NSP period NTEP</w:t>
      </w:r>
      <w:r w:rsidR="00B5757C">
        <w:rPr>
          <w:rFonts w:asciiTheme="minorHAnsi" w:hAnsiTheme="minorHAnsi" w:cstheme="minorHAnsi"/>
          <w:sz w:val="22"/>
        </w:rPr>
        <w:t xml:space="preserve">  </w:t>
      </w:r>
    </w:p>
    <w:p w14:paraId="5BCC8400" w14:textId="77777777" w:rsidR="00B5757C" w:rsidRPr="00CA6A5C" w:rsidRDefault="00B5757C" w:rsidP="00C129C4">
      <w:pPr>
        <w:jc w:val="both"/>
        <w:rPr>
          <w:rFonts w:asciiTheme="minorHAnsi" w:hAnsiTheme="minorHAnsi" w:cstheme="minorHAnsi"/>
          <w:b/>
          <w:color w:val="C86A07"/>
          <w:sz w:val="28"/>
        </w:rPr>
      </w:pPr>
    </w:p>
    <w:p w14:paraId="04DFD7C2" w14:textId="133E25FD" w:rsidR="00D93FA1" w:rsidRDefault="00B76969" w:rsidP="00C129C4">
      <w:pPr>
        <w:jc w:val="both"/>
        <w:rPr>
          <w:rFonts w:asciiTheme="minorHAnsi" w:eastAsia="Times New Roman" w:hAnsiTheme="minorHAnsi" w:cstheme="minorHAnsi"/>
          <w:b/>
          <w:caps/>
          <w:snapToGrid w:val="0"/>
          <w:sz w:val="36"/>
          <w:szCs w:val="28"/>
        </w:rPr>
      </w:pPr>
      <w:r w:rsidRPr="00734B6A">
        <w:rPr>
          <w:rFonts w:asciiTheme="minorHAnsi" w:hAnsiTheme="minorHAnsi" w:cstheme="minorHAnsi"/>
          <w:sz w:val="22"/>
        </w:rPr>
        <w:t xml:space="preserve">  </w:t>
      </w:r>
    </w:p>
    <w:p w14:paraId="1A64D8F0" w14:textId="0CDFECBB" w:rsidR="004653F2" w:rsidRDefault="00C66E5A" w:rsidP="00C129C4">
      <w:pPr>
        <w:spacing w:before="0" w:after="0"/>
        <w:jc w:val="both"/>
        <w:rPr>
          <w:rFonts w:asciiTheme="minorHAnsi" w:eastAsia="Times New Roman" w:hAnsiTheme="minorHAnsi" w:cstheme="minorHAnsi"/>
          <w:b/>
          <w:caps/>
          <w:snapToGrid w:val="0"/>
          <w:sz w:val="36"/>
          <w:szCs w:val="28"/>
        </w:rPr>
      </w:pPr>
      <w:r>
        <w:rPr>
          <w:rFonts w:asciiTheme="minorHAnsi" w:hAnsiTheme="minorHAnsi" w:cstheme="minorHAnsi"/>
          <w:b/>
          <w:noProof/>
          <w:sz w:val="28"/>
          <w:szCs w:val="28"/>
          <w:lang w:val="en-IN" w:eastAsia="en-IN"/>
        </w:rPr>
        <w:lastRenderedPageBreak/>
        <mc:AlternateContent>
          <mc:Choice Requires="wps">
            <w:drawing>
              <wp:anchor distT="45720" distB="45720" distL="114300" distR="114300" simplePos="0" relativeHeight="251654144" behindDoc="0" locked="0" layoutInCell="1" allowOverlap="1" wp14:anchorId="0589695A" wp14:editId="3470AE07">
                <wp:simplePos x="0" y="0"/>
                <wp:positionH relativeFrom="column">
                  <wp:posOffset>-561340</wp:posOffset>
                </wp:positionH>
                <wp:positionV relativeFrom="paragraph">
                  <wp:posOffset>-102870</wp:posOffset>
                </wp:positionV>
                <wp:extent cx="6732270" cy="9081135"/>
                <wp:effectExtent l="0" t="0" r="11430"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9081135"/>
                        </a:xfrm>
                        <a:prstGeom prst="rect">
                          <a:avLst/>
                        </a:prstGeom>
                        <a:solidFill>
                          <a:schemeClr val="tx2">
                            <a:lumMod val="75000"/>
                          </a:schemeClr>
                        </a:solidFill>
                        <a:ln w="9525">
                          <a:solidFill>
                            <a:schemeClr val="tx2">
                              <a:lumMod val="75000"/>
                            </a:schemeClr>
                          </a:solidFill>
                          <a:miter lim="800000"/>
                          <a:headEnd/>
                          <a:tailEnd/>
                        </a:ln>
                      </wps:spPr>
                      <wps:txbx>
                        <w:txbxContent>
                          <w:p w14:paraId="4F606DD1" w14:textId="77777777" w:rsidR="00D55F8F" w:rsidRDefault="00D55F8F" w:rsidP="00841EF2">
                            <w:pPr>
                              <w:shd w:val="clear" w:color="auto" w:fill="17365D" w:themeFill="text2" w:themeFillShade="BF"/>
                              <w:jc w:val="right"/>
                              <w:rPr>
                                <w:rFonts w:ascii="Bernard MT Condensed" w:hAnsi="Bernard MT Condensed"/>
                                <w:color w:val="FFFF00"/>
                                <w:sz w:val="144"/>
                                <w:szCs w:val="144"/>
                                <w:lang w:val="en-GB"/>
                              </w:rPr>
                            </w:pPr>
                          </w:p>
                          <w:p w14:paraId="2BAB45C1" w14:textId="77777777" w:rsidR="00D55F8F" w:rsidRPr="000F6DCA" w:rsidRDefault="00D55F8F" w:rsidP="00841EF2">
                            <w:pPr>
                              <w:shd w:val="clear" w:color="auto" w:fill="17365D" w:themeFill="text2" w:themeFillShade="BF"/>
                              <w:jc w:val="right"/>
                              <w:rPr>
                                <w:rFonts w:ascii="Bernard MT Condensed" w:hAnsi="Bernard MT Condensed"/>
                                <w:color w:val="FFFF00"/>
                                <w:sz w:val="144"/>
                                <w:szCs w:val="144"/>
                                <w:lang w:val="en-GB"/>
                              </w:rPr>
                            </w:pPr>
                            <w:r w:rsidRPr="000F6DCA">
                              <w:rPr>
                                <w:rFonts w:ascii="Bernard MT Condensed" w:hAnsi="Bernard MT Condensed"/>
                                <w:color w:val="FFFF00"/>
                                <w:sz w:val="144"/>
                                <w:szCs w:val="144"/>
                                <w:lang w:val="en-GB"/>
                              </w:rPr>
                              <w:t>Section 1</w:t>
                            </w:r>
                          </w:p>
                          <w:p w14:paraId="77497CE2" w14:textId="77777777" w:rsidR="00D55F8F" w:rsidRPr="00CB46E3" w:rsidRDefault="00D55F8F" w:rsidP="00B91BE1">
                            <w:pPr>
                              <w:shd w:val="clear" w:color="auto" w:fill="17365D" w:themeFill="text2" w:themeFillShade="BF"/>
                              <w:rPr>
                                <w:rFonts w:ascii="Bernard MT Condensed" w:hAnsi="Bernard MT Condensed"/>
                                <w:color w:val="FFFF00"/>
                                <w:sz w:val="56"/>
                                <w:szCs w:val="56"/>
                                <w:lang w:val="en-GB"/>
                              </w:rPr>
                            </w:pPr>
                          </w:p>
                          <w:p w14:paraId="42861E7F" w14:textId="77777777" w:rsidR="00D55F8F" w:rsidRPr="00713F88" w:rsidRDefault="00D55F8F" w:rsidP="00B91BE1">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CHAPTER 1: INTRODUCTION</w:t>
                            </w:r>
                            <w:r w:rsidRPr="00713F88">
                              <w:rPr>
                                <w:rFonts w:ascii="Bernard MT Condensed" w:hAnsi="Bernard MT Condensed"/>
                                <w:color w:val="FFFFFF" w:themeColor="background1"/>
                                <w:sz w:val="40"/>
                                <w:szCs w:val="48"/>
                                <w:lang w:val="en-GB"/>
                              </w:rPr>
                              <w:tab/>
                            </w:r>
                          </w:p>
                          <w:p w14:paraId="2E4CCF8B" w14:textId="4FA98A8B"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1.1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 xml:space="preserve">The purpose of the </w:t>
                            </w:r>
                            <w:r>
                              <w:rPr>
                                <w:rFonts w:ascii="Bernard MT Condensed" w:hAnsi="Bernard MT Condensed"/>
                                <w:color w:val="FFFFFF" w:themeColor="background1"/>
                                <w:sz w:val="24"/>
                                <w:szCs w:val="48"/>
                                <w:lang w:val="en-GB"/>
                              </w:rPr>
                              <w:t>‘</w:t>
                            </w:r>
                            <w:r w:rsidRPr="007D1470">
                              <w:rPr>
                                <w:rFonts w:ascii="Bernard MT Condensed" w:hAnsi="Bernard MT Condensed"/>
                                <w:color w:val="FFFFFF" w:themeColor="background1"/>
                                <w:sz w:val="24"/>
                                <w:szCs w:val="48"/>
                                <w:lang w:val="en-GB"/>
                              </w:rPr>
                              <w:t>refreshed</w:t>
                            </w:r>
                            <w:r>
                              <w:rPr>
                                <w:rFonts w:ascii="Bernard MT Condensed" w:hAnsi="Bernard MT Condensed"/>
                                <w:color w:val="FFFFFF" w:themeColor="background1"/>
                                <w:sz w:val="24"/>
                                <w:szCs w:val="48"/>
                                <w:lang w:val="en-GB"/>
                              </w:rPr>
                              <w:t>’</w:t>
                            </w:r>
                            <w:r w:rsidRPr="007D1470">
                              <w:rPr>
                                <w:rFonts w:ascii="Bernard MT Condensed" w:hAnsi="Bernard MT Condensed"/>
                                <w:color w:val="FFFFFF" w:themeColor="background1"/>
                                <w:sz w:val="24"/>
                                <w:szCs w:val="48"/>
                                <w:lang w:val="en-GB"/>
                              </w:rPr>
                              <w:t xml:space="preserve"> National Strategic Plan to END TB in</w:t>
                            </w:r>
                            <w:r>
                              <w:rPr>
                                <w:rFonts w:ascii="Bernard MT Condensed" w:hAnsi="Bernard MT Condensed"/>
                                <w:color w:val="FFFFFF" w:themeColor="background1"/>
                                <w:sz w:val="24"/>
                                <w:szCs w:val="48"/>
                                <w:lang w:val="en-GB"/>
                              </w:rPr>
                              <w:t xml:space="preserve"> </w:t>
                            </w:r>
                            <w:r w:rsidRPr="007D1470">
                              <w:rPr>
                                <w:rFonts w:ascii="Bernard MT Condensed" w:hAnsi="Bernard MT Condensed"/>
                                <w:color w:val="FFFFFF" w:themeColor="background1"/>
                                <w:sz w:val="24"/>
                                <w:szCs w:val="48"/>
                                <w:lang w:val="en-GB"/>
                              </w:rPr>
                              <w:t>India</w:t>
                            </w:r>
                            <w:r>
                              <w:rPr>
                                <w:rFonts w:ascii="Bernard MT Condensed" w:hAnsi="Bernard MT Condensed"/>
                                <w:color w:val="FFFFFF" w:themeColor="background1"/>
                                <w:sz w:val="24"/>
                                <w:szCs w:val="48"/>
                                <w:lang w:val="en-GB"/>
                              </w:rPr>
                              <w:t xml:space="preserve"> 2020-25   </w:t>
                            </w:r>
                            <w:r w:rsidRPr="007D1470">
                              <w:rPr>
                                <w:rFonts w:ascii="Bernard MT Condensed" w:hAnsi="Bernard MT Condensed"/>
                                <w:color w:val="FFFFFF" w:themeColor="background1"/>
                                <w:sz w:val="24"/>
                                <w:szCs w:val="48"/>
                                <w:lang w:val="en-GB"/>
                              </w:rPr>
                              <w:t xml:space="preserve"> </w:t>
                            </w:r>
                          </w:p>
                          <w:p w14:paraId="6649C078" w14:textId="77777777" w:rsidR="00D55F8F"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1.2 </w:t>
                            </w:r>
                            <w:r>
                              <w:rPr>
                                <w:rFonts w:ascii="Bernard MT Condensed" w:hAnsi="Bernard MT Condensed"/>
                                <w:color w:val="FFFFFF" w:themeColor="background1"/>
                                <w:sz w:val="24"/>
                                <w:szCs w:val="48"/>
                                <w:lang w:val="en-GB"/>
                              </w:rPr>
                              <w:tab/>
                              <w:t xml:space="preserve">Developing the NSP </w:t>
                            </w:r>
                          </w:p>
                          <w:p w14:paraId="55E8E32E" w14:textId="2703CD11" w:rsidR="00D55F8F" w:rsidRPr="007D1470" w:rsidRDefault="00D55F8F" w:rsidP="008E669D">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1.3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Globa</w:t>
                            </w:r>
                            <w:r>
                              <w:rPr>
                                <w:rFonts w:ascii="Bernard MT Condensed" w:hAnsi="Bernard MT Condensed"/>
                                <w:color w:val="FFFFFF" w:themeColor="background1"/>
                                <w:sz w:val="24"/>
                                <w:szCs w:val="48"/>
                                <w:lang w:val="en-GB"/>
                              </w:rPr>
                              <w:t>l directions that shape the NSP</w:t>
                            </w:r>
                          </w:p>
                          <w:p w14:paraId="57EC6FE2" w14:textId="43B0EA52" w:rsidR="00D55F8F" w:rsidRDefault="00D55F8F" w:rsidP="008E669D">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sidRPr="008E669D">
                              <w:rPr>
                                <w:rFonts w:ascii="Bernard MT Condensed" w:hAnsi="Bernard MT Condensed"/>
                                <w:color w:val="FFFFFF" w:themeColor="background1"/>
                                <w:sz w:val="24"/>
                                <w:szCs w:val="48"/>
                                <w:lang w:val="en-GB"/>
                              </w:rPr>
                              <w:t xml:space="preserve">1.4 </w:t>
                            </w:r>
                            <w:r>
                              <w:rPr>
                                <w:rFonts w:ascii="Bernard MT Condensed" w:hAnsi="Bernard MT Condensed"/>
                                <w:color w:val="FFFFFF" w:themeColor="background1"/>
                                <w:sz w:val="24"/>
                                <w:szCs w:val="48"/>
                                <w:lang w:val="en-GB"/>
                              </w:rPr>
                              <w:tab/>
                              <w:t>National directions that shape the NSP :</w:t>
                            </w:r>
                            <w:r w:rsidRPr="008E669D">
                              <w:rPr>
                                <w:rFonts w:ascii="Bernard MT Condensed" w:hAnsi="Bernard MT Condensed"/>
                                <w:color w:val="FFFFFF" w:themeColor="background1"/>
                                <w:sz w:val="24"/>
                                <w:szCs w:val="48"/>
                                <w:lang w:val="en-GB"/>
                              </w:rPr>
                              <w:t xml:space="preserve"> National Health Policy and</w:t>
                            </w:r>
                            <w:r>
                              <w:rPr>
                                <w:rFonts w:ascii="Bernard MT Condensed" w:hAnsi="Bernard MT Condensed"/>
                                <w:color w:val="FFFFFF" w:themeColor="background1"/>
                                <w:sz w:val="24"/>
                                <w:szCs w:val="48"/>
                                <w:lang w:val="en-GB"/>
                              </w:rPr>
                              <w:t xml:space="preserve"> </w:t>
                            </w:r>
                            <w:r w:rsidRPr="008E669D">
                              <w:rPr>
                                <w:rFonts w:ascii="Bernard MT Condensed" w:hAnsi="Bernard MT Condensed"/>
                                <w:color w:val="FFFFFF" w:themeColor="background1"/>
                                <w:sz w:val="24"/>
                                <w:szCs w:val="48"/>
                                <w:lang w:val="en-GB"/>
                              </w:rPr>
                              <w:t>NSP’s linkage with the National Health</w:t>
                            </w:r>
                            <w:r>
                              <w:rPr>
                                <w:rFonts w:ascii="Bernard MT Condensed" w:hAnsi="Bernard MT Condensed"/>
                                <w:color w:val="FFFFFF" w:themeColor="background1"/>
                                <w:sz w:val="24"/>
                                <w:szCs w:val="48"/>
                                <w:lang w:val="en-GB"/>
                              </w:rPr>
                              <w:t xml:space="preserve"> Policy</w:t>
                            </w:r>
                          </w:p>
                          <w:p w14:paraId="674A8765" w14:textId="5E5F165E" w:rsidR="00D55F8F" w:rsidRPr="007D1470" w:rsidRDefault="00D55F8F" w:rsidP="007D10FA">
                            <w:pPr>
                              <w:shd w:val="clear" w:color="auto" w:fill="17365D" w:themeFill="text2" w:themeFillShade="BF"/>
                              <w:spacing w:before="0" w:after="24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1.5 </w:t>
                            </w:r>
                            <w:r>
                              <w:rPr>
                                <w:rFonts w:ascii="Bernard MT Condensed" w:hAnsi="Bernard MT Condensed"/>
                                <w:color w:val="FFFFFF" w:themeColor="background1"/>
                                <w:sz w:val="24"/>
                                <w:szCs w:val="48"/>
                                <w:lang w:val="en-GB"/>
                              </w:rPr>
                              <w:tab/>
                            </w:r>
                            <w:r w:rsidRPr="008E669D">
                              <w:rPr>
                                <w:rFonts w:ascii="Bernard MT Condensed" w:hAnsi="Bernard MT Condensed"/>
                                <w:color w:val="FFFFFF" w:themeColor="background1"/>
                                <w:sz w:val="24"/>
                                <w:szCs w:val="48"/>
                                <w:lang w:val="en-GB"/>
                              </w:rPr>
                              <w:t>COVID-19 pandemic</w:t>
                            </w:r>
                            <w:r>
                              <w:rPr>
                                <w:rFonts w:ascii="Bernard MT Condensed" w:hAnsi="Bernard MT Condensed"/>
                                <w:color w:val="FFFFFF" w:themeColor="background1"/>
                                <w:sz w:val="24"/>
                                <w:szCs w:val="48"/>
                                <w:lang w:val="en-GB"/>
                              </w:rPr>
                              <w:t xml:space="preserve"> shapes ENDING TB in India</w:t>
                            </w:r>
                            <w:r w:rsidRPr="008E669D">
                              <w:rPr>
                                <w:rFonts w:ascii="Bernard MT Condensed" w:hAnsi="Bernard MT Condensed"/>
                                <w:color w:val="FFFFFF" w:themeColor="background1"/>
                                <w:sz w:val="24"/>
                                <w:szCs w:val="48"/>
                                <w:lang w:val="en-GB"/>
                              </w:rPr>
                              <w:t xml:space="preserve"> </w:t>
                            </w:r>
                          </w:p>
                          <w:p w14:paraId="121217F7" w14:textId="77777777" w:rsidR="00D55F8F" w:rsidRPr="00713F88" w:rsidRDefault="00D55F8F" w:rsidP="00B91BE1">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CHAPTER 2: INDIA: EVOLVING COUNTRY CONTEXT</w:t>
                            </w:r>
                          </w:p>
                          <w:p w14:paraId="5B2E2024" w14:textId="1F2CF9A0"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2.1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Demographic, geographic and socio-economic features</w:t>
                            </w:r>
                          </w:p>
                          <w:p w14:paraId="207742F6" w14:textId="1B71260D"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2.2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Health Systems in India</w:t>
                            </w:r>
                            <w:r w:rsidRPr="007D1470">
                              <w:rPr>
                                <w:rFonts w:ascii="Bernard MT Condensed" w:hAnsi="Bernard MT Condensed"/>
                                <w:color w:val="FFFFFF" w:themeColor="background1"/>
                                <w:sz w:val="24"/>
                                <w:szCs w:val="48"/>
                                <w:lang w:val="en-GB"/>
                              </w:rPr>
                              <w:tab/>
                              <w:t xml:space="preserve"> </w:t>
                            </w:r>
                          </w:p>
                          <w:p w14:paraId="2E25E927" w14:textId="5441B8B2" w:rsidR="00D55F8F" w:rsidRPr="006D1AD3" w:rsidRDefault="00D55F8F" w:rsidP="007D10FA">
                            <w:pPr>
                              <w:shd w:val="clear" w:color="auto" w:fill="17365D" w:themeFill="text2" w:themeFillShade="BF"/>
                              <w:spacing w:before="0" w:after="24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2.3 </w:t>
                            </w:r>
                            <w:r>
                              <w:rPr>
                                <w:rFonts w:ascii="Bernard MT Condensed" w:hAnsi="Bernard MT Condensed"/>
                                <w:color w:val="FFFFFF" w:themeColor="background1"/>
                                <w:sz w:val="24"/>
                                <w:szCs w:val="48"/>
                                <w:lang w:val="en-GB"/>
                              </w:rPr>
                              <w:tab/>
                              <w:t>NTEP</w:t>
                            </w:r>
                            <w:r w:rsidRPr="006D1AD3">
                              <w:rPr>
                                <w:rFonts w:ascii="Bernard MT Condensed" w:hAnsi="Bernard MT Condensed"/>
                                <w:color w:val="FFFFFF" w:themeColor="background1"/>
                                <w:sz w:val="24"/>
                                <w:szCs w:val="48"/>
                                <w:lang w:val="en-GB"/>
                              </w:rPr>
                              <w:t xml:space="preserve"> implementation arrangements</w:t>
                            </w:r>
                            <w:r w:rsidRPr="006D1AD3">
                              <w:rPr>
                                <w:rFonts w:ascii="Bernard MT Condensed" w:hAnsi="Bernard MT Condensed"/>
                                <w:color w:val="FFFFFF" w:themeColor="background1"/>
                                <w:sz w:val="24"/>
                                <w:szCs w:val="48"/>
                                <w:lang w:val="en-GB"/>
                              </w:rPr>
                              <w:tab/>
                              <w:t xml:space="preserve"> </w:t>
                            </w:r>
                          </w:p>
                          <w:p w14:paraId="7F6E4459" w14:textId="72650FE3" w:rsidR="00D55F8F" w:rsidRPr="00713F88" w:rsidRDefault="00D55F8F" w:rsidP="00B91BE1">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 xml:space="preserve">CHAPTER 3: </w:t>
                            </w:r>
                            <w:r w:rsidRPr="007D10FA">
                              <w:rPr>
                                <w:rFonts w:ascii="Bernard MT Condensed" w:hAnsi="Bernard MT Condensed"/>
                                <w:color w:val="FFFFFF" w:themeColor="background1"/>
                                <w:sz w:val="40"/>
                                <w:szCs w:val="48"/>
                                <w:lang w:val="en-GB"/>
                              </w:rPr>
                              <w:t>JOINT MONITORING MISSION OF NTEP AND COMMON REVIEW MISSION OF NATIONAL HEALTH MISSION</w:t>
                            </w:r>
                          </w:p>
                          <w:p w14:paraId="0BB458BF" w14:textId="13C03290" w:rsidR="00D55F8F" w:rsidRPr="007D1470" w:rsidRDefault="00D55F8F" w:rsidP="007D10FA">
                            <w:pPr>
                              <w:shd w:val="clear" w:color="auto" w:fill="17365D" w:themeFill="text2" w:themeFillShade="BF"/>
                              <w:spacing w:before="0" w:after="0"/>
                              <w:ind w:left="2160"/>
                              <w:rPr>
                                <w:rFonts w:ascii="Bernard MT Condensed" w:hAnsi="Bernard MT Condensed"/>
                                <w:color w:val="FFFFFF" w:themeColor="background1"/>
                                <w:sz w:val="24"/>
                                <w:szCs w:val="48"/>
                                <w:lang w:val="en-GB"/>
                              </w:rPr>
                            </w:pPr>
                          </w:p>
                          <w:p w14:paraId="20BD5C06" w14:textId="77777777" w:rsidR="00D55F8F" w:rsidRPr="00713F88" w:rsidRDefault="00D55F8F" w:rsidP="00B91BE1">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 xml:space="preserve">CHAPTER 4: SITUATION ANALYSIS </w:t>
                            </w:r>
                          </w:p>
                          <w:p w14:paraId="00EA0EE3" w14:textId="75DB839B" w:rsidR="00D55F8F"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4.1 </w:t>
                            </w:r>
                            <w:r>
                              <w:rPr>
                                <w:rFonts w:ascii="Bernard MT Condensed" w:hAnsi="Bernard MT Condensed"/>
                                <w:color w:val="FFFFFF" w:themeColor="background1"/>
                                <w:sz w:val="24"/>
                                <w:szCs w:val="48"/>
                                <w:lang w:val="en-GB"/>
                              </w:rPr>
                              <w:tab/>
                              <w:t>TB epidemiology in India</w:t>
                            </w:r>
                            <w:r w:rsidRPr="007D1470">
                              <w:rPr>
                                <w:rFonts w:ascii="Bernard MT Condensed" w:hAnsi="Bernard MT Condensed"/>
                                <w:color w:val="FFFFFF" w:themeColor="background1"/>
                                <w:sz w:val="24"/>
                                <w:szCs w:val="48"/>
                                <w:lang w:val="en-GB"/>
                              </w:rPr>
                              <w:t xml:space="preserve"> </w:t>
                            </w:r>
                          </w:p>
                          <w:p w14:paraId="1B801458" w14:textId="53BAF46C"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4.2 </w:t>
                            </w:r>
                            <w:r>
                              <w:rPr>
                                <w:rFonts w:ascii="Bernard MT Condensed" w:hAnsi="Bernard MT Condensed"/>
                                <w:color w:val="FFFFFF" w:themeColor="background1"/>
                                <w:sz w:val="24"/>
                                <w:szCs w:val="48"/>
                                <w:lang w:val="en-GB"/>
                              </w:rPr>
                              <w:tab/>
                              <w:t>E</w:t>
                            </w:r>
                            <w:r w:rsidRPr="007D1470">
                              <w:rPr>
                                <w:rFonts w:ascii="Bernard MT Condensed" w:hAnsi="Bernard MT Condensed"/>
                                <w:color w:val="FFFFFF" w:themeColor="background1"/>
                                <w:sz w:val="24"/>
                                <w:szCs w:val="48"/>
                                <w:lang w:val="en-GB"/>
                              </w:rPr>
                              <w:t xml:space="preserve">pidemiological </w:t>
                            </w:r>
                            <w:r>
                              <w:rPr>
                                <w:rFonts w:ascii="Bernard MT Condensed" w:hAnsi="Bernard MT Condensed"/>
                                <w:color w:val="FFFFFF" w:themeColor="background1"/>
                                <w:sz w:val="24"/>
                                <w:szCs w:val="48"/>
                                <w:lang w:val="en-GB"/>
                              </w:rPr>
                              <w:t>p</w:t>
                            </w:r>
                            <w:r w:rsidRPr="007D1470">
                              <w:rPr>
                                <w:rFonts w:ascii="Bernard MT Condensed" w:hAnsi="Bernard MT Condensed"/>
                                <w:color w:val="FFFFFF" w:themeColor="background1"/>
                                <w:sz w:val="24"/>
                                <w:szCs w:val="48"/>
                                <w:lang w:val="en-GB"/>
                              </w:rPr>
                              <w:t xml:space="preserve">rojections in India </w:t>
                            </w:r>
                          </w:p>
                          <w:p w14:paraId="1B99365C" w14:textId="2B334027"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4.3 </w:t>
                            </w:r>
                            <w:r>
                              <w:rPr>
                                <w:rFonts w:ascii="Bernard MT Condensed" w:hAnsi="Bernard MT Condensed"/>
                                <w:color w:val="FFFFFF" w:themeColor="background1"/>
                                <w:sz w:val="24"/>
                                <w:szCs w:val="48"/>
                                <w:lang w:val="en-GB"/>
                              </w:rPr>
                              <w:tab/>
                              <w:t>NTEP</w:t>
                            </w:r>
                            <w:r w:rsidRPr="007D1470">
                              <w:rPr>
                                <w:rFonts w:ascii="Bernard MT Condensed" w:hAnsi="Bernard MT Condensed"/>
                                <w:color w:val="FFFFFF" w:themeColor="background1"/>
                                <w:sz w:val="24"/>
                                <w:szCs w:val="48"/>
                                <w:lang w:val="en-GB"/>
                              </w:rPr>
                              <w:t xml:space="preserve"> Performance and impact</w:t>
                            </w:r>
                          </w:p>
                          <w:p w14:paraId="5FC71859" w14:textId="366E0EAC" w:rsidR="00D55F8F" w:rsidRPr="007D1470" w:rsidRDefault="00D55F8F" w:rsidP="007D10FA">
                            <w:pPr>
                              <w:shd w:val="clear" w:color="auto" w:fill="17365D" w:themeFill="text2" w:themeFillShade="BF"/>
                              <w:spacing w:before="0" w:after="24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4.4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 xml:space="preserve">Progress towards addressing the social determinants of TB (UHC, SDG3)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and the Global commitments</w:t>
                            </w:r>
                          </w:p>
                          <w:p w14:paraId="47F5E9CB" w14:textId="5CFCAB77" w:rsidR="00D55F8F" w:rsidRPr="00713F88" w:rsidRDefault="00D55F8F" w:rsidP="00663C3B">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Pr>
                                <w:rFonts w:ascii="Bernard MT Condensed" w:hAnsi="Bernard MT Condensed"/>
                                <w:color w:val="FFFFFF" w:themeColor="background1"/>
                                <w:sz w:val="40"/>
                                <w:szCs w:val="48"/>
                                <w:lang w:val="en-GB"/>
                              </w:rPr>
                              <w:t>CHAPTER 5</w:t>
                            </w:r>
                            <w:r w:rsidRPr="00713F88">
                              <w:rPr>
                                <w:rFonts w:ascii="Bernard MT Condensed" w:hAnsi="Bernard MT Condensed"/>
                                <w:color w:val="FFFFFF" w:themeColor="background1"/>
                                <w:sz w:val="40"/>
                                <w:szCs w:val="48"/>
                                <w:lang w:val="en-GB"/>
                              </w:rPr>
                              <w:t xml:space="preserve">: </w:t>
                            </w:r>
                            <w:r w:rsidRPr="00E1366D">
                              <w:rPr>
                                <w:rFonts w:ascii="Bernard MT Condensed" w:hAnsi="Bernard MT Condensed"/>
                                <w:color w:val="FFFFFF" w:themeColor="background1"/>
                                <w:sz w:val="40"/>
                                <w:szCs w:val="48"/>
                                <w:lang w:val="en-GB"/>
                              </w:rPr>
                              <w:t>ANALYSIS OF THE ENVIRONMENT IN WHICH NTEP FUNCTIONS</w:t>
                            </w:r>
                          </w:p>
                          <w:p w14:paraId="7D620455" w14:textId="31AE0DD3" w:rsidR="00D55F8F" w:rsidRPr="00C66E5A" w:rsidRDefault="00D55F8F" w:rsidP="00B91BE1">
                            <w:pPr>
                              <w:shd w:val="clear" w:color="auto" w:fill="17365D" w:themeFill="text2" w:themeFillShade="BF"/>
                              <w:rPr>
                                <w:color w:val="FFFFFF" w:themeColor="background1"/>
                                <w:sz w:val="44"/>
                                <w:szCs w:val="4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89695A" id="_x0000_t202" coordsize="21600,21600" o:spt="202" path="m,l,21600r21600,l21600,xe">
                <v:stroke joinstyle="miter"/>
                <v:path gradientshapeok="t" o:connecttype="rect"/>
              </v:shapetype>
              <v:shape id="Text Box 2" o:spid="_x0000_s1026" type="#_x0000_t202" style="position:absolute;left:0;text-align:left;margin-left:-44.2pt;margin-top:-8.1pt;width:530.1pt;height:715.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" fillcolor="#17365d [2415]" strokecolor="#17365d [2415]">
                <v:textbox>
                  <w:txbxContent>
                    <w:p w14:paraId="4F606DD1" w14:textId="77777777" w:rsidR="00D55F8F" w:rsidRDefault="00D55F8F" w:rsidP="00841EF2">
                      <w:pPr>
                        <w:shd w:val="clear" w:color="auto" w:fill="17365D" w:themeFill="text2" w:themeFillShade="BF"/>
                        <w:jc w:val="right"/>
                        <w:rPr>
                          <w:rFonts w:ascii="Bernard MT Condensed" w:hAnsi="Bernard MT Condensed"/>
                          <w:color w:val="FFFF00"/>
                          <w:sz w:val="144"/>
                          <w:szCs w:val="144"/>
                          <w:lang w:val="en-GB"/>
                        </w:rPr>
                      </w:pPr>
                    </w:p>
                    <w:p w14:paraId="2BAB45C1" w14:textId="77777777" w:rsidR="00D55F8F" w:rsidRPr="000F6DCA" w:rsidRDefault="00D55F8F" w:rsidP="00841EF2">
                      <w:pPr>
                        <w:shd w:val="clear" w:color="auto" w:fill="17365D" w:themeFill="text2" w:themeFillShade="BF"/>
                        <w:jc w:val="right"/>
                        <w:rPr>
                          <w:rFonts w:ascii="Bernard MT Condensed" w:hAnsi="Bernard MT Condensed"/>
                          <w:color w:val="FFFF00"/>
                          <w:sz w:val="144"/>
                          <w:szCs w:val="144"/>
                          <w:lang w:val="en-GB"/>
                        </w:rPr>
                      </w:pPr>
                      <w:r w:rsidRPr="000F6DCA">
                        <w:rPr>
                          <w:rFonts w:ascii="Bernard MT Condensed" w:hAnsi="Bernard MT Condensed"/>
                          <w:color w:val="FFFF00"/>
                          <w:sz w:val="144"/>
                          <w:szCs w:val="144"/>
                          <w:lang w:val="en-GB"/>
                        </w:rPr>
                        <w:t>Section 1</w:t>
                      </w:r>
                    </w:p>
                    <w:p w14:paraId="77497CE2" w14:textId="77777777" w:rsidR="00D55F8F" w:rsidRPr="00CB46E3" w:rsidRDefault="00D55F8F" w:rsidP="00B91BE1">
                      <w:pPr>
                        <w:shd w:val="clear" w:color="auto" w:fill="17365D" w:themeFill="text2" w:themeFillShade="BF"/>
                        <w:rPr>
                          <w:rFonts w:ascii="Bernard MT Condensed" w:hAnsi="Bernard MT Condensed"/>
                          <w:color w:val="FFFF00"/>
                          <w:sz w:val="56"/>
                          <w:szCs w:val="56"/>
                          <w:lang w:val="en-GB"/>
                        </w:rPr>
                      </w:pPr>
                    </w:p>
                    <w:p w14:paraId="42861E7F" w14:textId="77777777" w:rsidR="00D55F8F" w:rsidRPr="00713F88" w:rsidRDefault="00D55F8F" w:rsidP="00B91BE1">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CHAPTER 1: INTRODUCTION</w:t>
                      </w:r>
                      <w:r w:rsidRPr="00713F88">
                        <w:rPr>
                          <w:rFonts w:ascii="Bernard MT Condensed" w:hAnsi="Bernard MT Condensed"/>
                          <w:color w:val="FFFFFF" w:themeColor="background1"/>
                          <w:sz w:val="40"/>
                          <w:szCs w:val="48"/>
                          <w:lang w:val="en-GB"/>
                        </w:rPr>
                        <w:tab/>
                      </w:r>
                    </w:p>
                    <w:p w14:paraId="2E4CCF8B" w14:textId="4FA98A8B"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1.1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 xml:space="preserve">The purpose of the </w:t>
                      </w:r>
                      <w:r>
                        <w:rPr>
                          <w:rFonts w:ascii="Bernard MT Condensed" w:hAnsi="Bernard MT Condensed"/>
                          <w:color w:val="FFFFFF" w:themeColor="background1"/>
                          <w:sz w:val="24"/>
                          <w:szCs w:val="48"/>
                          <w:lang w:val="en-GB"/>
                        </w:rPr>
                        <w:t>‘</w:t>
                      </w:r>
                      <w:r w:rsidRPr="007D1470">
                        <w:rPr>
                          <w:rFonts w:ascii="Bernard MT Condensed" w:hAnsi="Bernard MT Condensed"/>
                          <w:color w:val="FFFFFF" w:themeColor="background1"/>
                          <w:sz w:val="24"/>
                          <w:szCs w:val="48"/>
                          <w:lang w:val="en-GB"/>
                        </w:rPr>
                        <w:t>refreshed</w:t>
                      </w:r>
                      <w:r>
                        <w:rPr>
                          <w:rFonts w:ascii="Bernard MT Condensed" w:hAnsi="Bernard MT Condensed"/>
                          <w:color w:val="FFFFFF" w:themeColor="background1"/>
                          <w:sz w:val="24"/>
                          <w:szCs w:val="48"/>
                          <w:lang w:val="en-GB"/>
                        </w:rPr>
                        <w:t>’</w:t>
                      </w:r>
                      <w:r w:rsidRPr="007D1470">
                        <w:rPr>
                          <w:rFonts w:ascii="Bernard MT Condensed" w:hAnsi="Bernard MT Condensed"/>
                          <w:color w:val="FFFFFF" w:themeColor="background1"/>
                          <w:sz w:val="24"/>
                          <w:szCs w:val="48"/>
                          <w:lang w:val="en-GB"/>
                        </w:rPr>
                        <w:t xml:space="preserve"> National Strategic Plan to END TB in</w:t>
                      </w:r>
                      <w:r>
                        <w:rPr>
                          <w:rFonts w:ascii="Bernard MT Condensed" w:hAnsi="Bernard MT Condensed"/>
                          <w:color w:val="FFFFFF" w:themeColor="background1"/>
                          <w:sz w:val="24"/>
                          <w:szCs w:val="48"/>
                          <w:lang w:val="en-GB"/>
                        </w:rPr>
                        <w:t xml:space="preserve"> </w:t>
                      </w:r>
                      <w:r w:rsidRPr="007D1470">
                        <w:rPr>
                          <w:rFonts w:ascii="Bernard MT Condensed" w:hAnsi="Bernard MT Condensed"/>
                          <w:color w:val="FFFFFF" w:themeColor="background1"/>
                          <w:sz w:val="24"/>
                          <w:szCs w:val="48"/>
                          <w:lang w:val="en-GB"/>
                        </w:rPr>
                        <w:t>India</w:t>
                      </w:r>
                      <w:r>
                        <w:rPr>
                          <w:rFonts w:ascii="Bernard MT Condensed" w:hAnsi="Bernard MT Condensed"/>
                          <w:color w:val="FFFFFF" w:themeColor="background1"/>
                          <w:sz w:val="24"/>
                          <w:szCs w:val="48"/>
                          <w:lang w:val="en-GB"/>
                        </w:rPr>
                        <w:t xml:space="preserve"> 2020-25   </w:t>
                      </w:r>
                      <w:r w:rsidRPr="007D1470">
                        <w:rPr>
                          <w:rFonts w:ascii="Bernard MT Condensed" w:hAnsi="Bernard MT Condensed"/>
                          <w:color w:val="FFFFFF" w:themeColor="background1"/>
                          <w:sz w:val="24"/>
                          <w:szCs w:val="48"/>
                          <w:lang w:val="en-GB"/>
                        </w:rPr>
                        <w:t xml:space="preserve"> </w:t>
                      </w:r>
                    </w:p>
                    <w:p w14:paraId="6649C078" w14:textId="77777777" w:rsidR="00D55F8F"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1.2 </w:t>
                      </w:r>
                      <w:r>
                        <w:rPr>
                          <w:rFonts w:ascii="Bernard MT Condensed" w:hAnsi="Bernard MT Condensed"/>
                          <w:color w:val="FFFFFF" w:themeColor="background1"/>
                          <w:sz w:val="24"/>
                          <w:szCs w:val="48"/>
                          <w:lang w:val="en-GB"/>
                        </w:rPr>
                        <w:tab/>
                        <w:t xml:space="preserve">Developing the NSP </w:t>
                      </w:r>
                    </w:p>
                    <w:p w14:paraId="55E8E32E" w14:textId="2703CD11" w:rsidR="00D55F8F" w:rsidRPr="007D1470" w:rsidRDefault="00D55F8F" w:rsidP="008E669D">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1.3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Globa</w:t>
                      </w:r>
                      <w:r>
                        <w:rPr>
                          <w:rFonts w:ascii="Bernard MT Condensed" w:hAnsi="Bernard MT Condensed"/>
                          <w:color w:val="FFFFFF" w:themeColor="background1"/>
                          <w:sz w:val="24"/>
                          <w:szCs w:val="48"/>
                          <w:lang w:val="en-GB"/>
                        </w:rPr>
                        <w:t>l directions that shape the NSP</w:t>
                      </w:r>
                    </w:p>
                    <w:p w14:paraId="57EC6FE2" w14:textId="43B0EA52" w:rsidR="00D55F8F" w:rsidRDefault="00D55F8F" w:rsidP="008E669D">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sidRPr="008E669D">
                        <w:rPr>
                          <w:rFonts w:ascii="Bernard MT Condensed" w:hAnsi="Bernard MT Condensed"/>
                          <w:color w:val="FFFFFF" w:themeColor="background1"/>
                          <w:sz w:val="24"/>
                          <w:szCs w:val="48"/>
                          <w:lang w:val="en-GB"/>
                        </w:rPr>
                        <w:t xml:space="preserve">1.4 </w:t>
                      </w:r>
                      <w:r>
                        <w:rPr>
                          <w:rFonts w:ascii="Bernard MT Condensed" w:hAnsi="Bernard MT Condensed"/>
                          <w:color w:val="FFFFFF" w:themeColor="background1"/>
                          <w:sz w:val="24"/>
                          <w:szCs w:val="48"/>
                          <w:lang w:val="en-GB"/>
                        </w:rPr>
                        <w:tab/>
                        <w:t>National directions that shape the NSP :</w:t>
                      </w:r>
                      <w:r w:rsidRPr="008E669D">
                        <w:rPr>
                          <w:rFonts w:ascii="Bernard MT Condensed" w:hAnsi="Bernard MT Condensed"/>
                          <w:color w:val="FFFFFF" w:themeColor="background1"/>
                          <w:sz w:val="24"/>
                          <w:szCs w:val="48"/>
                          <w:lang w:val="en-GB"/>
                        </w:rPr>
                        <w:t xml:space="preserve"> National Health Policy and</w:t>
                      </w:r>
                      <w:r>
                        <w:rPr>
                          <w:rFonts w:ascii="Bernard MT Condensed" w:hAnsi="Bernard MT Condensed"/>
                          <w:color w:val="FFFFFF" w:themeColor="background1"/>
                          <w:sz w:val="24"/>
                          <w:szCs w:val="48"/>
                          <w:lang w:val="en-GB"/>
                        </w:rPr>
                        <w:t xml:space="preserve"> </w:t>
                      </w:r>
                      <w:r w:rsidRPr="008E669D">
                        <w:rPr>
                          <w:rFonts w:ascii="Bernard MT Condensed" w:hAnsi="Bernard MT Condensed"/>
                          <w:color w:val="FFFFFF" w:themeColor="background1"/>
                          <w:sz w:val="24"/>
                          <w:szCs w:val="48"/>
                          <w:lang w:val="en-GB"/>
                        </w:rPr>
                        <w:t>NSP’s linkage with the National Health</w:t>
                      </w:r>
                      <w:r>
                        <w:rPr>
                          <w:rFonts w:ascii="Bernard MT Condensed" w:hAnsi="Bernard MT Condensed"/>
                          <w:color w:val="FFFFFF" w:themeColor="background1"/>
                          <w:sz w:val="24"/>
                          <w:szCs w:val="48"/>
                          <w:lang w:val="en-GB"/>
                        </w:rPr>
                        <w:t xml:space="preserve"> Policy</w:t>
                      </w:r>
                    </w:p>
                    <w:p w14:paraId="674A8765" w14:textId="5E5F165E" w:rsidR="00D55F8F" w:rsidRPr="007D1470" w:rsidRDefault="00D55F8F" w:rsidP="007D10FA">
                      <w:pPr>
                        <w:shd w:val="clear" w:color="auto" w:fill="17365D" w:themeFill="text2" w:themeFillShade="BF"/>
                        <w:spacing w:before="0" w:after="24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1.5 </w:t>
                      </w:r>
                      <w:r>
                        <w:rPr>
                          <w:rFonts w:ascii="Bernard MT Condensed" w:hAnsi="Bernard MT Condensed"/>
                          <w:color w:val="FFFFFF" w:themeColor="background1"/>
                          <w:sz w:val="24"/>
                          <w:szCs w:val="48"/>
                          <w:lang w:val="en-GB"/>
                        </w:rPr>
                        <w:tab/>
                      </w:r>
                      <w:r w:rsidRPr="008E669D">
                        <w:rPr>
                          <w:rFonts w:ascii="Bernard MT Condensed" w:hAnsi="Bernard MT Condensed"/>
                          <w:color w:val="FFFFFF" w:themeColor="background1"/>
                          <w:sz w:val="24"/>
                          <w:szCs w:val="48"/>
                          <w:lang w:val="en-GB"/>
                        </w:rPr>
                        <w:t>COVID-19 pandemic</w:t>
                      </w:r>
                      <w:r>
                        <w:rPr>
                          <w:rFonts w:ascii="Bernard MT Condensed" w:hAnsi="Bernard MT Condensed"/>
                          <w:color w:val="FFFFFF" w:themeColor="background1"/>
                          <w:sz w:val="24"/>
                          <w:szCs w:val="48"/>
                          <w:lang w:val="en-GB"/>
                        </w:rPr>
                        <w:t xml:space="preserve"> shapes ENDING TB in India</w:t>
                      </w:r>
                      <w:r w:rsidRPr="008E669D">
                        <w:rPr>
                          <w:rFonts w:ascii="Bernard MT Condensed" w:hAnsi="Bernard MT Condensed"/>
                          <w:color w:val="FFFFFF" w:themeColor="background1"/>
                          <w:sz w:val="24"/>
                          <w:szCs w:val="48"/>
                          <w:lang w:val="en-GB"/>
                        </w:rPr>
                        <w:t xml:space="preserve"> </w:t>
                      </w:r>
                    </w:p>
                    <w:p w14:paraId="121217F7" w14:textId="77777777" w:rsidR="00D55F8F" w:rsidRPr="00713F88" w:rsidRDefault="00D55F8F" w:rsidP="00B91BE1">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CHAPTER 2: INDIA: EVOLVING COUNTRY CONTEXT</w:t>
                      </w:r>
                    </w:p>
                    <w:p w14:paraId="5B2E2024" w14:textId="1F2CF9A0"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2.1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Demographic, geographic and socio-economic features</w:t>
                      </w:r>
                    </w:p>
                    <w:p w14:paraId="207742F6" w14:textId="1B71260D"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2.2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Health Systems in India</w:t>
                      </w:r>
                      <w:r w:rsidRPr="007D1470">
                        <w:rPr>
                          <w:rFonts w:ascii="Bernard MT Condensed" w:hAnsi="Bernard MT Condensed"/>
                          <w:color w:val="FFFFFF" w:themeColor="background1"/>
                          <w:sz w:val="24"/>
                          <w:szCs w:val="48"/>
                          <w:lang w:val="en-GB"/>
                        </w:rPr>
                        <w:tab/>
                        <w:t xml:space="preserve"> </w:t>
                      </w:r>
                    </w:p>
                    <w:p w14:paraId="2E25E927" w14:textId="5441B8B2" w:rsidR="00D55F8F" w:rsidRPr="006D1AD3" w:rsidRDefault="00D55F8F" w:rsidP="007D10FA">
                      <w:pPr>
                        <w:shd w:val="clear" w:color="auto" w:fill="17365D" w:themeFill="text2" w:themeFillShade="BF"/>
                        <w:spacing w:before="0" w:after="24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2.3 </w:t>
                      </w:r>
                      <w:r>
                        <w:rPr>
                          <w:rFonts w:ascii="Bernard MT Condensed" w:hAnsi="Bernard MT Condensed"/>
                          <w:color w:val="FFFFFF" w:themeColor="background1"/>
                          <w:sz w:val="24"/>
                          <w:szCs w:val="48"/>
                          <w:lang w:val="en-GB"/>
                        </w:rPr>
                        <w:tab/>
                        <w:t>NTEP</w:t>
                      </w:r>
                      <w:r w:rsidRPr="006D1AD3">
                        <w:rPr>
                          <w:rFonts w:ascii="Bernard MT Condensed" w:hAnsi="Bernard MT Condensed"/>
                          <w:color w:val="FFFFFF" w:themeColor="background1"/>
                          <w:sz w:val="24"/>
                          <w:szCs w:val="48"/>
                          <w:lang w:val="en-GB"/>
                        </w:rPr>
                        <w:t xml:space="preserve"> implementation arrangements</w:t>
                      </w:r>
                      <w:r w:rsidRPr="006D1AD3">
                        <w:rPr>
                          <w:rFonts w:ascii="Bernard MT Condensed" w:hAnsi="Bernard MT Condensed"/>
                          <w:color w:val="FFFFFF" w:themeColor="background1"/>
                          <w:sz w:val="24"/>
                          <w:szCs w:val="48"/>
                          <w:lang w:val="en-GB"/>
                        </w:rPr>
                        <w:tab/>
                        <w:t xml:space="preserve"> </w:t>
                      </w:r>
                    </w:p>
                    <w:p w14:paraId="7F6E4459" w14:textId="72650FE3" w:rsidR="00D55F8F" w:rsidRPr="00713F88" w:rsidRDefault="00D55F8F" w:rsidP="00B91BE1">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 xml:space="preserve">CHAPTER 3: </w:t>
                      </w:r>
                      <w:r w:rsidRPr="007D10FA">
                        <w:rPr>
                          <w:rFonts w:ascii="Bernard MT Condensed" w:hAnsi="Bernard MT Condensed"/>
                          <w:color w:val="FFFFFF" w:themeColor="background1"/>
                          <w:sz w:val="40"/>
                          <w:szCs w:val="48"/>
                          <w:lang w:val="en-GB"/>
                        </w:rPr>
                        <w:t>JOINT MONITORING MISSION OF NTEP AND COMMON REVIEW MISSION OF NATIONAL HEALTH MISSION</w:t>
                      </w:r>
                    </w:p>
                    <w:p w14:paraId="0BB458BF" w14:textId="13C03290" w:rsidR="00D55F8F" w:rsidRPr="007D1470" w:rsidRDefault="00D55F8F" w:rsidP="007D10FA">
                      <w:pPr>
                        <w:shd w:val="clear" w:color="auto" w:fill="17365D" w:themeFill="text2" w:themeFillShade="BF"/>
                        <w:spacing w:before="0" w:after="0"/>
                        <w:ind w:left="2160"/>
                        <w:rPr>
                          <w:rFonts w:ascii="Bernard MT Condensed" w:hAnsi="Bernard MT Condensed"/>
                          <w:color w:val="FFFFFF" w:themeColor="background1"/>
                          <w:sz w:val="24"/>
                          <w:szCs w:val="48"/>
                          <w:lang w:val="en-GB"/>
                        </w:rPr>
                      </w:pPr>
                    </w:p>
                    <w:p w14:paraId="20BD5C06" w14:textId="77777777" w:rsidR="00D55F8F" w:rsidRPr="00713F88" w:rsidRDefault="00D55F8F" w:rsidP="00B91BE1">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 xml:space="preserve">CHAPTER 4: SITUATION ANALYSIS </w:t>
                      </w:r>
                    </w:p>
                    <w:p w14:paraId="00EA0EE3" w14:textId="75DB839B" w:rsidR="00D55F8F"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4.1 </w:t>
                      </w:r>
                      <w:r>
                        <w:rPr>
                          <w:rFonts w:ascii="Bernard MT Condensed" w:hAnsi="Bernard MT Condensed"/>
                          <w:color w:val="FFFFFF" w:themeColor="background1"/>
                          <w:sz w:val="24"/>
                          <w:szCs w:val="48"/>
                          <w:lang w:val="en-GB"/>
                        </w:rPr>
                        <w:tab/>
                        <w:t>TB epidemiology in India</w:t>
                      </w:r>
                      <w:r w:rsidRPr="007D1470">
                        <w:rPr>
                          <w:rFonts w:ascii="Bernard MT Condensed" w:hAnsi="Bernard MT Condensed"/>
                          <w:color w:val="FFFFFF" w:themeColor="background1"/>
                          <w:sz w:val="24"/>
                          <w:szCs w:val="48"/>
                          <w:lang w:val="en-GB"/>
                        </w:rPr>
                        <w:t xml:space="preserve"> </w:t>
                      </w:r>
                    </w:p>
                    <w:p w14:paraId="1B801458" w14:textId="53BAF46C"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4.2 </w:t>
                      </w:r>
                      <w:r>
                        <w:rPr>
                          <w:rFonts w:ascii="Bernard MT Condensed" w:hAnsi="Bernard MT Condensed"/>
                          <w:color w:val="FFFFFF" w:themeColor="background1"/>
                          <w:sz w:val="24"/>
                          <w:szCs w:val="48"/>
                          <w:lang w:val="en-GB"/>
                        </w:rPr>
                        <w:tab/>
                        <w:t>E</w:t>
                      </w:r>
                      <w:r w:rsidRPr="007D1470">
                        <w:rPr>
                          <w:rFonts w:ascii="Bernard MT Condensed" w:hAnsi="Bernard MT Condensed"/>
                          <w:color w:val="FFFFFF" w:themeColor="background1"/>
                          <w:sz w:val="24"/>
                          <w:szCs w:val="48"/>
                          <w:lang w:val="en-GB"/>
                        </w:rPr>
                        <w:t xml:space="preserve">pidemiological </w:t>
                      </w:r>
                      <w:r>
                        <w:rPr>
                          <w:rFonts w:ascii="Bernard MT Condensed" w:hAnsi="Bernard MT Condensed"/>
                          <w:color w:val="FFFFFF" w:themeColor="background1"/>
                          <w:sz w:val="24"/>
                          <w:szCs w:val="48"/>
                          <w:lang w:val="en-GB"/>
                        </w:rPr>
                        <w:t>p</w:t>
                      </w:r>
                      <w:r w:rsidRPr="007D1470">
                        <w:rPr>
                          <w:rFonts w:ascii="Bernard MT Condensed" w:hAnsi="Bernard MT Condensed"/>
                          <w:color w:val="FFFFFF" w:themeColor="background1"/>
                          <w:sz w:val="24"/>
                          <w:szCs w:val="48"/>
                          <w:lang w:val="en-GB"/>
                        </w:rPr>
                        <w:t xml:space="preserve">rojections in India </w:t>
                      </w:r>
                    </w:p>
                    <w:p w14:paraId="1B99365C" w14:textId="2B334027" w:rsidR="00D55F8F" w:rsidRPr="007D1470" w:rsidRDefault="00D55F8F" w:rsidP="00B91BE1">
                      <w:pPr>
                        <w:shd w:val="clear" w:color="auto" w:fill="17365D" w:themeFill="text2" w:themeFillShade="BF"/>
                        <w:spacing w:before="0" w:after="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4.3 </w:t>
                      </w:r>
                      <w:r>
                        <w:rPr>
                          <w:rFonts w:ascii="Bernard MT Condensed" w:hAnsi="Bernard MT Condensed"/>
                          <w:color w:val="FFFFFF" w:themeColor="background1"/>
                          <w:sz w:val="24"/>
                          <w:szCs w:val="48"/>
                          <w:lang w:val="en-GB"/>
                        </w:rPr>
                        <w:tab/>
                        <w:t>NTEP</w:t>
                      </w:r>
                      <w:r w:rsidRPr="007D1470">
                        <w:rPr>
                          <w:rFonts w:ascii="Bernard MT Condensed" w:hAnsi="Bernard MT Condensed"/>
                          <w:color w:val="FFFFFF" w:themeColor="background1"/>
                          <w:sz w:val="24"/>
                          <w:szCs w:val="48"/>
                          <w:lang w:val="en-GB"/>
                        </w:rPr>
                        <w:t xml:space="preserve"> Performance and impact</w:t>
                      </w:r>
                    </w:p>
                    <w:p w14:paraId="5FC71859" w14:textId="366E0EAC" w:rsidR="00D55F8F" w:rsidRPr="007D1470" w:rsidRDefault="00D55F8F" w:rsidP="007D10FA">
                      <w:pPr>
                        <w:shd w:val="clear" w:color="auto" w:fill="17365D" w:themeFill="text2" w:themeFillShade="BF"/>
                        <w:spacing w:before="0" w:after="240"/>
                        <w:ind w:left="2160"/>
                        <w:rPr>
                          <w:rFonts w:ascii="Bernard MT Condensed" w:hAnsi="Bernard MT Condensed"/>
                          <w:color w:val="FFFFFF" w:themeColor="background1"/>
                          <w:sz w:val="24"/>
                          <w:szCs w:val="48"/>
                          <w:lang w:val="en-GB"/>
                        </w:rPr>
                      </w:pPr>
                      <w:r>
                        <w:rPr>
                          <w:rFonts w:ascii="Bernard MT Condensed" w:hAnsi="Bernard MT Condensed"/>
                          <w:color w:val="FFFFFF" w:themeColor="background1"/>
                          <w:sz w:val="24"/>
                          <w:szCs w:val="48"/>
                          <w:lang w:val="en-GB"/>
                        </w:rPr>
                        <w:t xml:space="preserve">4.4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 xml:space="preserve">Progress towards addressing the social determinants of TB (UHC, SDG3) </w:t>
                      </w:r>
                      <w:r>
                        <w:rPr>
                          <w:rFonts w:ascii="Bernard MT Condensed" w:hAnsi="Bernard MT Condensed"/>
                          <w:color w:val="FFFFFF" w:themeColor="background1"/>
                          <w:sz w:val="24"/>
                          <w:szCs w:val="48"/>
                          <w:lang w:val="en-GB"/>
                        </w:rPr>
                        <w:tab/>
                      </w:r>
                      <w:r w:rsidRPr="007D1470">
                        <w:rPr>
                          <w:rFonts w:ascii="Bernard MT Condensed" w:hAnsi="Bernard MT Condensed"/>
                          <w:color w:val="FFFFFF" w:themeColor="background1"/>
                          <w:sz w:val="24"/>
                          <w:szCs w:val="48"/>
                          <w:lang w:val="en-GB"/>
                        </w:rPr>
                        <w:t>and the Global commitments</w:t>
                      </w:r>
                    </w:p>
                    <w:p w14:paraId="47F5E9CB" w14:textId="5CFCAB77" w:rsidR="00D55F8F" w:rsidRPr="00713F88" w:rsidRDefault="00D55F8F" w:rsidP="00663C3B">
                      <w:pPr>
                        <w:shd w:val="clear" w:color="auto" w:fill="17365D" w:themeFill="text2" w:themeFillShade="BF"/>
                        <w:spacing w:before="0" w:after="0"/>
                        <w:ind w:left="1710"/>
                        <w:rPr>
                          <w:rFonts w:ascii="Bernard MT Condensed" w:hAnsi="Bernard MT Condensed"/>
                          <w:color w:val="FFFFFF" w:themeColor="background1"/>
                          <w:sz w:val="40"/>
                          <w:szCs w:val="48"/>
                          <w:lang w:val="en-GB"/>
                        </w:rPr>
                      </w:pPr>
                      <w:r>
                        <w:rPr>
                          <w:rFonts w:ascii="Bernard MT Condensed" w:hAnsi="Bernard MT Condensed"/>
                          <w:color w:val="FFFFFF" w:themeColor="background1"/>
                          <w:sz w:val="40"/>
                          <w:szCs w:val="48"/>
                          <w:lang w:val="en-GB"/>
                        </w:rPr>
                        <w:t>CHAPTER 5</w:t>
                      </w:r>
                      <w:r w:rsidRPr="00713F88">
                        <w:rPr>
                          <w:rFonts w:ascii="Bernard MT Condensed" w:hAnsi="Bernard MT Condensed"/>
                          <w:color w:val="FFFFFF" w:themeColor="background1"/>
                          <w:sz w:val="40"/>
                          <w:szCs w:val="48"/>
                          <w:lang w:val="en-GB"/>
                        </w:rPr>
                        <w:t xml:space="preserve">: </w:t>
                      </w:r>
                      <w:r w:rsidRPr="00E1366D">
                        <w:rPr>
                          <w:rFonts w:ascii="Bernard MT Condensed" w:hAnsi="Bernard MT Condensed"/>
                          <w:color w:val="FFFFFF" w:themeColor="background1"/>
                          <w:sz w:val="40"/>
                          <w:szCs w:val="48"/>
                          <w:lang w:val="en-GB"/>
                        </w:rPr>
                        <w:t>ANALYSIS OF THE ENVIRONMENT IN WHICH NTEP FUNCTIONS</w:t>
                      </w:r>
                    </w:p>
                    <w:p w14:paraId="7D620455" w14:textId="31AE0DD3" w:rsidR="00D55F8F" w:rsidRPr="00C66E5A" w:rsidRDefault="00D55F8F" w:rsidP="00B91BE1">
                      <w:pPr>
                        <w:shd w:val="clear" w:color="auto" w:fill="17365D" w:themeFill="text2" w:themeFillShade="BF"/>
                        <w:rPr>
                          <w:color w:val="FFFFFF" w:themeColor="background1"/>
                          <w:sz w:val="44"/>
                          <w:szCs w:val="48"/>
                          <w:lang w:val="en-GB"/>
                        </w:rPr>
                      </w:pPr>
                    </w:p>
                  </w:txbxContent>
                </v:textbox>
                <w10:wrap type="square"/>
              </v:shape>
            </w:pict>
          </mc:Fallback>
        </mc:AlternateContent>
      </w:r>
      <w:r w:rsidR="004653F2">
        <w:rPr>
          <w:rFonts w:asciiTheme="minorHAnsi" w:hAnsiTheme="minorHAnsi" w:cstheme="minorHAnsi"/>
          <w:b/>
          <w:snapToGrid w:val="0"/>
          <w:sz w:val="36"/>
        </w:rPr>
        <w:br w:type="page"/>
      </w:r>
    </w:p>
    <w:p w14:paraId="61D01F83" w14:textId="77777777" w:rsidR="002A7608" w:rsidRDefault="00B2254E" w:rsidP="00663C3B">
      <w:pPr>
        <w:pStyle w:val="Heading1"/>
        <w:tabs>
          <w:tab w:val="num" w:pos="5670"/>
        </w:tabs>
        <w:ind w:left="5040"/>
        <w:rPr>
          <w:rFonts w:asciiTheme="minorHAnsi" w:hAnsiTheme="minorHAnsi" w:cstheme="minorHAnsi"/>
          <w:b/>
          <w:snapToGrid w:val="0"/>
          <w:color w:val="auto"/>
        </w:rPr>
      </w:pPr>
      <w:bookmarkStart w:id="4" w:name="_Toc2777242"/>
      <w:r w:rsidRPr="00734B6A">
        <w:rPr>
          <w:rFonts w:asciiTheme="minorHAnsi" w:hAnsiTheme="minorHAnsi" w:cstheme="minorHAnsi"/>
          <w:b/>
          <w:snapToGrid w:val="0"/>
          <w:color w:val="auto"/>
          <w:sz w:val="36"/>
        </w:rPr>
        <w:lastRenderedPageBreak/>
        <w:t xml:space="preserve">Chapter 1 </w:t>
      </w:r>
      <w:r w:rsidR="00CC1D2D" w:rsidRPr="00734B6A">
        <w:rPr>
          <w:rFonts w:asciiTheme="minorHAnsi" w:hAnsiTheme="minorHAnsi" w:cstheme="minorHAnsi"/>
          <w:b/>
          <w:snapToGrid w:val="0"/>
          <w:color w:val="auto"/>
        </w:rPr>
        <w:t>Introduction</w:t>
      </w:r>
      <w:bookmarkStart w:id="5" w:name="_Toc472975880"/>
      <w:bookmarkStart w:id="6" w:name="_Toc472976148"/>
      <w:bookmarkStart w:id="7" w:name="_Toc474783475"/>
      <w:bookmarkStart w:id="8" w:name="_Toc476680425"/>
      <w:bookmarkStart w:id="9" w:name="_Toc476681681"/>
      <w:bookmarkStart w:id="10" w:name="_Toc476682929"/>
      <w:bookmarkStart w:id="11" w:name="_Toc90370391"/>
      <w:bookmarkStart w:id="12" w:name="_Toc90393860"/>
      <w:bookmarkStart w:id="13" w:name="_Toc90370385"/>
      <w:bookmarkStart w:id="14" w:name="_Toc90393854"/>
      <w:bookmarkEnd w:id="4"/>
    </w:p>
    <w:p w14:paraId="16AF2B8E" w14:textId="679514EF" w:rsidR="00B21B10" w:rsidRPr="00EC3830" w:rsidRDefault="00FE7FB4" w:rsidP="00EC3830">
      <w:pPr>
        <w:jc w:val="both"/>
        <w:rPr>
          <w:rFonts w:asciiTheme="minorHAnsi" w:hAnsiTheme="minorHAnsi" w:cstheme="minorHAnsi"/>
          <w:b/>
          <w:color w:val="C86A07" w:themeColor="accent2" w:themeShade="BF"/>
          <w:sz w:val="28"/>
        </w:rPr>
      </w:pPr>
      <w:bookmarkStart w:id="15" w:name="_Toc2777243"/>
      <w:r>
        <w:rPr>
          <w:rFonts w:asciiTheme="minorHAnsi" w:hAnsiTheme="minorHAnsi" w:cstheme="minorHAnsi"/>
          <w:b/>
          <w:color w:val="C86A07" w:themeColor="accent2" w:themeShade="BF"/>
          <w:sz w:val="28"/>
        </w:rPr>
        <w:t xml:space="preserve">1.1 </w:t>
      </w:r>
      <w:r>
        <w:rPr>
          <w:rFonts w:asciiTheme="minorHAnsi" w:hAnsiTheme="minorHAnsi" w:cstheme="minorHAnsi"/>
          <w:b/>
          <w:color w:val="C86A07" w:themeColor="accent2" w:themeShade="BF"/>
          <w:sz w:val="28"/>
        </w:rPr>
        <w:tab/>
        <w:t>The purpose of the reinvigorated</w:t>
      </w:r>
      <w:r w:rsidR="00B21B10" w:rsidRPr="00EC3830">
        <w:rPr>
          <w:rFonts w:asciiTheme="minorHAnsi" w:hAnsiTheme="minorHAnsi" w:cstheme="minorHAnsi"/>
          <w:b/>
          <w:color w:val="C86A07" w:themeColor="accent2" w:themeShade="BF"/>
          <w:sz w:val="28"/>
        </w:rPr>
        <w:t xml:space="preserve"> National Strategic Plan</w:t>
      </w:r>
      <w:r>
        <w:rPr>
          <w:rFonts w:asciiTheme="minorHAnsi" w:hAnsiTheme="minorHAnsi" w:cstheme="minorHAnsi"/>
          <w:b/>
          <w:color w:val="C86A07" w:themeColor="accent2" w:themeShade="BF"/>
          <w:sz w:val="28"/>
        </w:rPr>
        <w:t xml:space="preserve"> 2020-25</w:t>
      </w:r>
      <w:r w:rsidR="00B21B10" w:rsidRPr="00EC3830">
        <w:rPr>
          <w:rFonts w:asciiTheme="minorHAnsi" w:hAnsiTheme="minorHAnsi" w:cstheme="minorHAnsi"/>
          <w:b/>
          <w:color w:val="C86A07" w:themeColor="accent2" w:themeShade="BF"/>
          <w:sz w:val="28"/>
        </w:rPr>
        <w:t xml:space="preserve"> to END TB in India </w:t>
      </w:r>
    </w:p>
    <w:p w14:paraId="32EEADED" w14:textId="42D9D04E" w:rsidR="0031420A" w:rsidRPr="00734B6A" w:rsidRDefault="0031420A" w:rsidP="00C129C4">
      <w:pPr>
        <w:spacing w:before="0"/>
        <w:jc w:val="both"/>
        <w:rPr>
          <w:rFonts w:asciiTheme="minorHAnsi" w:hAnsiTheme="minorHAnsi" w:cstheme="minorHAnsi"/>
          <w:sz w:val="22"/>
        </w:rPr>
      </w:pPr>
      <w:r>
        <w:rPr>
          <w:rFonts w:asciiTheme="minorHAnsi" w:hAnsiTheme="minorHAnsi" w:cstheme="minorHAnsi"/>
          <w:sz w:val="22"/>
        </w:rPr>
        <w:t xml:space="preserve">This NSP </w:t>
      </w:r>
      <w:r w:rsidRPr="00734B6A">
        <w:rPr>
          <w:rFonts w:asciiTheme="minorHAnsi" w:hAnsiTheme="minorHAnsi" w:cstheme="minorHAnsi"/>
          <w:sz w:val="22"/>
        </w:rPr>
        <w:t>is</w:t>
      </w:r>
      <w:r>
        <w:rPr>
          <w:rFonts w:asciiTheme="minorHAnsi" w:hAnsiTheme="minorHAnsi" w:cstheme="minorHAnsi"/>
          <w:sz w:val="22"/>
        </w:rPr>
        <w:t xml:space="preserve"> an update of the NSP 2017</w:t>
      </w:r>
      <w:r w:rsidR="00BD4AB1">
        <w:rPr>
          <w:rFonts w:asciiTheme="minorHAnsi" w:hAnsiTheme="minorHAnsi" w:cstheme="minorHAnsi"/>
          <w:sz w:val="22"/>
        </w:rPr>
        <w:t>-</w:t>
      </w:r>
      <w:r>
        <w:rPr>
          <w:rFonts w:asciiTheme="minorHAnsi" w:hAnsiTheme="minorHAnsi" w:cstheme="minorHAnsi"/>
          <w:sz w:val="22"/>
        </w:rPr>
        <w:t xml:space="preserve">25 which is necessitated by the rapidly changing environment within which </w:t>
      </w:r>
      <w:r w:rsidR="0050507C">
        <w:rPr>
          <w:rFonts w:asciiTheme="minorHAnsi" w:hAnsiTheme="minorHAnsi" w:cstheme="minorHAnsi"/>
          <w:sz w:val="22"/>
        </w:rPr>
        <w:t>NTEP</w:t>
      </w:r>
      <w:r>
        <w:rPr>
          <w:rFonts w:asciiTheme="minorHAnsi" w:hAnsiTheme="minorHAnsi" w:cstheme="minorHAnsi"/>
          <w:sz w:val="22"/>
        </w:rPr>
        <w:t xml:space="preserve"> operates</w:t>
      </w:r>
      <w:r w:rsidR="008257CC">
        <w:rPr>
          <w:rFonts w:asciiTheme="minorHAnsi" w:hAnsiTheme="minorHAnsi" w:cstheme="minorHAnsi"/>
          <w:sz w:val="22"/>
        </w:rPr>
        <w:t xml:space="preserve">. </w:t>
      </w:r>
      <w:r w:rsidR="008257CC" w:rsidRPr="00734B6A">
        <w:rPr>
          <w:rFonts w:asciiTheme="minorHAnsi" w:hAnsiTheme="minorHAnsi" w:cstheme="minorHAnsi"/>
          <w:sz w:val="22"/>
        </w:rPr>
        <w:t xml:space="preserve">Knowledge and insights generated from </w:t>
      </w:r>
      <w:r w:rsidR="008257CC">
        <w:rPr>
          <w:rFonts w:asciiTheme="minorHAnsi" w:hAnsiTheme="minorHAnsi" w:cstheme="minorHAnsi"/>
          <w:sz w:val="22"/>
        </w:rPr>
        <w:t>the Joint Monitoring mission in 2019,</w:t>
      </w:r>
      <w:r w:rsidR="00310D35">
        <w:rPr>
          <w:rFonts w:asciiTheme="minorHAnsi" w:hAnsiTheme="minorHAnsi" w:cstheme="minorHAnsi"/>
          <w:sz w:val="22"/>
        </w:rPr>
        <w:t xml:space="preserve"> </w:t>
      </w:r>
      <w:r w:rsidR="00453802">
        <w:rPr>
          <w:rFonts w:asciiTheme="minorHAnsi" w:hAnsiTheme="minorHAnsi" w:cstheme="minorHAnsi"/>
          <w:sz w:val="22"/>
        </w:rPr>
        <w:t xml:space="preserve">16 large scale </w:t>
      </w:r>
      <w:r w:rsidR="00310D35">
        <w:rPr>
          <w:rFonts w:asciiTheme="minorHAnsi" w:hAnsiTheme="minorHAnsi" w:cstheme="minorHAnsi"/>
          <w:sz w:val="22"/>
        </w:rPr>
        <w:t>programme evaluations</w:t>
      </w:r>
      <w:r w:rsidR="00453802">
        <w:rPr>
          <w:rFonts w:asciiTheme="minorHAnsi" w:hAnsiTheme="minorHAnsi" w:cstheme="minorHAnsi"/>
          <w:sz w:val="22"/>
        </w:rPr>
        <w:t xml:space="preserve"> (Central Internal Evaluations) during 2017-2019;</w:t>
      </w:r>
      <w:r w:rsidR="008257CC">
        <w:rPr>
          <w:rFonts w:asciiTheme="minorHAnsi" w:hAnsiTheme="minorHAnsi" w:cstheme="minorHAnsi"/>
          <w:sz w:val="22"/>
        </w:rPr>
        <w:t xml:space="preserve"> </w:t>
      </w:r>
      <w:r w:rsidR="008257CC" w:rsidRPr="00734B6A">
        <w:rPr>
          <w:rFonts w:asciiTheme="minorHAnsi" w:hAnsiTheme="minorHAnsi" w:cstheme="minorHAnsi"/>
          <w:sz w:val="22"/>
        </w:rPr>
        <w:t>implementation of the past NSP</w:t>
      </w:r>
      <w:r w:rsidR="008257CC">
        <w:rPr>
          <w:rFonts w:asciiTheme="minorHAnsi" w:hAnsiTheme="minorHAnsi" w:cstheme="minorHAnsi"/>
          <w:sz w:val="22"/>
        </w:rPr>
        <w:t xml:space="preserve"> especially </w:t>
      </w:r>
      <w:r w:rsidR="00453802">
        <w:rPr>
          <w:rFonts w:asciiTheme="minorHAnsi" w:hAnsiTheme="minorHAnsi" w:cstheme="minorHAnsi"/>
          <w:sz w:val="22"/>
        </w:rPr>
        <w:t>scale up of</w:t>
      </w:r>
      <w:r w:rsidR="008257CC">
        <w:rPr>
          <w:rFonts w:asciiTheme="minorHAnsi" w:hAnsiTheme="minorHAnsi" w:cstheme="minorHAnsi"/>
          <w:sz w:val="22"/>
        </w:rPr>
        <w:t xml:space="preserve"> private sector involvement strategies, roll out of rapid molecular tests</w:t>
      </w:r>
      <w:r>
        <w:rPr>
          <w:rFonts w:asciiTheme="minorHAnsi" w:hAnsiTheme="minorHAnsi" w:cstheme="minorHAnsi"/>
          <w:sz w:val="22"/>
        </w:rPr>
        <w:t>,</w:t>
      </w:r>
      <w:r w:rsidR="008257CC">
        <w:rPr>
          <w:rFonts w:asciiTheme="minorHAnsi" w:hAnsiTheme="minorHAnsi" w:cstheme="minorHAnsi"/>
          <w:sz w:val="22"/>
        </w:rPr>
        <w:t xml:space="preserve"> LTBI treatment rollout</w:t>
      </w:r>
      <w:r w:rsidR="00453802">
        <w:rPr>
          <w:rFonts w:asciiTheme="minorHAnsi" w:hAnsiTheme="minorHAnsi" w:cstheme="minorHAnsi"/>
          <w:sz w:val="22"/>
        </w:rPr>
        <w:t>;</w:t>
      </w:r>
      <w:r w:rsidR="008257CC">
        <w:rPr>
          <w:rFonts w:asciiTheme="minorHAnsi" w:hAnsiTheme="minorHAnsi" w:cstheme="minorHAnsi"/>
          <w:sz w:val="22"/>
        </w:rPr>
        <w:t xml:space="preserve"> </w:t>
      </w:r>
      <w:r>
        <w:rPr>
          <w:rFonts w:asciiTheme="minorHAnsi" w:hAnsiTheme="minorHAnsi" w:cstheme="minorHAnsi"/>
          <w:sz w:val="22"/>
        </w:rPr>
        <w:t xml:space="preserve">and </w:t>
      </w:r>
      <w:r w:rsidR="00310650">
        <w:rPr>
          <w:rFonts w:asciiTheme="minorHAnsi" w:hAnsiTheme="minorHAnsi" w:cstheme="minorHAnsi"/>
          <w:sz w:val="22"/>
        </w:rPr>
        <w:t>updated recommendations</w:t>
      </w:r>
      <w:r>
        <w:rPr>
          <w:rFonts w:asciiTheme="minorHAnsi" w:hAnsiTheme="minorHAnsi" w:cstheme="minorHAnsi"/>
          <w:sz w:val="22"/>
        </w:rPr>
        <w:t xml:space="preserve"> from WHO</w:t>
      </w:r>
      <w:r w:rsidR="008257CC">
        <w:rPr>
          <w:rFonts w:asciiTheme="minorHAnsi" w:hAnsiTheme="minorHAnsi" w:cstheme="minorHAnsi"/>
          <w:sz w:val="22"/>
        </w:rPr>
        <w:t xml:space="preserve"> sets the direction f</w:t>
      </w:r>
      <w:r w:rsidR="00453802">
        <w:rPr>
          <w:rFonts w:asciiTheme="minorHAnsi" w:hAnsiTheme="minorHAnsi" w:cstheme="minorHAnsi"/>
          <w:sz w:val="22"/>
        </w:rPr>
        <w:t>or</w:t>
      </w:r>
      <w:r w:rsidR="008257CC">
        <w:rPr>
          <w:rFonts w:asciiTheme="minorHAnsi" w:hAnsiTheme="minorHAnsi" w:cstheme="minorHAnsi"/>
          <w:sz w:val="22"/>
        </w:rPr>
        <w:t xml:space="preserve"> this NSP</w:t>
      </w:r>
      <w:r>
        <w:rPr>
          <w:rFonts w:asciiTheme="minorHAnsi" w:hAnsiTheme="minorHAnsi" w:cstheme="minorHAnsi"/>
          <w:sz w:val="22"/>
        </w:rPr>
        <w:t>. As in the p</w:t>
      </w:r>
      <w:r w:rsidRPr="00734B6A">
        <w:rPr>
          <w:rFonts w:asciiTheme="minorHAnsi" w:hAnsiTheme="minorHAnsi" w:cstheme="minorHAnsi"/>
          <w:sz w:val="22"/>
        </w:rPr>
        <w:t>a</w:t>
      </w:r>
      <w:r w:rsidR="008257CC">
        <w:rPr>
          <w:rFonts w:asciiTheme="minorHAnsi" w:hAnsiTheme="minorHAnsi" w:cstheme="minorHAnsi"/>
          <w:sz w:val="22"/>
        </w:rPr>
        <w:t>st, the</w:t>
      </w:r>
      <w:r>
        <w:rPr>
          <w:rFonts w:asciiTheme="minorHAnsi" w:hAnsiTheme="minorHAnsi" w:cstheme="minorHAnsi"/>
          <w:sz w:val="22"/>
        </w:rPr>
        <w:t xml:space="preserve"> NSP</w:t>
      </w:r>
      <w:r w:rsidR="008257CC">
        <w:rPr>
          <w:rFonts w:asciiTheme="minorHAnsi" w:hAnsiTheme="minorHAnsi" w:cstheme="minorHAnsi"/>
          <w:sz w:val="22"/>
        </w:rPr>
        <w:t xml:space="preserve"> </w:t>
      </w:r>
      <w:r w:rsidR="00E20F7B">
        <w:rPr>
          <w:rFonts w:asciiTheme="minorHAnsi" w:hAnsiTheme="minorHAnsi" w:cstheme="minorHAnsi"/>
          <w:sz w:val="22"/>
        </w:rPr>
        <w:t xml:space="preserve">2020-25 </w:t>
      </w:r>
      <w:r>
        <w:rPr>
          <w:rFonts w:asciiTheme="minorHAnsi" w:hAnsiTheme="minorHAnsi" w:cstheme="minorHAnsi"/>
          <w:sz w:val="22"/>
        </w:rPr>
        <w:t xml:space="preserve">is a </w:t>
      </w:r>
      <w:r w:rsidRPr="00734B6A">
        <w:rPr>
          <w:rFonts w:asciiTheme="minorHAnsi" w:hAnsiTheme="minorHAnsi" w:cstheme="minorHAnsi"/>
          <w:sz w:val="22"/>
        </w:rPr>
        <w:t>framework to guide the activities of all stakeholders including the national and state governments, development partners, civil society organizations, international agencies, research institutions, private sector, and many others whose work is relevant to TB e</w:t>
      </w:r>
      <w:r>
        <w:rPr>
          <w:rFonts w:asciiTheme="minorHAnsi" w:hAnsiTheme="minorHAnsi" w:cstheme="minorHAnsi"/>
          <w:sz w:val="22"/>
        </w:rPr>
        <w:t>limination in India. Th</w:t>
      </w:r>
      <w:r w:rsidR="008257CC">
        <w:rPr>
          <w:rFonts w:asciiTheme="minorHAnsi" w:hAnsiTheme="minorHAnsi" w:cstheme="minorHAnsi"/>
          <w:sz w:val="22"/>
        </w:rPr>
        <w:t>is</w:t>
      </w:r>
      <w:r>
        <w:rPr>
          <w:rFonts w:asciiTheme="minorHAnsi" w:hAnsiTheme="minorHAnsi" w:cstheme="minorHAnsi"/>
          <w:sz w:val="22"/>
        </w:rPr>
        <w:t xml:space="preserve"> NSP is </w:t>
      </w:r>
      <w:r w:rsidRPr="00734B6A">
        <w:rPr>
          <w:rFonts w:asciiTheme="minorHAnsi" w:hAnsiTheme="minorHAnsi" w:cstheme="minorHAnsi"/>
          <w:sz w:val="22"/>
        </w:rPr>
        <w:t xml:space="preserve">a </w:t>
      </w:r>
      <w:r>
        <w:rPr>
          <w:rFonts w:asciiTheme="minorHAnsi" w:hAnsiTheme="minorHAnsi" w:cstheme="minorHAnsi"/>
          <w:sz w:val="22"/>
        </w:rPr>
        <w:t>five</w:t>
      </w:r>
      <w:r w:rsidRPr="00734B6A">
        <w:rPr>
          <w:rFonts w:asciiTheme="minorHAnsi" w:hAnsiTheme="minorHAnsi" w:cstheme="minorHAnsi"/>
          <w:sz w:val="22"/>
        </w:rPr>
        <w:t xml:space="preserve"> year strategy document</w:t>
      </w:r>
      <w:r>
        <w:rPr>
          <w:rFonts w:asciiTheme="minorHAnsi" w:hAnsiTheme="minorHAnsi" w:cstheme="minorHAnsi"/>
          <w:sz w:val="22"/>
        </w:rPr>
        <w:t xml:space="preserve"> that </w:t>
      </w:r>
      <w:r w:rsidRPr="00734B6A">
        <w:rPr>
          <w:rFonts w:asciiTheme="minorHAnsi" w:hAnsiTheme="minorHAnsi" w:cstheme="minorHAnsi"/>
          <w:sz w:val="22"/>
        </w:rPr>
        <w:t>provides goals</w:t>
      </w:r>
      <w:r>
        <w:rPr>
          <w:rFonts w:asciiTheme="minorHAnsi" w:hAnsiTheme="minorHAnsi" w:cstheme="minorHAnsi"/>
          <w:sz w:val="22"/>
        </w:rPr>
        <w:t xml:space="preserve">, </w:t>
      </w:r>
      <w:r w:rsidRPr="00734B6A">
        <w:rPr>
          <w:rFonts w:asciiTheme="minorHAnsi" w:hAnsiTheme="minorHAnsi" w:cstheme="minorHAnsi"/>
          <w:sz w:val="22"/>
        </w:rPr>
        <w:t>strategies</w:t>
      </w:r>
      <w:r>
        <w:rPr>
          <w:rFonts w:asciiTheme="minorHAnsi" w:hAnsiTheme="minorHAnsi" w:cstheme="minorHAnsi"/>
          <w:sz w:val="22"/>
        </w:rPr>
        <w:t xml:space="preserve"> and interventions</w:t>
      </w:r>
      <w:r w:rsidRPr="00734B6A">
        <w:rPr>
          <w:rFonts w:asciiTheme="minorHAnsi" w:hAnsiTheme="minorHAnsi" w:cstheme="minorHAnsi"/>
          <w:sz w:val="22"/>
        </w:rPr>
        <w:t xml:space="preserve"> for the country’s response to the</w:t>
      </w:r>
      <w:r>
        <w:rPr>
          <w:rFonts w:asciiTheme="minorHAnsi" w:hAnsiTheme="minorHAnsi" w:cstheme="minorHAnsi"/>
          <w:sz w:val="22"/>
        </w:rPr>
        <w:t xml:space="preserve"> disease</w:t>
      </w:r>
      <w:r w:rsidR="008257CC">
        <w:rPr>
          <w:rFonts w:asciiTheme="minorHAnsi" w:hAnsiTheme="minorHAnsi" w:cstheme="minorHAnsi"/>
          <w:sz w:val="22"/>
        </w:rPr>
        <w:t xml:space="preserve"> </w:t>
      </w:r>
      <w:r w:rsidRPr="00734B6A">
        <w:rPr>
          <w:rFonts w:asciiTheme="minorHAnsi" w:hAnsiTheme="minorHAnsi" w:cstheme="minorHAnsi"/>
          <w:sz w:val="22"/>
        </w:rPr>
        <w:t>and aims to direct the</w:t>
      </w:r>
      <w:r>
        <w:rPr>
          <w:rFonts w:asciiTheme="minorHAnsi" w:hAnsiTheme="minorHAnsi" w:cstheme="minorHAnsi"/>
          <w:sz w:val="22"/>
        </w:rPr>
        <w:t xml:space="preserve"> attention of all stakeholders to</w:t>
      </w:r>
      <w:r w:rsidRPr="00734B6A">
        <w:rPr>
          <w:rFonts w:asciiTheme="minorHAnsi" w:hAnsiTheme="minorHAnsi" w:cstheme="minorHAnsi"/>
          <w:sz w:val="22"/>
        </w:rPr>
        <w:t xml:space="preserve"> the most important interventions that the </w:t>
      </w:r>
      <w:r w:rsidR="0050507C">
        <w:rPr>
          <w:rFonts w:asciiTheme="minorHAnsi" w:hAnsiTheme="minorHAnsi" w:cstheme="minorHAnsi"/>
          <w:sz w:val="22"/>
        </w:rPr>
        <w:t>NTEP</w:t>
      </w:r>
      <w:r w:rsidRPr="00734B6A">
        <w:rPr>
          <w:rFonts w:asciiTheme="minorHAnsi" w:hAnsiTheme="minorHAnsi" w:cstheme="minorHAnsi"/>
          <w:sz w:val="22"/>
        </w:rPr>
        <w:t xml:space="preserve"> believes will bring about significant changes in the incidence, prevalence and mortality of TB. These strategies and interventions are in addition to the processes and activities already ongoing in the country.</w:t>
      </w:r>
    </w:p>
    <w:p w14:paraId="09932EFF" w14:textId="77777777" w:rsidR="0031420A" w:rsidRPr="00734B6A" w:rsidRDefault="0031420A" w:rsidP="00C129C4">
      <w:pPr>
        <w:jc w:val="both"/>
        <w:rPr>
          <w:rFonts w:asciiTheme="minorHAnsi" w:hAnsiTheme="minorHAnsi" w:cstheme="minorHAnsi"/>
          <w:sz w:val="22"/>
        </w:rPr>
      </w:pPr>
      <w:r w:rsidRPr="00734B6A">
        <w:rPr>
          <w:rFonts w:asciiTheme="minorHAnsi" w:hAnsiTheme="minorHAnsi" w:cstheme="minorHAnsi"/>
          <w:sz w:val="22"/>
        </w:rPr>
        <w:t>As a strategic document, the subsequent operational plans will necessarily follow. The NSP will guide the development of the national project implementation plan (PIP) and state PIPs, as well as district health action plans (DHAP) under the national health mission (NHM). This NSP replaces previous strategies, and will inform and guide the</w:t>
      </w:r>
      <w:r>
        <w:rPr>
          <w:rFonts w:asciiTheme="minorHAnsi" w:hAnsiTheme="minorHAnsi" w:cstheme="minorHAnsi"/>
          <w:sz w:val="22"/>
        </w:rPr>
        <w:t xml:space="preserve"> updating of</w:t>
      </w:r>
      <w:r w:rsidRPr="00734B6A">
        <w:rPr>
          <w:rFonts w:asciiTheme="minorHAnsi" w:hAnsiTheme="minorHAnsi" w:cstheme="minorHAnsi"/>
          <w:sz w:val="22"/>
        </w:rPr>
        <w:t xml:space="preserve"> technical and operational guidelines and associated programme tools</w:t>
      </w:r>
      <w:r>
        <w:rPr>
          <w:rFonts w:asciiTheme="minorHAnsi" w:hAnsiTheme="minorHAnsi" w:cstheme="minorHAnsi"/>
          <w:sz w:val="22"/>
        </w:rPr>
        <w:t xml:space="preserve">. </w:t>
      </w:r>
      <w:r w:rsidRPr="00734B6A">
        <w:rPr>
          <w:rFonts w:asciiTheme="minorHAnsi" w:hAnsiTheme="minorHAnsi" w:cstheme="minorHAnsi"/>
          <w:sz w:val="22"/>
        </w:rPr>
        <w:t xml:space="preserve"> </w:t>
      </w:r>
    </w:p>
    <w:p w14:paraId="1A3295A7" w14:textId="25318D82" w:rsidR="007F69F7" w:rsidRPr="00EC3830" w:rsidRDefault="007F69F7" w:rsidP="00EC3830">
      <w:pPr>
        <w:jc w:val="both"/>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 xml:space="preserve">1.2 </w:t>
      </w:r>
      <w:r w:rsidRPr="00EC3830">
        <w:rPr>
          <w:rFonts w:asciiTheme="minorHAnsi" w:hAnsiTheme="minorHAnsi" w:cstheme="minorHAnsi"/>
          <w:b/>
          <w:color w:val="C86A07" w:themeColor="accent2" w:themeShade="BF"/>
          <w:sz w:val="28"/>
        </w:rPr>
        <w:tab/>
        <w:t xml:space="preserve">Developing the NSP </w:t>
      </w:r>
      <w:r w:rsidR="00E20F7B">
        <w:rPr>
          <w:rFonts w:asciiTheme="minorHAnsi" w:hAnsiTheme="minorHAnsi" w:cstheme="minorHAnsi"/>
          <w:b/>
          <w:color w:val="C86A07" w:themeColor="accent2" w:themeShade="BF"/>
          <w:sz w:val="28"/>
        </w:rPr>
        <w:t xml:space="preserve">2020-25   </w:t>
      </w:r>
    </w:p>
    <w:p w14:paraId="4EB69E81" w14:textId="71BABA05" w:rsidR="007F69F7" w:rsidRDefault="0031420A" w:rsidP="00C129C4">
      <w:pPr>
        <w:jc w:val="both"/>
        <w:rPr>
          <w:rFonts w:asciiTheme="minorHAnsi" w:hAnsiTheme="minorHAnsi" w:cstheme="minorHAnsi"/>
          <w:sz w:val="22"/>
        </w:rPr>
      </w:pPr>
      <w:r w:rsidRPr="00734B6A">
        <w:rPr>
          <w:rFonts w:asciiTheme="minorHAnsi" w:hAnsiTheme="minorHAnsi" w:cstheme="minorHAnsi"/>
          <w:sz w:val="22"/>
        </w:rPr>
        <w:t xml:space="preserve">The development of this NSP has been a collaborative effort between all the stakeholders including national and state governments, development partners, civil society organizations, and </w:t>
      </w:r>
      <w:r>
        <w:rPr>
          <w:rFonts w:asciiTheme="minorHAnsi" w:hAnsiTheme="minorHAnsi" w:cstheme="minorHAnsi"/>
          <w:sz w:val="22"/>
        </w:rPr>
        <w:t xml:space="preserve">the </w:t>
      </w:r>
      <w:r w:rsidRPr="00734B6A">
        <w:rPr>
          <w:rFonts w:asciiTheme="minorHAnsi" w:hAnsiTheme="minorHAnsi" w:cstheme="minorHAnsi"/>
          <w:sz w:val="22"/>
        </w:rPr>
        <w:t xml:space="preserve">private sector in India which </w:t>
      </w:r>
      <w:r>
        <w:rPr>
          <w:rFonts w:asciiTheme="minorHAnsi" w:hAnsiTheme="minorHAnsi" w:cstheme="minorHAnsi"/>
          <w:sz w:val="22"/>
        </w:rPr>
        <w:t>has been</w:t>
      </w:r>
      <w:r w:rsidRPr="00734B6A">
        <w:rPr>
          <w:rFonts w:asciiTheme="minorHAnsi" w:hAnsiTheme="minorHAnsi" w:cstheme="minorHAnsi"/>
          <w:sz w:val="22"/>
        </w:rPr>
        <w:t xml:space="preserve"> led by the Central TB Division, Ministry of Health and Family Welfare</w:t>
      </w:r>
      <w:r w:rsidR="004C21BE">
        <w:rPr>
          <w:rFonts w:asciiTheme="minorHAnsi" w:hAnsiTheme="minorHAnsi" w:cstheme="minorHAnsi"/>
          <w:sz w:val="22"/>
        </w:rPr>
        <w:t>, Government of India</w:t>
      </w:r>
      <w:r w:rsidRPr="00734B6A">
        <w:rPr>
          <w:rFonts w:asciiTheme="minorHAnsi" w:hAnsiTheme="minorHAnsi" w:cstheme="minorHAnsi"/>
          <w:sz w:val="22"/>
        </w:rPr>
        <w:t xml:space="preserve">. </w:t>
      </w:r>
      <w:r w:rsidR="007F69F7">
        <w:rPr>
          <w:rFonts w:asciiTheme="minorHAnsi" w:hAnsiTheme="minorHAnsi" w:cstheme="minorHAnsi"/>
          <w:sz w:val="22"/>
        </w:rPr>
        <w:t xml:space="preserve">With the </w:t>
      </w:r>
      <w:r w:rsidR="001A7278">
        <w:rPr>
          <w:rFonts w:asciiTheme="minorHAnsi" w:hAnsiTheme="minorHAnsi" w:cstheme="minorHAnsi"/>
          <w:sz w:val="22"/>
        </w:rPr>
        <w:t xml:space="preserve">COVID-19   </w:t>
      </w:r>
      <w:r w:rsidR="007F69F7">
        <w:rPr>
          <w:rFonts w:asciiTheme="minorHAnsi" w:hAnsiTheme="minorHAnsi" w:cstheme="minorHAnsi"/>
          <w:sz w:val="22"/>
        </w:rPr>
        <w:t xml:space="preserve"> pandemic altering the way we work, online consultations and meetings were undertaken to seek inputs fr</w:t>
      </w:r>
      <w:r w:rsidR="00E16FA4">
        <w:rPr>
          <w:rFonts w:asciiTheme="minorHAnsi" w:hAnsiTheme="minorHAnsi" w:cstheme="minorHAnsi"/>
          <w:sz w:val="22"/>
        </w:rPr>
        <w:t>o</w:t>
      </w:r>
      <w:r w:rsidR="007F69F7">
        <w:rPr>
          <w:rFonts w:asciiTheme="minorHAnsi" w:hAnsiTheme="minorHAnsi" w:cstheme="minorHAnsi"/>
          <w:sz w:val="22"/>
        </w:rPr>
        <w:t xml:space="preserve">m the stakeholders. </w:t>
      </w:r>
    </w:p>
    <w:p w14:paraId="19B36030" w14:textId="2A82CD27" w:rsidR="00A2205C" w:rsidRDefault="00310D35" w:rsidP="00C129C4">
      <w:pPr>
        <w:jc w:val="both"/>
        <w:rPr>
          <w:rFonts w:asciiTheme="minorHAnsi" w:hAnsiTheme="minorHAnsi" w:cstheme="minorHAnsi"/>
          <w:sz w:val="22"/>
        </w:rPr>
      </w:pPr>
      <w:r w:rsidRPr="00310D35">
        <w:rPr>
          <w:rFonts w:asciiTheme="minorHAnsi" w:hAnsiTheme="minorHAnsi" w:cstheme="minorHAnsi"/>
          <w:sz w:val="22"/>
        </w:rPr>
        <w:t xml:space="preserve">The development of the NSP started in earnest with the </w:t>
      </w:r>
      <w:r w:rsidR="0050507C">
        <w:rPr>
          <w:rFonts w:asciiTheme="minorHAnsi" w:hAnsiTheme="minorHAnsi" w:cstheme="minorHAnsi"/>
          <w:sz w:val="22"/>
        </w:rPr>
        <w:t>NTEP</w:t>
      </w:r>
      <w:r w:rsidR="005D72FF">
        <w:rPr>
          <w:rFonts w:asciiTheme="minorHAnsi" w:hAnsiTheme="minorHAnsi" w:cstheme="minorHAnsi"/>
          <w:sz w:val="22"/>
        </w:rPr>
        <w:t xml:space="preserve"> </w:t>
      </w:r>
      <w:r w:rsidRPr="00310D35">
        <w:rPr>
          <w:rFonts w:asciiTheme="minorHAnsi" w:hAnsiTheme="minorHAnsi" w:cstheme="minorHAnsi"/>
          <w:sz w:val="22"/>
        </w:rPr>
        <w:t>carrying out</w:t>
      </w:r>
      <w:r w:rsidR="005D72FF">
        <w:rPr>
          <w:rFonts w:asciiTheme="minorHAnsi" w:hAnsiTheme="minorHAnsi" w:cstheme="minorHAnsi"/>
          <w:sz w:val="22"/>
        </w:rPr>
        <w:t xml:space="preserve"> the JMM </w:t>
      </w:r>
      <w:r w:rsidR="00EC3DF0">
        <w:rPr>
          <w:rFonts w:asciiTheme="minorHAnsi" w:hAnsiTheme="minorHAnsi" w:cstheme="minorHAnsi"/>
          <w:sz w:val="22"/>
        </w:rPr>
        <w:t>in 2019. This was followed by</w:t>
      </w:r>
      <w:r w:rsidR="005D72FF">
        <w:rPr>
          <w:rFonts w:asciiTheme="minorHAnsi" w:hAnsiTheme="minorHAnsi" w:cstheme="minorHAnsi"/>
          <w:sz w:val="22"/>
        </w:rPr>
        <w:t xml:space="preserve"> </w:t>
      </w:r>
      <w:r w:rsidRPr="00310D35">
        <w:rPr>
          <w:rFonts w:asciiTheme="minorHAnsi" w:hAnsiTheme="minorHAnsi" w:cstheme="minorHAnsi"/>
          <w:sz w:val="22"/>
        </w:rPr>
        <w:t xml:space="preserve">epidemiological and impact </w:t>
      </w:r>
      <w:r w:rsidR="005D72FF">
        <w:rPr>
          <w:rFonts w:asciiTheme="minorHAnsi" w:hAnsiTheme="minorHAnsi" w:cstheme="minorHAnsi"/>
          <w:sz w:val="22"/>
        </w:rPr>
        <w:t>modeling</w:t>
      </w:r>
      <w:r w:rsidR="00EC3DF0">
        <w:rPr>
          <w:rFonts w:asciiTheme="minorHAnsi" w:hAnsiTheme="minorHAnsi" w:cstheme="minorHAnsi"/>
          <w:sz w:val="22"/>
        </w:rPr>
        <w:t xml:space="preserve"> of tuberculosis in India which covered various scenarios </w:t>
      </w:r>
      <w:r w:rsidR="00EC3DF0" w:rsidRPr="00E20F7B">
        <w:rPr>
          <w:rFonts w:asciiTheme="minorHAnsi" w:hAnsiTheme="minorHAnsi" w:cstheme="minorHAnsi"/>
          <w:sz w:val="22"/>
          <w:highlight w:val="yellow"/>
        </w:rPr>
        <w:t>(Chapter</w:t>
      </w:r>
      <w:r w:rsidR="00FE472B" w:rsidRPr="00E20F7B">
        <w:rPr>
          <w:rFonts w:asciiTheme="minorHAnsi" w:hAnsiTheme="minorHAnsi" w:cstheme="minorHAnsi"/>
          <w:sz w:val="22"/>
          <w:highlight w:val="yellow"/>
        </w:rPr>
        <w:t xml:space="preserve"> 6</w:t>
      </w:r>
      <w:r w:rsidR="0024031A" w:rsidRPr="00A633A3">
        <w:rPr>
          <w:rFonts w:asciiTheme="minorHAnsi" w:hAnsiTheme="minorHAnsi" w:cstheme="minorHAnsi"/>
          <w:sz w:val="22"/>
        </w:rPr>
        <w:t>)</w:t>
      </w:r>
      <w:r w:rsidR="0027696F">
        <w:rPr>
          <w:rFonts w:asciiTheme="minorHAnsi" w:hAnsiTheme="minorHAnsi" w:cstheme="minorHAnsi"/>
          <w:sz w:val="22"/>
        </w:rPr>
        <w:t xml:space="preserve"> to attain the national END TB targets set for 2025</w:t>
      </w:r>
      <w:r w:rsidR="0024031A" w:rsidRPr="00A633A3">
        <w:rPr>
          <w:rFonts w:asciiTheme="minorHAnsi" w:hAnsiTheme="minorHAnsi" w:cstheme="minorHAnsi"/>
          <w:sz w:val="22"/>
        </w:rPr>
        <w:t>.</w:t>
      </w:r>
      <w:r w:rsidR="0024031A">
        <w:rPr>
          <w:rFonts w:asciiTheme="minorHAnsi" w:hAnsiTheme="minorHAnsi" w:cstheme="minorHAnsi"/>
          <w:sz w:val="22"/>
        </w:rPr>
        <w:t xml:space="preserve"> </w:t>
      </w:r>
      <w:r w:rsidR="00A2205C">
        <w:rPr>
          <w:rFonts w:asciiTheme="minorHAnsi" w:hAnsiTheme="minorHAnsi" w:cstheme="minorHAnsi"/>
          <w:sz w:val="22"/>
        </w:rPr>
        <w:t xml:space="preserve">The results </w:t>
      </w:r>
      <w:r w:rsidR="00A2205C" w:rsidRPr="00BE1BF9">
        <w:rPr>
          <w:rFonts w:asciiTheme="minorHAnsi" w:hAnsiTheme="minorHAnsi" w:cstheme="minorHAnsi"/>
          <w:sz w:val="22"/>
        </w:rPr>
        <w:t>of bot</w:t>
      </w:r>
      <w:r w:rsidR="00EC3DF0" w:rsidRPr="00BE1BF9">
        <w:rPr>
          <w:rFonts w:asciiTheme="minorHAnsi" w:hAnsiTheme="minorHAnsi" w:cstheme="minorHAnsi"/>
          <w:sz w:val="22"/>
        </w:rPr>
        <w:t>h</w:t>
      </w:r>
      <w:r w:rsidR="00A2205C" w:rsidRPr="00BE1BF9">
        <w:rPr>
          <w:rFonts w:asciiTheme="minorHAnsi" w:hAnsiTheme="minorHAnsi" w:cstheme="minorHAnsi"/>
          <w:sz w:val="22"/>
        </w:rPr>
        <w:t xml:space="preserve"> </w:t>
      </w:r>
      <w:r w:rsidRPr="00BE1BF9">
        <w:rPr>
          <w:rFonts w:asciiTheme="minorHAnsi" w:hAnsiTheme="minorHAnsi" w:cstheme="minorHAnsi"/>
          <w:sz w:val="22"/>
        </w:rPr>
        <w:t xml:space="preserve">served as critical background document for </w:t>
      </w:r>
      <w:r w:rsidR="00A2205C" w:rsidRPr="00BE1BF9">
        <w:rPr>
          <w:rFonts w:asciiTheme="minorHAnsi" w:hAnsiTheme="minorHAnsi" w:cstheme="minorHAnsi"/>
          <w:sz w:val="22"/>
        </w:rPr>
        <w:t>this</w:t>
      </w:r>
      <w:r w:rsidRPr="00BE1BF9">
        <w:rPr>
          <w:rFonts w:asciiTheme="minorHAnsi" w:hAnsiTheme="minorHAnsi" w:cstheme="minorHAnsi"/>
          <w:sz w:val="22"/>
        </w:rPr>
        <w:t xml:space="preserve"> NSP</w:t>
      </w:r>
      <w:r w:rsidR="00A2205C" w:rsidRPr="00BE1BF9">
        <w:rPr>
          <w:rFonts w:asciiTheme="minorHAnsi" w:hAnsiTheme="minorHAnsi" w:cstheme="minorHAnsi"/>
          <w:sz w:val="22"/>
        </w:rPr>
        <w:t xml:space="preserve">. </w:t>
      </w:r>
      <w:r w:rsidRPr="00BE1BF9">
        <w:rPr>
          <w:rFonts w:asciiTheme="minorHAnsi" w:hAnsiTheme="minorHAnsi" w:cstheme="minorHAnsi"/>
          <w:sz w:val="22"/>
        </w:rPr>
        <w:t xml:space="preserve">As part of </w:t>
      </w:r>
      <w:r w:rsidR="00A2205C" w:rsidRPr="00BE1BF9">
        <w:rPr>
          <w:rFonts w:asciiTheme="minorHAnsi" w:hAnsiTheme="minorHAnsi" w:cstheme="minorHAnsi"/>
          <w:sz w:val="22"/>
        </w:rPr>
        <w:t>the country</w:t>
      </w:r>
      <w:r w:rsidR="00EC3DF0" w:rsidRPr="00BE1BF9">
        <w:rPr>
          <w:rFonts w:asciiTheme="minorHAnsi" w:hAnsiTheme="minorHAnsi" w:cstheme="minorHAnsi"/>
          <w:sz w:val="22"/>
        </w:rPr>
        <w:t xml:space="preserve"> dialogue</w:t>
      </w:r>
      <w:r w:rsidR="00A2205C" w:rsidRPr="00BE1BF9">
        <w:rPr>
          <w:rFonts w:asciiTheme="minorHAnsi" w:hAnsiTheme="minorHAnsi" w:cstheme="minorHAnsi"/>
          <w:sz w:val="22"/>
        </w:rPr>
        <w:t xml:space="preserve">, </w:t>
      </w:r>
      <w:r w:rsidR="00A633A3">
        <w:rPr>
          <w:rFonts w:asciiTheme="minorHAnsi" w:hAnsiTheme="minorHAnsi" w:cstheme="minorHAnsi"/>
          <w:sz w:val="22"/>
        </w:rPr>
        <w:t xml:space="preserve">the draft NSP was shared with </w:t>
      </w:r>
      <w:r w:rsidRPr="00BE1BF9">
        <w:rPr>
          <w:rFonts w:asciiTheme="minorHAnsi" w:hAnsiTheme="minorHAnsi" w:cstheme="minorHAnsi"/>
          <w:sz w:val="22"/>
        </w:rPr>
        <w:t>stakeholder</w:t>
      </w:r>
      <w:r w:rsidR="00A633A3">
        <w:rPr>
          <w:rFonts w:asciiTheme="minorHAnsi" w:hAnsiTheme="minorHAnsi" w:cstheme="minorHAnsi"/>
          <w:sz w:val="22"/>
        </w:rPr>
        <w:t>s consisting of</w:t>
      </w:r>
      <w:r w:rsidRPr="00BE1BF9">
        <w:rPr>
          <w:rFonts w:asciiTheme="minorHAnsi" w:hAnsiTheme="minorHAnsi" w:cstheme="minorHAnsi"/>
          <w:sz w:val="22"/>
        </w:rPr>
        <w:t xml:space="preserve"> national government, </w:t>
      </w:r>
      <w:r w:rsidR="00A2205C" w:rsidRPr="00BE1BF9">
        <w:rPr>
          <w:rFonts w:asciiTheme="minorHAnsi" w:hAnsiTheme="minorHAnsi" w:cstheme="minorHAnsi"/>
          <w:sz w:val="22"/>
        </w:rPr>
        <w:t>state</w:t>
      </w:r>
      <w:r w:rsidRPr="00BE1BF9">
        <w:rPr>
          <w:rFonts w:asciiTheme="minorHAnsi" w:hAnsiTheme="minorHAnsi" w:cstheme="minorHAnsi"/>
          <w:sz w:val="22"/>
        </w:rPr>
        <w:t xml:space="preserve"> governments, donors, technical partners, civil society organizations, non – governmental organizations, medical institutions</w:t>
      </w:r>
      <w:r w:rsidR="00A2205C" w:rsidRPr="00BE1BF9">
        <w:rPr>
          <w:rFonts w:asciiTheme="minorHAnsi" w:hAnsiTheme="minorHAnsi" w:cstheme="minorHAnsi"/>
          <w:sz w:val="22"/>
        </w:rPr>
        <w:t xml:space="preserve">, </w:t>
      </w:r>
      <w:r w:rsidRPr="00BE1BF9">
        <w:rPr>
          <w:rFonts w:asciiTheme="minorHAnsi" w:hAnsiTheme="minorHAnsi" w:cstheme="minorHAnsi"/>
          <w:sz w:val="22"/>
        </w:rPr>
        <w:t xml:space="preserve">research institutes, key populations, private health providers and </w:t>
      </w:r>
      <w:r w:rsidR="00A2205C" w:rsidRPr="00BE1BF9">
        <w:rPr>
          <w:rFonts w:asciiTheme="minorHAnsi" w:hAnsiTheme="minorHAnsi" w:cstheme="minorHAnsi"/>
          <w:sz w:val="22"/>
        </w:rPr>
        <w:t>other stakeholders.</w:t>
      </w:r>
      <w:r w:rsidR="00EC3DF0" w:rsidRPr="00BE1BF9">
        <w:rPr>
          <w:rFonts w:asciiTheme="minorHAnsi" w:hAnsiTheme="minorHAnsi" w:cstheme="minorHAnsi"/>
          <w:sz w:val="22"/>
        </w:rPr>
        <w:t xml:space="preserve"> </w:t>
      </w:r>
      <w:r w:rsidR="00A633A3">
        <w:rPr>
          <w:rFonts w:asciiTheme="minorHAnsi" w:hAnsiTheme="minorHAnsi" w:cstheme="minorHAnsi"/>
          <w:sz w:val="22"/>
        </w:rPr>
        <w:t xml:space="preserve">It was uploaded on the NTEP website for feedback from the citizens of the country. </w:t>
      </w:r>
      <w:r w:rsidR="00A2205C" w:rsidRPr="00BE1BF9">
        <w:rPr>
          <w:rFonts w:asciiTheme="minorHAnsi" w:hAnsiTheme="minorHAnsi" w:cstheme="minorHAnsi"/>
          <w:sz w:val="22"/>
        </w:rPr>
        <w:t>The final draft was shared electronically with all the stakeholders and feedback incorporated by the NSP development secretariat.</w:t>
      </w:r>
    </w:p>
    <w:p w14:paraId="1ED3B6ED" w14:textId="6DFB97D3" w:rsidR="007F69F7" w:rsidRPr="00815077" w:rsidRDefault="00815077" w:rsidP="006229FB">
      <w:pPr>
        <w:spacing w:before="0" w:after="0"/>
        <w:jc w:val="both"/>
        <w:rPr>
          <w:rFonts w:asciiTheme="minorHAnsi" w:hAnsiTheme="minorHAnsi" w:cstheme="minorHAnsi"/>
          <w:sz w:val="22"/>
        </w:rPr>
      </w:pPr>
      <w:r w:rsidRPr="00815077">
        <w:rPr>
          <w:rFonts w:asciiTheme="minorHAnsi" w:hAnsiTheme="minorHAnsi" w:cstheme="minorHAnsi"/>
          <w:sz w:val="22"/>
        </w:rPr>
        <w:t>The NSP is designed as a framewor</w:t>
      </w:r>
      <w:r w:rsidR="003C6E6A">
        <w:rPr>
          <w:rFonts w:asciiTheme="minorHAnsi" w:hAnsiTheme="minorHAnsi" w:cstheme="minorHAnsi"/>
          <w:sz w:val="22"/>
        </w:rPr>
        <w:t xml:space="preserve">k to coordinate the articulated end TB </w:t>
      </w:r>
      <w:r w:rsidRPr="00815077">
        <w:rPr>
          <w:rFonts w:asciiTheme="minorHAnsi" w:hAnsiTheme="minorHAnsi" w:cstheme="minorHAnsi"/>
          <w:sz w:val="22"/>
        </w:rPr>
        <w:t>goals and</w:t>
      </w:r>
      <w:r>
        <w:rPr>
          <w:rFonts w:asciiTheme="minorHAnsi" w:hAnsiTheme="minorHAnsi" w:cstheme="minorHAnsi"/>
          <w:sz w:val="22"/>
        </w:rPr>
        <w:t xml:space="preserve"> </w:t>
      </w:r>
      <w:r w:rsidRPr="00815077">
        <w:rPr>
          <w:rFonts w:asciiTheme="minorHAnsi" w:hAnsiTheme="minorHAnsi" w:cstheme="minorHAnsi"/>
          <w:sz w:val="22"/>
        </w:rPr>
        <w:t xml:space="preserve">objectives of the </w:t>
      </w:r>
      <w:r>
        <w:rPr>
          <w:rFonts w:asciiTheme="minorHAnsi" w:hAnsiTheme="minorHAnsi" w:cstheme="minorHAnsi"/>
          <w:sz w:val="22"/>
        </w:rPr>
        <w:t>NTEP</w:t>
      </w:r>
      <w:r w:rsidRPr="00815077">
        <w:rPr>
          <w:rFonts w:asciiTheme="minorHAnsi" w:hAnsiTheme="minorHAnsi" w:cstheme="minorHAnsi"/>
          <w:sz w:val="22"/>
        </w:rPr>
        <w:t>. The NSP will be used by government</w:t>
      </w:r>
      <w:r>
        <w:rPr>
          <w:rFonts w:asciiTheme="minorHAnsi" w:hAnsiTheme="minorHAnsi" w:cstheme="minorHAnsi"/>
          <w:sz w:val="22"/>
        </w:rPr>
        <w:t xml:space="preserve"> and non-government sectors</w:t>
      </w:r>
      <w:r w:rsidRPr="00815077">
        <w:rPr>
          <w:rFonts w:asciiTheme="minorHAnsi" w:hAnsiTheme="minorHAnsi" w:cstheme="minorHAnsi"/>
          <w:sz w:val="22"/>
        </w:rPr>
        <w:t xml:space="preserve"> as</w:t>
      </w:r>
      <w:r>
        <w:rPr>
          <w:rFonts w:asciiTheme="minorHAnsi" w:hAnsiTheme="minorHAnsi" w:cstheme="minorHAnsi"/>
          <w:sz w:val="22"/>
        </w:rPr>
        <w:t xml:space="preserve"> </w:t>
      </w:r>
      <w:r w:rsidRPr="00815077">
        <w:rPr>
          <w:rFonts w:asciiTheme="minorHAnsi" w:hAnsiTheme="minorHAnsi" w:cstheme="minorHAnsi"/>
          <w:sz w:val="22"/>
        </w:rPr>
        <w:t xml:space="preserve">the roadmap for </w:t>
      </w:r>
      <w:r w:rsidR="003C6E6A">
        <w:rPr>
          <w:rFonts w:asciiTheme="minorHAnsi" w:hAnsiTheme="minorHAnsi" w:cstheme="minorHAnsi"/>
          <w:sz w:val="22"/>
        </w:rPr>
        <w:t>programme development, expansion,</w:t>
      </w:r>
      <w:r w:rsidRPr="00815077">
        <w:rPr>
          <w:rFonts w:asciiTheme="minorHAnsi" w:hAnsiTheme="minorHAnsi" w:cstheme="minorHAnsi"/>
          <w:sz w:val="22"/>
        </w:rPr>
        <w:t xml:space="preserve"> and progress in the medium term (20</w:t>
      </w:r>
      <w:r w:rsidR="00C5769C">
        <w:rPr>
          <w:rFonts w:asciiTheme="minorHAnsi" w:hAnsiTheme="minorHAnsi" w:cstheme="minorHAnsi"/>
          <w:sz w:val="22"/>
        </w:rPr>
        <w:t>2</w:t>
      </w:r>
      <w:r w:rsidR="00E20F7B">
        <w:rPr>
          <w:rFonts w:asciiTheme="minorHAnsi" w:hAnsiTheme="minorHAnsi" w:cstheme="minorHAnsi"/>
          <w:sz w:val="22"/>
        </w:rPr>
        <w:t>0</w:t>
      </w:r>
      <w:r w:rsidR="00476AD6">
        <w:rPr>
          <w:rFonts w:asciiTheme="minorHAnsi" w:hAnsiTheme="minorHAnsi" w:cstheme="minorHAnsi"/>
          <w:sz w:val="22"/>
        </w:rPr>
        <w:t>-</w:t>
      </w:r>
      <w:r w:rsidR="00C5769C">
        <w:rPr>
          <w:rFonts w:asciiTheme="minorHAnsi" w:hAnsiTheme="minorHAnsi" w:cstheme="minorHAnsi"/>
          <w:sz w:val="22"/>
        </w:rPr>
        <w:t>25</w:t>
      </w:r>
      <w:r>
        <w:rPr>
          <w:rFonts w:asciiTheme="minorHAnsi" w:hAnsiTheme="minorHAnsi" w:cstheme="minorHAnsi"/>
          <w:sz w:val="22"/>
        </w:rPr>
        <w:t xml:space="preserve">) and will be continually </w:t>
      </w:r>
      <w:r w:rsidRPr="00815077">
        <w:rPr>
          <w:rFonts w:asciiTheme="minorHAnsi" w:hAnsiTheme="minorHAnsi" w:cstheme="minorHAnsi"/>
          <w:sz w:val="22"/>
        </w:rPr>
        <w:t>updated for use in meeting longer term objectives</w:t>
      </w:r>
      <w:r w:rsidR="00C5769C">
        <w:rPr>
          <w:rFonts w:asciiTheme="minorHAnsi" w:hAnsiTheme="minorHAnsi" w:cstheme="minorHAnsi"/>
          <w:sz w:val="22"/>
        </w:rPr>
        <w:t xml:space="preserve"> (20</w:t>
      </w:r>
      <w:r w:rsidR="00476AD6">
        <w:rPr>
          <w:rFonts w:asciiTheme="minorHAnsi" w:hAnsiTheme="minorHAnsi" w:cstheme="minorHAnsi"/>
          <w:sz w:val="22"/>
        </w:rPr>
        <w:t>3</w:t>
      </w:r>
      <w:r w:rsidR="004C21BE">
        <w:rPr>
          <w:rFonts w:asciiTheme="minorHAnsi" w:hAnsiTheme="minorHAnsi" w:cstheme="minorHAnsi"/>
          <w:sz w:val="22"/>
        </w:rPr>
        <w:t>0-</w:t>
      </w:r>
      <w:r w:rsidR="00476AD6">
        <w:rPr>
          <w:rFonts w:asciiTheme="minorHAnsi" w:hAnsiTheme="minorHAnsi" w:cstheme="minorHAnsi"/>
          <w:sz w:val="22"/>
        </w:rPr>
        <w:t>3</w:t>
      </w:r>
      <w:r w:rsidR="004C21BE">
        <w:rPr>
          <w:rFonts w:asciiTheme="minorHAnsi" w:hAnsiTheme="minorHAnsi" w:cstheme="minorHAnsi"/>
          <w:sz w:val="22"/>
        </w:rPr>
        <w:t>5</w:t>
      </w:r>
      <w:r w:rsidR="00C5769C">
        <w:rPr>
          <w:rFonts w:asciiTheme="minorHAnsi" w:hAnsiTheme="minorHAnsi" w:cstheme="minorHAnsi"/>
          <w:sz w:val="22"/>
        </w:rPr>
        <w:t>)</w:t>
      </w:r>
      <w:r w:rsidRPr="00815077">
        <w:rPr>
          <w:rFonts w:asciiTheme="minorHAnsi" w:hAnsiTheme="minorHAnsi" w:cstheme="minorHAnsi"/>
          <w:sz w:val="22"/>
        </w:rPr>
        <w:t xml:space="preserve"> as the </w:t>
      </w:r>
      <w:r w:rsidR="003C6E6A">
        <w:rPr>
          <w:rFonts w:asciiTheme="minorHAnsi" w:hAnsiTheme="minorHAnsi" w:cstheme="minorHAnsi"/>
          <w:sz w:val="22"/>
        </w:rPr>
        <w:t>NTEP</w:t>
      </w:r>
      <w:r w:rsidRPr="00815077">
        <w:rPr>
          <w:rFonts w:asciiTheme="minorHAnsi" w:hAnsiTheme="minorHAnsi" w:cstheme="minorHAnsi"/>
          <w:sz w:val="22"/>
        </w:rPr>
        <w:t xml:space="preserve"> moves towards </w:t>
      </w:r>
      <w:r w:rsidRPr="00815077">
        <w:rPr>
          <w:rFonts w:asciiTheme="minorHAnsi" w:hAnsiTheme="minorHAnsi" w:cstheme="minorHAnsi"/>
          <w:sz w:val="22"/>
        </w:rPr>
        <w:lastRenderedPageBreak/>
        <w:t xml:space="preserve">the </w:t>
      </w:r>
      <w:r w:rsidR="003C6E6A">
        <w:rPr>
          <w:rFonts w:asciiTheme="minorHAnsi" w:hAnsiTheme="minorHAnsi" w:cstheme="minorHAnsi"/>
          <w:sz w:val="22"/>
        </w:rPr>
        <w:t>elimination of Tuberculosis</w:t>
      </w:r>
      <w:r>
        <w:rPr>
          <w:rFonts w:asciiTheme="minorHAnsi" w:hAnsiTheme="minorHAnsi" w:cstheme="minorHAnsi"/>
          <w:sz w:val="22"/>
        </w:rPr>
        <w:t xml:space="preserve">. </w:t>
      </w:r>
      <w:r w:rsidRPr="00815077">
        <w:rPr>
          <w:rFonts w:asciiTheme="minorHAnsi" w:hAnsiTheme="minorHAnsi" w:cstheme="minorHAnsi"/>
          <w:sz w:val="22"/>
        </w:rPr>
        <w:t>The NSP will enable leaders</w:t>
      </w:r>
      <w:r w:rsidR="003C6E6A">
        <w:rPr>
          <w:rFonts w:asciiTheme="minorHAnsi" w:hAnsiTheme="minorHAnsi" w:cstheme="minorHAnsi"/>
          <w:sz w:val="22"/>
        </w:rPr>
        <w:t xml:space="preserve"> of all stakeholders</w:t>
      </w:r>
      <w:r w:rsidRPr="00815077">
        <w:rPr>
          <w:rFonts w:asciiTheme="minorHAnsi" w:hAnsiTheme="minorHAnsi" w:cstheme="minorHAnsi"/>
          <w:sz w:val="22"/>
        </w:rPr>
        <w:t xml:space="preserve"> to articulate the directio</w:t>
      </w:r>
      <w:r>
        <w:rPr>
          <w:rFonts w:asciiTheme="minorHAnsi" w:hAnsiTheme="minorHAnsi" w:cstheme="minorHAnsi"/>
          <w:sz w:val="22"/>
        </w:rPr>
        <w:t xml:space="preserve">n of priorities over the coming </w:t>
      </w:r>
      <w:r w:rsidR="007D136E">
        <w:rPr>
          <w:rFonts w:asciiTheme="minorHAnsi" w:hAnsiTheme="minorHAnsi" w:cstheme="minorHAnsi"/>
          <w:sz w:val="22"/>
        </w:rPr>
        <w:t xml:space="preserve">five year period. The NTEP </w:t>
      </w:r>
      <w:r w:rsidRPr="00815077">
        <w:rPr>
          <w:rFonts w:asciiTheme="minorHAnsi" w:hAnsiTheme="minorHAnsi" w:cstheme="minorHAnsi"/>
          <w:sz w:val="22"/>
        </w:rPr>
        <w:t>through the NSP, can now cle</w:t>
      </w:r>
      <w:r>
        <w:rPr>
          <w:rFonts w:asciiTheme="minorHAnsi" w:hAnsiTheme="minorHAnsi" w:cstheme="minorHAnsi"/>
          <w:sz w:val="22"/>
        </w:rPr>
        <w:t xml:space="preserve">arly outline </w:t>
      </w:r>
      <w:r w:rsidRPr="00815077">
        <w:rPr>
          <w:rFonts w:asciiTheme="minorHAnsi" w:hAnsiTheme="minorHAnsi" w:cstheme="minorHAnsi"/>
          <w:sz w:val="22"/>
        </w:rPr>
        <w:t>the pathway for implementation of national priorities.</w:t>
      </w:r>
      <w:r w:rsidR="006229FB">
        <w:rPr>
          <w:rFonts w:asciiTheme="minorHAnsi" w:hAnsiTheme="minorHAnsi" w:cstheme="minorHAnsi"/>
          <w:sz w:val="22"/>
        </w:rPr>
        <w:t xml:space="preserve"> It will be </w:t>
      </w:r>
      <w:r w:rsidR="006229FB" w:rsidRPr="006229FB">
        <w:rPr>
          <w:rFonts w:asciiTheme="minorHAnsi" w:hAnsiTheme="minorHAnsi" w:cstheme="minorHAnsi"/>
          <w:sz w:val="22"/>
        </w:rPr>
        <w:t>accessible online to all stakeholders for review and for information</w:t>
      </w:r>
      <w:r w:rsidR="006229FB">
        <w:rPr>
          <w:rFonts w:asciiTheme="minorHAnsi" w:hAnsiTheme="minorHAnsi" w:cstheme="minorHAnsi"/>
          <w:sz w:val="22"/>
        </w:rPr>
        <w:t>.</w:t>
      </w:r>
    </w:p>
    <w:p w14:paraId="592693C4" w14:textId="0CA51E8A" w:rsidR="00B21B10" w:rsidRPr="00EC3830" w:rsidRDefault="00B21B10" w:rsidP="00EC3830">
      <w:pPr>
        <w:jc w:val="both"/>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1.</w:t>
      </w:r>
      <w:r w:rsidR="007F69F7" w:rsidRPr="00EC3830">
        <w:rPr>
          <w:rFonts w:asciiTheme="minorHAnsi" w:hAnsiTheme="minorHAnsi" w:cstheme="minorHAnsi"/>
          <w:b/>
          <w:color w:val="C86A07" w:themeColor="accent2" w:themeShade="BF"/>
          <w:sz w:val="28"/>
        </w:rPr>
        <w:t>3</w:t>
      </w:r>
      <w:r w:rsidRPr="00EC3830">
        <w:rPr>
          <w:rFonts w:asciiTheme="minorHAnsi" w:hAnsiTheme="minorHAnsi" w:cstheme="minorHAnsi"/>
          <w:b/>
          <w:color w:val="C86A07" w:themeColor="accent2" w:themeShade="BF"/>
          <w:sz w:val="28"/>
        </w:rPr>
        <w:t xml:space="preserve"> </w:t>
      </w:r>
      <w:r w:rsidRPr="00EC3830">
        <w:rPr>
          <w:rFonts w:asciiTheme="minorHAnsi" w:hAnsiTheme="minorHAnsi" w:cstheme="minorHAnsi"/>
          <w:b/>
          <w:color w:val="C86A07" w:themeColor="accent2" w:themeShade="BF"/>
          <w:sz w:val="28"/>
        </w:rPr>
        <w:tab/>
        <w:t>Global directions that shape the NSP</w:t>
      </w:r>
      <w:r w:rsidR="00FD3B71" w:rsidRPr="00EC3830">
        <w:rPr>
          <w:rFonts w:asciiTheme="minorHAnsi" w:hAnsiTheme="minorHAnsi" w:cstheme="minorHAnsi"/>
          <w:b/>
          <w:color w:val="C86A07" w:themeColor="accent2" w:themeShade="BF"/>
          <w:sz w:val="28"/>
        </w:rPr>
        <w:t xml:space="preserve"> </w:t>
      </w:r>
      <w:r w:rsidR="00E20F7B">
        <w:rPr>
          <w:rFonts w:asciiTheme="minorHAnsi" w:hAnsiTheme="minorHAnsi" w:cstheme="minorHAnsi"/>
          <w:b/>
          <w:color w:val="C86A07" w:themeColor="accent2" w:themeShade="BF"/>
          <w:sz w:val="28"/>
        </w:rPr>
        <w:t>2020-25</w:t>
      </w:r>
    </w:p>
    <w:p w14:paraId="644BD0C1" w14:textId="219C278A" w:rsidR="00D72CFA" w:rsidRPr="00D72CFA" w:rsidRDefault="00D72CFA" w:rsidP="00C129C4">
      <w:pPr>
        <w:spacing w:before="0"/>
        <w:jc w:val="both"/>
        <w:rPr>
          <w:rFonts w:asciiTheme="minorHAnsi" w:hAnsiTheme="minorHAnsi" w:cstheme="minorHAnsi"/>
          <w:bCs/>
          <w:color w:val="333333"/>
          <w:sz w:val="22"/>
          <w:shd w:val="clear" w:color="auto" w:fill="FFFFFF"/>
        </w:rPr>
      </w:pPr>
      <w:r w:rsidRPr="00D72CFA">
        <w:rPr>
          <w:rFonts w:asciiTheme="minorHAnsi" w:hAnsiTheme="minorHAnsi" w:cstheme="minorHAnsi"/>
          <w:bCs/>
          <w:color w:val="333333"/>
          <w:sz w:val="22"/>
          <w:shd w:val="clear" w:color="auto" w:fill="FFFFFF"/>
        </w:rPr>
        <w:t xml:space="preserve">In addition to the National </w:t>
      </w:r>
      <w:r>
        <w:rPr>
          <w:rFonts w:asciiTheme="minorHAnsi" w:hAnsiTheme="minorHAnsi" w:cstheme="minorHAnsi"/>
          <w:bCs/>
          <w:color w:val="333333"/>
          <w:sz w:val="22"/>
          <w:shd w:val="clear" w:color="auto" w:fill="FFFFFF"/>
        </w:rPr>
        <w:t>Health Policy</w:t>
      </w:r>
      <w:r w:rsidRPr="00D72CFA">
        <w:rPr>
          <w:rFonts w:asciiTheme="minorHAnsi" w:hAnsiTheme="minorHAnsi" w:cstheme="minorHAnsi"/>
          <w:bCs/>
          <w:color w:val="333333"/>
          <w:sz w:val="22"/>
          <w:shd w:val="clear" w:color="auto" w:fill="FFFFFF"/>
        </w:rPr>
        <w:t xml:space="preserve">, this NSP also takes into account the </w:t>
      </w:r>
      <w:r w:rsidR="00310650">
        <w:rPr>
          <w:rFonts w:asciiTheme="minorHAnsi" w:hAnsiTheme="minorHAnsi" w:cstheme="minorHAnsi"/>
          <w:bCs/>
          <w:color w:val="333333"/>
          <w:sz w:val="22"/>
          <w:shd w:val="clear" w:color="auto" w:fill="FFFFFF"/>
        </w:rPr>
        <w:t>Sustainable</w:t>
      </w:r>
      <w:r w:rsidRPr="00D72CFA">
        <w:rPr>
          <w:rFonts w:asciiTheme="minorHAnsi" w:hAnsiTheme="minorHAnsi" w:cstheme="minorHAnsi"/>
          <w:bCs/>
          <w:color w:val="333333"/>
          <w:sz w:val="22"/>
          <w:shd w:val="clear" w:color="auto" w:fill="FFFFFF"/>
        </w:rPr>
        <w:t xml:space="preserve"> Development Goals, Global direction to END TB as is enunciated in the END TB strategy, and the UNHLM.</w:t>
      </w:r>
      <w:r>
        <w:rPr>
          <w:rFonts w:asciiTheme="minorHAnsi" w:hAnsiTheme="minorHAnsi" w:cstheme="minorHAnsi"/>
          <w:bCs/>
          <w:color w:val="333333"/>
          <w:sz w:val="22"/>
          <w:shd w:val="clear" w:color="auto" w:fill="FFFFFF"/>
        </w:rPr>
        <w:t xml:space="preserve"> It also takes into account the guidance provided by WHO in setting its course for ending TB.</w:t>
      </w:r>
    </w:p>
    <w:p w14:paraId="3B63CDE8" w14:textId="43C94383" w:rsidR="00F455D8" w:rsidRPr="00F455D8" w:rsidRDefault="001B18F2" w:rsidP="00C129C4">
      <w:pPr>
        <w:spacing w:before="0" w:after="0"/>
        <w:jc w:val="both"/>
        <w:rPr>
          <w:rFonts w:asciiTheme="minorHAnsi" w:hAnsiTheme="minorHAnsi" w:cstheme="minorHAnsi"/>
          <w:b/>
          <w:color w:val="333333"/>
          <w:sz w:val="22"/>
          <w:shd w:val="clear" w:color="auto" w:fill="FFFFFF"/>
        </w:rPr>
      </w:pPr>
      <w:r>
        <w:rPr>
          <w:rFonts w:asciiTheme="minorHAnsi" w:hAnsiTheme="minorHAnsi" w:cstheme="minorHAnsi"/>
          <w:b/>
          <w:bCs/>
          <w:color w:val="333333"/>
          <w:sz w:val="22"/>
          <w:shd w:val="clear" w:color="auto" w:fill="FFFFFF"/>
        </w:rPr>
        <w:t xml:space="preserve">1.3.1 </w:t>
      </w:r>
      <w:r w:rsidR="00310650">
        <w:rPr>
          <w:rFonts w:asciiTheme="minorHAnsi" w:hAnsiTheme="minorHAnsi" w:cstheme="minorHAnsi"/>
          <w:b/>
          <w:bCs/>
          <w:color w:val="333333"/>
          <w:sz w:val="22"/>
          <w:shd w:val="clear" w:color="auto" w:fill="FFFFFF"/>
        </w:rPr>
        <w:t>GLOBAL TECHNICAL</w:t>
      </w:r>
      <w:r w:rsidR="00D72CFA" w:rsidRPr="00F455D8">
        <w:rPr>
          <w:rFonts w:asciiTheme="minorHAnsi" w:hAnsiTheme="minorHAnsi" w:cstheme="minorHAnsi"/>
          <w:b/>
          <w:color w:val="333333"/>
          <w:sz w:val="22"/>
          <w:shd w:val="clear" w:color="auto" w:fill="FFFFFF"/>
        </w:rPr>
        <w:t xml:space="preserve"> GUIDELINES</w:t>
      </w:r>
    </w:p>
    <w:p w14:paraId="727B784E" w14:textId="35FC9EBB" w:rsidR="003819C4" w:rsidRDefault="003819C4" w:rsidP="00C129C4">
      <w:pPr>
        <w:spacing w:before="0" w:after="0"/>
        <w:jc w:val="both"/>
        <w:rPr>
          <w:rFonts w:asciiTheme="minorHAnsi" w:hAnsiTheme="minorHAnsi" w:cstheme="minorHAnsi"/>
          <w:color w:val="333333"/>
          <w:sz w:val="22"/>
          <w:shd w:val="clear" w:color="auto" w:fill="FFFFFF"/>
        </w:rPr>
      </w:pPr>
      <w:r w:rsidRPr="003819C4">
        <w:rPr>
          <w:rFonts w:asciiTheme="minorHAnsi" w:hAnsiTheme="minorHAnsi" w:cstheme="minorHAnsi"/>
          <w:color w:val="333333"/>
          <w:sz w:val="22"/>
          <w:shd w:val="clear" w:color="auto" w:fill="FFFFFF"/>
        </w:rPr>
        <w:t>Since the</w:t>
      </w:r>
      <w:r w:rsidR="00F455D8">
        <w:rPr>
          <w:rFonts w:asciiTheme="minorHAnsi" w:hAnsiTheme="minorHAnsi" w:cstheme="minorHAnsi"/>
          <w:color w:val="333333"/>
          <w:sz w:val="22"/>
          <w:shd w:val="clear" w:color="auto" w:fill="FFFFFF"/>
        </w:rPr>
        <w:t xml:space="preserve"> </w:t>
      </w:r>
      <w:r w:rsidRPr="003819C4">
        <w:rPr>
          <w:rFonts w:asciiTheme="minorHAnsi" w:hAnsiTheme="minorHAnsi" w:cstheme="minorHAnsi"/>
          <w:color w:val="333333"/>
          <w:sz w:val="22"/>
          <w:shd w:val="clear" w:color="auto" w:fill="FFFFFF"/>
        </w:rPr>
        <w:t>last NSP 2017</w:t>
      </w:r>
      <w:r w:rsidR="00E20F7B">
        <w:rPr>
          <w:rFonts w:asciiTheme="minorHAnsi" w:hAnsiTheme="minorHAnsi" w:cstheme="minorHAnsi"/>
          <w:color w:val="333333"/>
          <w:sz w:val="22"/>
          <w:shd w:val="clear" w:color="auto" w:fill="FFFFFF"/>
        </w:rPr>
        <w:t>-</w:t>
      </w:r>
      <w:r w:rsidRPr="003819C4">
        <w:rPr>
          <w:rFonts w:asciiTheme="minorHAnsi" w:hAnsiTheme="minorHAnsi" w:cstheme="minorHAnsi"/>
          <w:color w:val="333333"/>
          <w:sz w:val="22"/>
          <w:shd w:val="clear" w:color="auto" w:fill="FFFFFF"/>
        </w:rPr>
        <w:t>25</w:t>
      </w:r>
      <w:r w:rsidR="00F455D8">
        <w:rPr>
          <w:rFonts w:asciiTheme="minorHAnsi" w:hAnsiTheme="minorHAnsi" w:cstheme="minorHAnsi"/>
          <w:color w:val="333333"/>
          <w:sz w:val="22"/>
          <w:shd w:val="clear" w:color="auto" w:fill="FFFFFF"/>
        </w:rPr>
        <w:t>,</w:t>
      </w:r>
      <w:r w:rsidRPr="003819C4">
        <w:rPr>
          <w:rFonts w:asciiTheme="minorHAnsi" w:hAnsiTheme="minorHAnsi" w:cstheme="minorHAnsi"/>
          <w:color w:val="333333"/>
          <w:sz w:val="22"/>
          <w:shd w:val="clear" w:color="auto" w:fill="FFFFFF"/>
        </w:rPr>
        <w:t xml:space="preserve"> </w:t>
      </w:r>
      <w:r w:rsidR="00F07583">
        <w:rPr>
          <w:rFonts w:asciiTheme="minorHAnsi" w:hAnsiTheme="minorHAnsi" w:cstheme="minorHAnsi"/>
          <w:color w:val="333333"/>
          <w:sz w:val="22"/>
          <w:shd w:val="clear" w:color="auto" w:fill="FFFFFF"/>
        </w:rPr>
        <w:t>many new</w:t>
      </w:r>
      <w:r>
        <w:rPr>
          <w:rFonts w:asciiTheme="minorHAnsi" w:hAnsiTheme="minorHAnsi" w:cstheme="minorHAnsi"/>
          <w:color w:val="333333"/>
          <w:sz w:val="22"/>
          <w:shd w:val="clear" w:color="auto" w:fill="FFFFFF"/>
        </w:rPr>
        <w:t xml:space="preserve"> WHO</w:t>
      </w:r>
      <w:r w:rsidRPr="003819C4">
        <w:rPr>
          <w:rFonts w:asciiTheme="minorHAnsi" w:hAnsiTheme="minorHAnsi" w:cstheme="minorHAnsi"/>
          <w:color w:val="333333"/>
          <w:sz w:val="22"/>
          <w:shd w:val="clear" w:color="auto" w:fill="FFFFFF"/>
        </w:rPr>
        <w:t xml:space="preserve"> policy documents provide</w:t>
      </w:r>
      <w:r>
        <w:rPr>
          <w:rFonts w:asciiTheme="minorHAnsi" w:hAnsiTheme="minorHAnsi" w:cstheme="minorHAnsi"/>
          <w:color w:val="333333"/>
          <w:sz w:val="22"/>
          <w:shd w:val="clear" w:color="auto" w:fill="FFFFFF"/>
        </w:rPr>
        <w:t xml:space="preserve"> guidance for national programmes.</w:t>
      </w:r>
      <w:r w:rsidR="00FE123E">
        <w:rPr>
          <w:rFonts w:asciiTheme="minorHAnsi" w:hAnsiTheme="minorHAnsi" w:cstheme="minorHAnsi"/>
          <w:color w:val="333333"/>
          <w:sz w:val="22"/>
          <w:shd w:val="clear" w:color="auto" w:fill="FFFFFF"/>
        </w:rPr>
        <w:t xml:space="preserve"> This NSP</w:t>
      </w:r>
      <w:r w:rsidR="00F07583">
        <w:rPr>
          <w:rFonts w:asciiTheme="minorHAnsi" w:hAnsiTheme="minorHAnsi" w:cstheme="minorHAnsi"/>
          <w:color w:val="333333"/>
          <w:sz w:val="22"/>
          <w:shd w:val="clear" w:color="auto" w:fill="FFFFFF"/>
        </w:rPr>
        <w:t xml:space="preserve"> adapts </w:t>
      </w:r>
      <w:r w:rsidR="00FE123E">
        <w:rPr>
          <w:rFonts w:asciiTheme="minorHAnsi" w:hAnsiTheme="minorHAnsi" w:cstheme="minorHAnsi"/>
          <w:color w:val="333333"/>
          <w:sz w:val="22"/>
          <w:shd w:val="clear" w:color="auto" w:fill="FFFFFF"/>
        </w:rPr>
        <w:t xml:space="preserve">the recommendations </w:t>
      </w:r>
      <w:r w:rsidR="00F07583">
        <w:rPr>
          <w:rFonts w:asciiTheme="minorHAnsi" w:hAnsiTheme="minorHAnsi" w:cstheme="minorHAnsi"/>
          <w:color w:val="333333"/>
          <w:sz w:val="22"/>
          <w:shd w:val="clear" w:color="auto" w:fill="FFFFFF"/>
        </w:rPr>
        <w:t xml:space="preserve">of these </w:t>
      </w:r>
      <w:r w:rsidR="00FE123E">
        <w:rPr>
          <w:rFonts w:asciiTheme="minorHAnsi" w:hAnsiTheme="minorHAnsi" w:cstheme="minorHAnsi"/>
          <w:color w:val="333333"/>
          <w:sz w:val="22"/>
          <w:shd w:val="clear" w:color="auto" w:fill="FFFFFF"/>
        </w:rPr>
        <w:t>in the national context</w:t>
      </w:r>
      <w:r w:rsidR="00F07583">
        <w:rPr>
          <w:rFonts w:asciiTheme="minorHAnsi" w:hAnsiTheme="minorHAnsi" w:cstheme="minorHAnsi"/>
          <w:color w:val="333333"/>
          <w:sz w:val="22"/>
          <w:shd w:val="clear" w:color="auto" w:fill="FFFFFF"/>
        </w:rPr>
        <w:t xml:space="preserve"> and incorporates for</w:t>
      </w:r>
      <w:r w:rsidR="00FE123E">
        <w:rPr>
          <w:rFonts w:asciiTheme="minorHAnsi" w:hAnsiTheme="minorHAnsi" w:cstheme="minorHAnsi"/>
          <w:color w:val="333333"/>
          <w:sz w:val="22"/>
          <w:shd w:val="clear" w:color="auto" w:fill="FFFFFF"/>
        </w:rPr>
        <w:t xml:space="preserve"> use in the country. The WHO policy documents consulted are as follows: </w:t>
      </w:r>
    </w:p>
    <w:p w14:paraId="082B9842" w14:textId="62435004" w:rsidR="00BA64DC" w:rsidRPr="00D72CFA" w:rsidRDefault="00463C9E" w:rsidP="00442A67">
      <w:pPr>
        <w:pStyle w:val="ListParagraph"/>
        <w:numPr>
          <w:ilvl w:val="0"/>
          <w:numId w:val="39"/>
        </w:numPr>
        <w:spacing w:before="0" w:after="0"/>
        <w:jc w:val="both"/>
        <w:rPr>
          <w:rFonts w:asciiTheme="minorHAnsi" w:hAnsiTheme="minorHAnsi" w:cstheme="minorHAnsi"/>
          <w:b/>
          <w:bCs/>
          <w:color w:val="333333"/>
          <w:sz w:val="22"/>
          <w:shd w:val="clear" w:color="auto" w:fill="FFFFFF"/>
        </w:rPr>
      </w:pPr>
      <w:r>
        <w:rPr>
          <w:rFonts w:asciiTheme="minorHAnsi" w:hAnsiTheme="minorHAnsi" w:cstheme="minorHAnsi"/>
          <w:b/>
          <w:bCs/>
          <w:color w:val="333333"/>
          <w:sz w:val="22"/>
          <w:shd w:val="clear" w:color="auto" w:fill="FFFFFF"/>
        </w:rPr>
        <w:t>Laboratory and d</w:t>
      </w:r>
      <w:r w:rsidR="00BA64DC" w:rsidRPr="00D72CFA">
        <w:rPr>
          <w:rFonts w:asciiTheme="minorHAnsi" w:hAnsiTheme="minorHAnsi" w:cstheme="minorHAnsi"/>
          <w:b/>
          <w:bCs/>
          <w:color w:val="333333"/>
          <w:sz w:val="22"/>
          <w:shd w:val="clear" w:color="auto" w:fill="FFFFFF"/>
        </w:rPr>
        <w:t xml:space="preserve">iagnostic guidelines: </w:t>
      </w:r>
    </w:p>
    <w:p w14:paraId="33CC078D" w14:textId="67FA7CE1" w:rsidR="00A71BBC" w:rsidRDefault="00B333EB" w:rsidP="00B333EB">
      <w:pPr>
        <w:pStyle w:val="ListParagraph"/>
        <w:numPr>
          <w:ilvl w:val="1"/>
          <w:numId w:val="39"/>
        </w:numPr>
        <w:spacing w:before="0" w:after="0"/>
        <w:jc w:val="both"/>
        <w:rPr>
          <w:rFonts w:asciiTheme="minorHAnsi" w:hAnsiTheme="minorHAnsi" w:cstheme="minorHAnsi"/>
          <w:color w:val="333333"/>
          <w:sz w:val="22"/>
          <w:shd w:val="clear" w:color="auto" w:fill="FFFFFF"/>
        </w:rPr>
      </w:pPr>
      <w:r w:rsidRPr="00B333EB">
        <w:rPr>
          <w:rFonts w:asciiTheme="minorHAnsi" w:hAnsiTheme="minorHAnsi" w:cstheme="minorHAnsi"/>
          <w:color w:val="333333"/>
          <w:sz w:val="22"/>
          <w:shd w:val="clear" w:color="auto" w:fill="FFFFFF"/>
        </w:rPr>
        <w:t>Rapid Communication: Molecular assays as initial tests for the diagnosis of tuberculosis and rifampicin resistance</w:t>
      </w:r>
      <w:r>
        <w:rPr>
          <w:rFonts w:asciiTheme="minorHAnsi" w:hAnsiTheme="minorHAnsi" w:cstheme="minorHAnsi"/>
          <w:color w:val="333333"/>
          <w:sz w:val="22"/>
          <w:shd w:val="clear" w:color="auto" w:fill="FFFFFF"/>
        </w:rPr>
        <w:t xml:space="preserve"> (January 2020)</w:t>
      </w:r>
      <w:r w:rsidR="00390FB5">
        <w:rPr>
          <w:rFonts w:asciiTheme="minorHAnsi" w:hAnsiTheme="minorHAnsi" w:cstheme="minorHAnsi"/>
          <w:color w:val="333333"/>
          <w:sz w:val="22"/>
          <w:shd w:val="clear" w:color="auto" w:fill="FFFFFF"/>
        </w:rPr>
        <w:t xml:space="preserve"> (</w:t>
      </w:r>
      <w:r w:rsidR="00390FB5" w:rsidRPr="00B333EB">
        <w:rPr>
          <w:rFonts w:asciiTheme="minorHAnsi" w:hAnsiTheme="minorHAnsi" w:cstheme="minorHAnsi"/>
          <w:color w:val="333333"/>
          <w:sz w:val="22"/>
          <w:shd w:val="clear" w:color="auto" w:fill="FFFFFF"/>
        </w:rPr>
        <w:t>WH</w:t>
      </w:r>
      <w:r w:rsidR="00390FB5">
        <w:rPr>
          <w:rFonts w:asciiTheme="minorHAnsi" w:hAnsiTheme="minorHAnsi" w:cstheme="minorHAnsi"/>
          <w:color w:val="333333"/>
          <w:sz w:val="22"/>
          <w:shd w:val="clear" w:color="auto" w:fill="FFFFFF"/>
        </w:rPr>
        <w:t>O)</w:t>
      </w:r>
      <w:r w:rsidR="00B1202A">
        <w:rPr>
          <w:rStyle w:val="FootnoteReference"/>
          <w:rFonts w:cstheme="minorHAnsi"/>
          <w:color w:val="333333"/>
          <w:shd w:val="clear" w:color="auto" w:fill="FFFFFF"/>
        </w:rPr>
        <w:footnoteReference w:id="6"/>
      </w:r>
      <w:r w:rsidR="00390FB5">
        <w:rPr>
          <w:rFonts w:asciiTheme="minorHAnsi" w:hAnsiTheme="minorHAnsi" w:cstheme="minorHAnsi"/>
          <w:color w:val="333333"/>
          <w:sz w:val="22"/>
          <w:shd w:val="clear" w:color="auto" w:fill="FFFFFF"/>
        </w:rPr>
        <w:t xml:space="preserve"> - Includes </w:t>
      </w:r>
      <w:r>
        <w:rPr>
          <w:rFonts w:asciiTheme="minorHAnsi" w:hAnsiTheme="minorHAnsi" w:cstheme="minorHAnsi"/>
          <w:color w:val="333333"/>
          <w:sz w:val="22"/>
          <w:shd w:val="clear" w:color="auto" w:fill="FFFFFF"/>
        </w:rPr>
        <w:t>use of TrueNa</w:t>
      </w:r>
      <w:r w:rsidRPr="00B333EB">
        <w:rPr>
          <w:rFonts w:asciiTheme="minorHAnsi" w:hAnsiTheme="minorHAnsi" w:cstheme="minorHAnsi"/>
          <w:color w:val="333333"/>
          <w:sz w:val="22"/>
          <w:shd w:val="clear" w:color="auto" w:fill="FFFFFF"/>
        </w:rPr>
        <w:t>at</w:t>
      </w:r>
      <w:r w:rsidRPr="00B333EB">
        <w:rPr>
          <w:rFonts w:asciiTheme="minorHAnsi" w:hAnsiTheme="minorHAnsi" w:cstheme="minorHAnsi"/>
          <w:color w:val="333333"/>
          <w:sz w:val="22"/>
          <w:shd w:val="clear" w:color="auto" w:fill="FFFFFF"/>
          <w:vertAlign w:val="superscript"/>
        </w:rPr>
        <w:t>TM</w:t>
      </w:r>
      <w:r w:rsidRPr="00B333EB">
        <w:rPr>
          <w:rFonts w:asciiTheme="minorHAnsi" w:hAnsiTheme="minorHAnsi" w:cstheme="minorHAnsi"/>
          <w:color w:val="333333"/>
          <w:sz w:val="22"/>
          <w:shd w:val="clear" w:color="auto" w:fill="FFFFFF"/>
        </w:rPr>
        <w:t xml:space="preserve"> for diagnosis of Tuberculosis and sequential  rifampicin resistance detection</w:t>
      </w:r>
    </w:p>
    <w:p w14:paraId="06977AFA" w14:textId="3A1853DB" w:rsidR="00BA64DC" w:rsidRPr="00BA64DC" w:rsidRDefault="00BA64DC" w:rsidP="00442A67">
      <w:pPr>
        <w:pStyle w:val="ListParagraph"/>
        <w:numPr>
          <w:ilvl w:val="1"/>
          <w:numId w:val="39"/>
        </w:numPr>
        <w:spacing w:before="0" w:after="0"/>
        <w:jc w:val="both"/>
        <w:rPr>
          <w:rFonts w:asciiTheme="minorHAnsi" w:hAnsiTheme="minorHAnsi" w:cstheme="minorHAnsi"/>
          <w:color w:val="333333"/>
          <w:sz w:val="22"/>
          <w:shd w:val="clear" w:color="auto" w:fill="FFFFFF"/>
        </w:rPr>
      </w:pPr>
      <w:r w:rsidRPr="00BA64DC">
        <w:rPr>
          <w:rFonts w:asciiTheme="minorHAnsi" w:hAnsiTheme="minorHAnsi" w:cstheme="minorHAnsi"/>
          <w:color w:val="333333"/>
          <w:sz w:val="22"/>
          <w:shd w:val="clear" w:color="auto" w:fill="FFFFFF"/>
        </w:rPr>
        <w:t xml:space="preserve">Lateral flow urine </w:t>
      </w:r>
      <w:r w:rsidR="00693FC5" w:rsidRPr="00BA64DC">
        <w:rPr>
          <w:rFonts w:asciiTheme="minorHAnsi" w:hAnsiTheme="minorHAnsi" w:cstheme="minorHAnsi"/>
          <w:color w:val="333333"/>
          <w:sz w:val="22"/>
          <w:shd w:val="clear" w:color="auto" w:fill="FFFFFF"/>
        </w:rPr>
        <w:t>Lipoarabinomannan</w:t>
      </w:r>
      <w:r w:rsidRPr="00BA64DC">
        <w:rPr>
          <w:rFonts w:asciiTheme="minorHAnsi" w:hAnsiTheme="minorHAnsi" w:cstheme="minorHAnsi"/>
          <w:color w:val="333333"/>
          <w:sz w:val="22"/>
          <w:shd w:val="clear" w:color="auto" w:fill="FFFFFF"/>
        </w:rPr>
        <w:t xml:space="preserve"> assay (LF-LAM) for the diagnosis of active tuberculosis in people living with HIV: policy update (2019)</w:t>
      </w:r>
      <w:r w:rsidR="008A3808">
        <w:rPr>
          <w:rFonts w:asciiTheme="minorHAnsi" w:hAnsiTheme="minorHAnsi" w:cstheme="minorHAnsi"/>
          <w:color w:val="333333"/>
          <w:sz w:val="22"/>
          <w:shd w:val="clear" w:color="auto" w:fill="FFFFFF"/>
        </w:rPr>
        <w:t xml:space="preserve"> (WHO)</w:t>
      </w:r>
    </w:p>
    <w:p w14:paraId="7C5577CC" w14:textId="7281FF76" w:rsidR="00BA64DC" w:rsidRPr="00BA64DC" w:rsidRDefault="00BA64DC" w:rsidP="00442A67">
      <w:pPr>
        <w:pStyle w:val="ListParagraph"/>
        <w:numPr>
          <w:ilvl w:val="1"/>
          <w:numId w:val="39"/>
        </w:numPr>
        <w:spacing w:before="0" w:after="0"/>
        <w:jc w:val="both"/>
        <w:rPr>
          <w:rFonts w:asciiTheme="minorHAnsi" w:hAnsiTheme="minorHAnsi" w:cstheme="minorHAnsi"/>
          <w:color w:val="333333"/>
          <w:sz w:val="22"/>
          <w:shd w:val="clear" w:color="auto" w:fill="FFFFFF"/>
        </w:rPr>
      </w:pPr>
      <w:r w:rsidRPr="00BA64DC">
        <w:rPr>
          <w:rFonts w:asciiTheme="minorHAnsi" w:hAnsiTheme="minorHAnsi" w:cstheme="minorHAnsi"/>
          <w:color w:val="333333"/>
          <w:sz w:val="22"/>
          <w:shd w:val="clear" w:color="auto" w:fill="FFFFFF"/>
        </w:rPr>
        <w:t>Technical manual for drug susceptibility testing of medicines used in the treatment of tuberculosis (2018)</w:t>
      </w:r>
      <w:r w:rsidR="008A3808">
        <w:rPr>
          <w:rFonts w:asciiTheme="minorHAnsi" w:hAnsiTheme="minorHAnsi" w:cstheme="minorHAnsi"/>
          <w:color w:val="333333"/>
          <w:sz w:val="22"/>
          <w:shd w:val="clear" w:color="auto" w:fill="FFFFFF"/>
        </w:rPr>
        <w:t xml:space="preserve"> (WHO)</w:t>
      </w:r>
    </w:p>
    <w:p w14:paraId="230A8F1E" w14:textId="00324496" w:rsidR="00BA64DC" w:rsidRDefault="00BA64DC" w:rsidP="00442A67">
      <w:pPr>
        <w:pStyle w:val="ListParagraph"/>
        <w:numPr>
          <w:ilvl w:val="1"/>
          <w:numId w:val="39"/>
        </w:numPr>
        <w:spacing w:before="0" w:after="0"/>
        <w:jc w:val="both"/>
        <w:rPr>
          <w:rFonts w:asciiTheme="minorHAnsi" w:hAnsiTheme="minorHAnsi" w:cstheme="minorHAnsi"/>
          <w:bCs/>
          <w:color w:val="333333"/>
          <w:sz w:val="22"/>
          <w:shd w:val="clear" w:color="auto" w:fill="FFFFFF"/>
        </w:rPr>
      </w:pPr>
      <w:r w:rsidRPr="00BA64DC">
        <w:rPr>
          <w:rFonts w:asciiTheme="minorHAnsi" w:hAnsiTheme="minorHAnsi" w:cstheme="minorHAnsi"/>
          <w:color w:val="333333"/>
          <w:sz w:val="22"/>
          <w:shd w:val="clear" w:color="auto" w:fill="FFFFFF"/>
        </w:rPr>
        <w:t xml:space="preserve">The use of next-generation sequencing technologies for the detection of mutations associated with </w:t>
      </w:r>
      <w:r w:rsidRPr="00F07583">
        <w:rPr>
          <w:rFonts w:asciiTheme="minorHAnsi" w:hAnsiTheme="minorHAnsi" w:cstheme="minorHAnsi"/>
          <w:color w:val="333333"/>
          <w:sz w:val="22"/>
          <w:shd w:val="clear" w:color="auto" w:fill="FFFFFF"/>
        </w:rPr>
        <w:t>drug</w:t>
      </w:r>
      <w:r w:rsidRPr="00F07583">
        <w:rPr>
          <w:rFonts w:asciiTheme="minorHAnsi" w:hAnsiTheme="minorHAnsi" w:cstheme="minorHAnsi"/>
          <w:bCs/>
          <w:color w:val="333333"/>
          <w:sz w:val="22"/>
          <w:shd w:val="clear" w:color="auto" w:fill="FFFFFF"/>
        </w:rPr>
        <w:t xml:space="preserve"> resistance in Mycobacterium tuberculosis complex: technical guide (2018)</w:t>
      </w:r>
      <w:r w:rsidR="00310650">
        <w:rPr>
          <w:rFonts w:asciiTheme="minorHAnsi" w:hAnsiTheme="minorHAnsi" w:cstheme="minorHAnsi"/>
          <w:bCs/>
          <w:color w:val="333333"/>
          <w:sz w:val="22"/>
          <w:shd w:val="clear" w:color="auto" w:fill="FFFFFF"/>
        </w:rPr>
        <w:t xml:space="preserve"> </w:t>
      </w:r>
      <w:r w:rsidR="008A3808">
        <w:rPr>
          <w:rFonts w:asciiTheme="minorHAnsi" w:hAnsiTheme="minorHAnsi" w:cstheme="minorHAnsi"/>
          <w:bCs/>
          <w:color w:val="333333"/>
          <w:sz w:val="22"/>
          <w:shd w:val="clear" w:color="auto" w:fill="FFFFFF"/>
        </w:rPr>
        <w:t>(WHO)</w:t>
      </w:r>
    </w:p>
    <w:p w14:paraId="12E54BF1" w14:textId="600B5658" w:rsidR="00310650" w:rsidRPr="00F07583" w:rsidRDefault="00310650" w:rsidP="00442A67">
      <w:pPr>
        <w:pStyle w:val="ListParagraph"/>
        <w:numPr>
          <w:ilvl w:val="1"/>
          <w:numId w:val="39"/>
        </w:numPr>
        <w:spacing w:before="0" w:after="0"/>
        <w:jc w:val="both"/>
        <w:rPr>
          <w:rFonts w:asciiTheme="minorHAnsi" w:hAnsiTheme="minorHAnsi" w:cstheme="minorHAnsi"/>
          <w:bCs/>
          <w:color w:val="333333"/>
          <w:sz w:val="22"/>
          <w:shd w:val="clear" w:color="auto" w:fill="FFFFFF"/>
        </w:rPr>
      </w:pPr>
      <w:r w:rsidRPr="00310650">
        <w:rPr>
          <w:rFonts w:asciiTheme="minorHAnsi" w:hAnsiTheme="minorHAnsi" w:cstheme="minorHAnsi"/>
          <w:bCs/>
          <w:color w:val="333333"/>
          <w:sz w:val="22"/>
          <w:shd w:val="clear" w:color="auto" w:fill="FFFFFF"/>
        </w:rPr>
        <w:t>Global Fund`s Empowered Review Panel for Diagnostics (ERPD) recommendations</w:t>
      </w:r>
      <w:r w:rsidR="008A3808">
        <w:rPr>
          <w:rStyle w:val="FootnoteReference"/>
          <w:rFonts w:cstheme="minorHAnsi"/>
          <w:bCs/>
          <w:color w:val="333333"/>
          <w:shd w:val="clear" w:color="auto" w:fill="FFFFFF"/>
        </w:rPr>
        <w:footnoteReference w:id="7"/>
      </w:r>
    </w:p>
    <w:p w14:paraId="1BA8072C" w14:textId="08E9A331" w:rsidR="003819C4" w:rsidRPr="00D72CFA" w:rsidRDefault="00463C9E" w:rsidP="00442A67">
      <w:pPr>
        <w:pStyle w:val="ListParagraph"/>
        <w:numPr>
          <w:ilvl w:val="0"/>
          <w:numId w:val="39"/>
        </w:numPr>
        <w:spacing w:before="0" w:after="0"/>
        <w:jc w:val="both"/>
        <w:rPr>
          <w:rFonts w:asciiTheme="minorHAnsi" w:hAnsiTheme="minorHAnsi" w:cstheme="minorHAnsi"/>
          <w:color w:val="333333"/>
          <w:sz w:val="22"/>
          <w:shd w:val="clear" w:color="auto" w:fill="FFFFFF"/>
        </w:rPr>
      </w:pPr>
      <w:r>
        <w:rPr>
          <w:rFonts w:asciiTheme="minorHAnsi" w:hAnsiTheme="minorHAnsi" w:cstheme="minorHAnsi"/>
          <w:b/>
          <w:bCs/>
          <w:color w:val="333333"/>
          <w:sz w:val="22"/>
          <w:shd w:val="clear" w:color="auto" w:fill="FFFFFF"/>
        </w:rPr>
        <w:t>T</w:t>
      </w:r>
      <w:r w:rsidR="003819C4" w:rsidRPr="00D72CFA">
        <w:rPr>
          <w:rFonts w:asciiTheme="minorHAnsi" w:hAnsiTheme="minorHAnsi" w:cstheme="minorHAnsi"/>
          <w:b/>
          <w:bCs/>
          <w:color w:val="333333"/>
          <w:sz w:val="22"/>
          <w:shd w:val="clear" w:color="auto" w:fill="FFFFFF"/>
        </w:rPr>
        <w:t>reatment guidelines</w:t>
      </w:r>
    </w:p>
    <w:p w14:paraId="4DACF0C2" w14:textId="77777777" w:rsidR="003819C4" w:rsidRPr="003819C4" w:rsidRDefault="003819C4" w:rsidP="00442A67">
      <w:pPr>
        <w:pStyle w:val="ListParagraph"/>
        <w:numPr>
          <w:ilvl w:val="1"/>
          <w:numId w:val="39"/>
        </w:numPr>
        <w:spacing w:before="0" w:after="0"/>
        <w:jc w:val="both"/>
        <w:rPr>
          <w:rFonts w:asciiTheme="minorHAnsi" w:hAnsiTheme="minorHAnsi" w:cstheme="minorHAnsi"/>
          <w:color w:val="333333"/>
          <w:sz w:val="22"/>
          <w:shd w:val="clear" w:color="auto" w:fill="FFFFFF"/>
        </w:rPr>
      </w:pPr>
      <w:r w:rsidRPr="003819C4">
        <w:rPr>
          <w:rFonts w:asciiTheme="minorHAnsi" w:hAnsiTheme="minorHAnsi" w:cstheme="minorHAnsi"/>
          <w:color w:val="333333"/>
          <w:sz w:val="22"/>
          <w:shd w:val="clear" w:color="auto" w:fill="FFFFFF"/>
        </w:rPr>
        <w:t>WHO consolidated guidelines on drug-resistant tuberculosis treatment (2019)</w:t>
      </w:r>
    </w:p>
    <w:p w14:paraId="7E9D102C" w14:textId="30D96BF6" w:rsidR="003819C4" w:rsidRPr="003819C4" w:rsidRDefault="003819C4" w:rsidP="00442A67">
      <w:pPr>
        <w:pStyle w:val="ListParagraph"/>
        <w:numPr>
          <w:ilvl w:val="1"/>
          <w:numId w:val="39"/>
        </w:numPr>
        <w:spacing w:before="0" w:after="0"/>
        <w:jc w:val="both"/>
        <w:rPr>
          <w:rFonts w:asciiTheme="minorHAnsi" w:hAnsiTheme="minorHAnsi" w:cstheme="minorHAnsi"/>
          <w:color w:val="333333"/>
          <w:sz w:val="22"/>
          <w:shd w:val="clear" w:color="auto" w:fill="FFFFFF"/>
        </w:rPr>
      </w:pPr>
      <w:r w:rsidRPr="003819C4">
        <w:rPr>
          <w:rFonts w:asciiTheme="minorHAnsi" w:hAnsiTheme="minorHAnsi" w:cstheme="minorHAnsi"/>
          <w:color w:val="333333"/>
          <w:sz w:val="22"/>
          <w:shd w:val="clear" w:color="auto" w:fill="FFFFFF"/>
        </w:rPr>
        <w:t>Rapid Communication: Key changes to treatment of multidrug- and rifampicin-resistant tuberculosis (MDR/RR-TB) (</w:t>
      </w:r>
      <w:r w:rsidR="008A3808">
        <w:rPr>
          <w:rFonts w:asciiTheme="minorHAnsi" w:hAnsiTheme="minorHAnsi" w:cstheme="minorHAnsi"/>
          <w:color w:val="333333"/>
          <w:sz w:val="22"/>
          <w:shd w:val="clear" w:color="auto" w:fill="FFFFFF"/>
        </w:rPr>
        <w:t xml:space="preserve">Dec </w:t>
      </w:r>
      <w:r w:rsidRPr="003819C4">
        <w:rPr>
          <w:rFonts w:asciiTheme="minorHAnsi" w:hAnsiTheme="minorHAnsi" w:cstheme="minorHAnsi"/>
          <w:color w:val="333333"/>
          <w:sz w:val="22"/>
          <w:shd w:val="clear" w:color="auto" w:fill="FFFFFF"/>
        </w:rPr>
        <w:t>201</w:t>
      </w:r>
      <w:r w:rsidR="008A3808">
        <w:rPr>
          <w:rFonts w:asciiTheme="minorHAnsi" w:hAnsiTheme="minorHAnsi" w:cstheme="minorHAnsi"/>
          <w:color w:val="333333"/>
          <w:sz w:val="22"/>
          <w:shd w:val="clear" w:color="auto" w:fill="FFFFFF"/>
        </w:rPr>
        <w:t>9</w:t>
      </w:r>
      <w:r w:rsidRPr="003819C4">
        <w:rPr>
          <w:rFonts w:asciiTheme="minorHAnsi" w:hAnsiTheme="minorHAnsi" w:cstheme="minorHAnsi"/>
          <w:color w:val="333333"/>
          <w:sz w:val="22"/>
          <w:shd w:val="clear" w:color="auto" w:fill="FFFFFF"/>
        </w:rPr>
        <w:t>)</w:t>
      </w:r>
      <w:r w:rsidR="008A3808">
        <w:rPr>
          <w:rFonts w:asciiTheme="minorHAnsi" w:hAnsiTheme="minorHAnsi" w:cstheme="minorHAnsi"/>
          <w:color w:val="333333"/>
          <w:sz w:val="22"/>
          <w:shd w:val="clear" w:color="auto" w:fill="FFFFFF"/>
        </w:rPr>
        <w:t xml:space="preserve"> (WHO)</w:t>
      </w:r>
    </w:p>
    <w:p w14:paraId="6A82760C" w14:textId="77777777" w:rsidR="003819C4" w:rsidRPr="003819C4" w:rsidRDefault="003819C4" w:rsidP="00442A67">
      <w:pPr>
        <w:pStyle w:val="ListParagraph"/>
        <w:numPr>
          <w:ilvl w:val="1"/>
          <w:numId w:val="39"/>
        </w:numPr>
        <w:spacing w:before="0" w:after="0"/>
        <w:jc w:val="both"/>
        <w:rPr>
          <w:rFonts w:asciiTheme="minorHAnsi" w:hAnsiTheme="minorHAnsi" w:cstheme="minorHAnsi"/>
          <w:color w:val="333333"/>
          <w:sz w:val="22"/>
          <w:shd w:val="clear" w:color="auto" w:fill="FFFFFF"/>
        </w:rPr>
      </w:pPr>
      <w:r w:rsidRPr="003819C4">
        <w:rPr>
          <w:rFonts w:asciiTheme="minorHAnsi" w:hAnsiTheme="minorHAnsi" w:cstheme="minorHAnsi"/>
          <w:color w:val="333333"/>
          <w:sz w:val="22"/>
          <w:shd w:val="clear" w:color="auto" w:fill="FFFFFF"/>
        </w:rPr>
        <w:t>WHO position statement on the continued use of the shorter MDR-TB regimen following an expedited review of the STREAM Stage 1 preliminary results (2018)</w:t>
      </w:r>
    </w:p>
    <w:p w14:paraId="29F79330" w14:textId="77777777" w:rsidR="003819C4" w:rsidRPr="003819C4" w:rsidRDefault="003819C4" w:rsidP="00442A67">
      <w:pPr>
        <w:pStyle w:val="ListParagraph"/>
        <w:numPr>
          <w:ilvl w:val="1"/>
          <w:numId w:val="39"/>
        </w:numPr>
        <w:spacing w:before="0" w:after="0"/>
        <w:jc w:val="both"/>
        <w:rPr>
          <w:rFonts w:asciiTheme="minorHAnsi" w:hAnsiTheme="minorHAnsi" w:cstheme="minorHAnsi"/>
          <w:color w:val="333333"/>
          <w:sz w:val="22"/>
          <w:shd w:val="clear" w:color="auto" w:fill="FFFFFF"/>
        </w:rPr>
      </w:pPr>
      <w:r w:rsidRPr="003819C4">
        <w:rPr>
          <w:rFonts w:asciiTheme="minorHAnsi" w:hAnsiTheme="minorHAnsi" w:cstheme="minorHAnsi"/>
          <w:color w:val="333333"/>
          <w:sz w:val="22"/>
          <w:shd w:val="clear" w:color="auto" w:fill="FFFFFF"/>
        </w:rPr>
        <w:t>WHO treatment guidelines for isoniazid-resistant tuberculosis: Supplement to the WHO treatment guidelines for drug-resistant tuberculosis (2018)</w:t>
      </w:r>
    </w:p>
    <w:p w14:paraId="19D65056" w14:textId="77777777" w:rsidR="003819C4" w:rsidRPr="003819C4" w:rsidRDefault="003819C4" w:rsidP="00442A67">
      <w:pPr>
        <w:pStyle w:val="ListParagraph"/>
        <w:numPr>
          <w:ilvl w:val="1"/>
          <w:numId w:val="39"/>
        </w:numPr>
        <w:spacing w:before="0" w:after="0"/>
        <w:jc w:val="both"/>
        <w:rPr>
          <w:rFonts w:asciiTheme="minorHAnsi" w:hAnsiTheme="minorHAnsi" w:cstheme="minorHAnsi"/>
          <w:color w:val="333333"/>
          <w:sz w:val="22"/>
          <w:shd w:val="clear" w:color="auto" w:fill="FFFFFF"/>
        </w:rPr>
      </w:pPr>
      <w:r w:rsidRPr="003819C4">
        <w:rPr>
          <w:rFonts w:asciiTheme="minorHAnsi" w:hAnsiTheme="minorHAnsi" w:cstheme="minorHAnsi"/>
          <w:color w:val="333333"/>
          <w:sz w:val="22"/>
          <w:shd w:val="clear" w:color="auto" w:fill="FFFFFF"/>
        </w:rPr>
        <w:t>Handbook for the use of digital technologies to support tuberculosis medication adherence (2018)</w:t>
      </w:r>
    </w:p>
    <w:p w14:paraId="4DD4BA0D" w14:textId="77777777" w:rsidR="003819C4" w:rsidRPr="003819C4" w:rsidRDefault="003819C4" w:rsidP="00442A67">
      <w:pPr>
        <w:pStyle w:val="ListParagraph"/>
        <w:numPr>
          <w:ilvl w:val="1"/>
          <w:numId w:val="39"/>
        </w:numPr>
        <w:spacing w:before="0" w:after="0"/>
        <w:jc w:val="both"/>
        <w:rPr>
          <w:rFonts w:asciiTheme="minorHAnsi" w:hAnsiTheme="minorHAnsi" w:cstheme="minorHAnsi"/>
          <w:color w:val="333333"/>
          <w:sz w:val="22"/>
          <w:shd w:val="clear" w:color="auto" w:fill="FFFFFF"/>
        </w:rPr>
      </w:pPr>
      <w:r w:rsidRPr="003819C4">
        <w:rPr>
          <w:rFonts w:asciiTheme="minorHAnsi" w:hAnsiTheme="minorHAnsi" w:cstheme="minorHAnsi"/>
          <w:color w:val="333333"/>
          <w:sz w:val="22"/>
          <w:shd w:val="clear" w:color="auto" w:fill="FFFFFF"/>
        </w:rPr>
        <w:t>WHO position statement on the use of delamanid for multidrug-resistant tuberculosis (2018)</w:t>
      </w:r>
    </w:p>
    <w:p w14:paraId="62706CE1" w14:textId="74F25126" w:rsidR="00B21B10" w:rsidRDefault="003819C4" w:rsidP="00442A67">
      <w:pPr>
        <w:pStyle w:val="ListParagraph"/>
        <w:numPr>
          <w:ilvl w:val="1"/>
          <w:numId w:val="39"/>
        </w:numPr>
        <w:spacing w:before="0" w:after="0"/>
        <w:jc w:val="both"/>
        <w:rPr>
          <w:rFonts w:asciiTheme="minorHAnsi" w:hAnsiTheme="minorHAnsi" w:cstheme="minorHAnsi"/>
          <w:color w:val="333333"/>
          <w:sz w:val="22"/>
          <w:shd w:val="clear" w:color="auto" w:fill="FFFFFF"/>
        </w:rPr>
      </w:pPr>
      <w:r w:rsidRPr="003819C4">
        <w:rPr>
          <w:rFonts w:asciiTheme="minorHAnsi" w:hAnsiTheme="minorHAnsi" w:cstheme="minorHAnsi"/>
          <w:color w:val="333333"/>
          <w:sz w:val="22"/>
          <w:shd w:val="clear" w:color="auto" w:fill="FFFFFF"/>
        </w:rPr>
        <w:t xml:space="preserve">Compendium of WHO guidelines and associated standards: ensuring optimum delivery of the cascade of care for patients with tuberculosis (2017)  </w:t>
      </w:r>
    </w:p>
    <w:p w14:paraId="371BFFD8" w14:textId="536EAA70" w:rsidR="003819C4" w:rsidRPr="00D72CFA" w:rsidRDefault="003819C4" w:rsidP="00442A67">
      <w:pPr>
        <w:pStyle w:val="ListParagraph"/>
        <w:numPr>
          <w:ilvl w:val="0"/>
          <w:numId w:val="39"/>
        </w:numPr>
        <w:spacing w:before="0" w:after="0"/>
        <w:jc w:val="both"/>
        <w:rPr>
          <w:rFonts w:asciiTheme="minorHAnsi" w:hAnsiTheme="minorHAnsi" w:cstheme="minorHAnsi"/>
          <w:color w:val="333333"/>
          <w:sz w:val="22"/>
          <w:shd w:val="clear" w:color="auto" w:fill="FFFFFF"/>
        </w:rPr>
      </w:pPr>
      <w:r w:rsidRPr="00D72CFA">
        <w:rPr>
          <w:rFonts w:asciiTheme="minorHAnsi" w:hAnsiTheme="minorHAnsi" w:cstheme="minorHAnsi"/>
          <w:b/>
          <w:bCs/>
          <w:color w:val="333333"/>
          <w:sz w:val="22"/>
          <w:shd w:val="clear" w:color="auto" w:fill="FFFFFF"/>
        </w:rPr>
        <w:t>Prevention gu</w:t>
      </w:r>
      <w:r w:rsidR="008A3808">
        <w:rPr>
          <w:rFonts w:asciiTheme="minorHAnsi" w:hAnsiTheme="minorHAnsi" w:cstheme="minorHAnsi"/>
          <w:b/>
          <w:bCs/>
          <w:color w:val="333333"/>
          <w:sz w:val="22"/>
          <w:shd w:val="clear" w:color="auto" w:fill="FFFFFF"/>
        </w:rPr>
        <w:t>idelines</w:t>
      </w:r>
    </w:p>
    <w:p w14:paraId="5D7FC103" w14:textId="77777777" w:rsidR="003E23AF" w:rsidRPr="003E23AF" w:rsidRDefault="003E23AF" w:rsidP="003E23AF">
      <w:pPr>
        <w:pStyle w:val="ListParagraph"/>
        <w:numPr>
          <w:ilvl w:val="1"/>
          <w:numId w:val="39"/>
        </w:numPr>
        <w:rPr>
          <w:rFonts w:asciiTheme="minorHAnsi" w:hAnsiTheme="minorHAnsi" w:cstheme="minorHAnsi"/>
          <w:sz w:val="22"/>
          <w:shd w:val="clear" w:color="auto" w:fill="FFFFFF"/>
        </w:rPr>
      </w:pPr>
      <w:r w:rsidRPr="003E23AF">
        <w:rPr>
          <w:rFonts w:asciiTheme="minorHAnsi" w:hAnsiTheme="minorHAnsi" w:cstheme="minorHAnsi"/>
          <w:sz w:val="22"/>
          <w:shd w:val="clear" w:color="auto" w:fill="FFFFFF"/>
        </w:rPr>
        <w:t>Overcoming key barriers to scale up tuberculosis preventive treatment (TPT) A Call to Action</w:t>
      </w:r>
    </w:p>
    <w:p w14:paraId="51843B8E" w14:textId="167C57BD" w:rsidR="00F07583" w:rsidRPr="00F07583" w:rsidRDefault="00F07583" w:rsidP="00442A67">
      <w:pPr>
        <w:pStyle w:val="ListParagraph"/>
        <w:numPr>
          <w:ilvl w:val="1"/>
          <w:numId w:val="39"/>
        </w:numPr>
        <w:spacing w:before="0" w:after="0"/>
        <w:jc w:val="both"/>
        <w:rPr>
          <w:rFonts w:asciiTheme="minorHAnsi" w:hAnsiTheme="minorHAnsi" w:cstheme="minorHAnsi"/>
          <w:sz w:val="22"/>
          <w:shd w:val="clear" w:color="auto" w:fill="FFFFFF"/>
        </w:rPr>
      </w:pPr>
      <w:r w:rsidRPr="00F07583">
        <w:rPr>
          <w:rFonts w:asciiTheme="minorHAnsi" w:hAnsiTheme="minorHAnsi" w:cstheme="minorHAnsi"/>
          <w:sz w:val="22"/>
          <w:shd w:val="clear" w:color="auto" w:fill="FFFFFF"/>
        </w:rPr>
        <w:t>WHO consolidated guidelines on tuberculosis: module 1: prevention: tuberculosis preventive treatment</w:t>
      </w:r>
      <w:r>
        <w:rPr>
          <w:rFonts w:asciiTheme="minorHAnsi" w:hAnsiTheme="minorHAnsi" w:cstheme="minorHAnsi"/>
          <w:sz w:val="22"/>
          <w:shd w:val="clear" w:color="auto" w:fill="FFFFFF"/>
        </w:rPr>
        <w:t xml:space="preserve"> (2020)</w:t>
      </w:r>
    </w:p>
    <w:p w14:paraId="58ED8FD3" w14:textId="734C6297" w:rsidR="00F07583" w:rsidRPr="00F07583" w:rsidRDefault="00F07583" w:rsidP="00442A67">
      <w:pPr>
        <w:pStyle w:val="ListParagraph"/>
        <w:numPr>
          <w:ilvl w:val="1"/>
          <w:numId w:val="39"/>
        </w:numPr>
        <w:spacing w:before="0" w:after="0"/>
        <w:jc w:val="both"/>
        <w:rPr>
          <w:rFonts w:asciiTheme="minorHAnsi" w:hAnsiTheme="minorHAnsi" w:cstheme="minorHAnsi"/>
          <w:sz w:val="22"/>
          <w:shd w:val="clear" w:color="auto" w:fill="FFFFFF"/>
        </w:rPr>
      </w:pPr>
      <w:r w:rsidRPr="00F07583">
        <w:rPr>
          <w:rFonts w:asciiTheme="minorHAnsi" w:hAnsiTheme="minorHAnsi" w:cstheme="minorHAnsi"/>
          <w:sz w:val="22"/>
          <w:shd w:val="clear" w:color="auto" w:fill="FFFFFF"/>
        </w:rPr>
        <w:lastRenderedPageBreak/>
        <w:t>WHO operational handbook on tuberculosis: module 1: prevention: tuberculosis preventive treatment</w:t>
      </w:r>
      <w:r>
        <w:rPr>
          <w:rFonts w:asciiTheme="minorHAnsi" w:hAnsiTheme="minorHAnsi" w:cstheme="minorHAnsi"/>
          <w:sz w:val="22"/>
          <w:shd w:val="clear" w:color="auto" w:fill="FFFFFF"/>
        </w:rPr>
        <w:t xml:space="preserve"> (2020)</w:t>
      </w:r>
    </w:p>
    <w:p w14:paraId="0C74F09E" w14:textId="23EE4BCE" w:rsidR="003819C4" w:rsidRPr="00F455D8" w:rsidRDefault="003819C4" w:rsidP="00442A67">
      <w:pPr>
        <w:pStyle w:val="ListParagraph"/>
        <w:numPr>
          <w:ilvl w:val="1"/>
          <w:numId w:val="39"/>
        </w:numPr>
        <w:spacing w:before="0" w:after="0"/>
        <w:jc w:val="both"/>
        <w:rPr>
          <w:rFonts w:asciiTheme="minorHAnsi" w:hAnsiTheme="minorHAnsi" w:cstheme="minorHAnsi"/>
          <w:sz w:val="22"/>
          <w:shd w:val="clear" w:color="auto" w:fill="FFFFFF"/>
        </w:rPr>
      </w:pPr>
      <w:r w:rsidRPr="00F455D8">
        <w:rPr>
          <w:rFonts w:asciiTheme="minorHAnsi" w:hAnsiTheme="minorHAnsi" w:cstheme="minorHAnsi"/>
          <w:sz w:val="22"/>
          <w:shd w:val="clear" w:color="auto" w:fill="FFFFFF"/>
        </w:rPr>
        <w:t>Rapid Communication on forthcoming changes to the programmatic management of tuberculosis preventive treatment (2020)</w:t>
      </w:r>
      <w:r w:rsidR="003E23AF">
        <w:rPr>
          <w:rFonts w:asciiTheme="minorHAnsi" w:hAnsiTheme="minorHAnsi" w:cstheme="minorHAnsi"/>
          <w:sz w:val="22"/>
          <w:shd w:val="clear" w:color="auto" w:fill="FFFFFF"/>
        </w:rPr>
        <w:t xml:space="preserve"> </w:t>
      </w:r>
    </w:p>
    <w:p w14:paraId="7D3F8D93" w14:textId="77777777" w:rsidR="003819C4" w:rsidRPr="00F455D8" w:rsidRDefault="003819C4" w:rsidP="00442A67">
      <w:pPr>
        <w:pStyle w:val="ListParagraph"/>
        <w:numPr>
          <w:ilvl w:val="1"/>
          <w:numId w:val="39"/>
        </w:numPr>
        <w:spacing w:before="0" w:after="0"/>
        <w:jc w:val="both"/>
        <w:rPr>
          <w:rFonts w:asciiTheme="minorHAnsi" w:hAnsiTheme="minorHAnsi" w:cstheme="minorHAnsi"/>
          <w:sz w:val="22"/>
          <w:shd w:val="clear" w:color="auto" w:fill="FFFFFF"/>
        </w:rPr>
      </w:pPr>
      <w:r w:rsidRPr="00F455D8">
        <w:rPr>
          <w:rFonts w:asciiTheme="minorHAnsi" w:hAnsiTheme="minorHAnsi" w:cstheme="minorHAnsi"/>
          <w:sz w:val="22"/>
          <w:shd w:val="clear" w:color="auto" w:fill="FFFFFF"/>
        </w:rPr>
        <w:t>South-East Asia Regional Action Plan on Programmatic Management of Latent TB Infection (2019)</w:t>
      </w:r>
    </w:p>
    <w:p w14:paraId="0A2738BE" w14:textId="77777777" w:rsidR="003819C4" w:rsidRPr="00F455D8" w:rsidRDefault="003819C4" w:rsidP="00442A67">
      <w:pPr>
        <w:pStyle w:val="ListParagraph"/>
        <w:numPr>
          <w:ilvl w:val="1"/>
          <w:numId w:val="39"/>
        </w:numPr>
        <w:spacing w:before="0" w:after="0"/>
        <w:jc w:val="both"/>
        <w:rPr>
          <w:rFonts w:asciiTheme="minorHAnsi" w:hAnsiTheme="minorHAnsi" w:cstheme="minorHAnsi"/>
          <w:sz w:val="22"/>
          <w:shd w:val="clear" w:color="auto" w:fill="FFFFFF"/>
        </w:rPr>
      </w:pPr>
      <w:r w:rsidRPr="00F455D8">
        <w:rPr>
          <w:rFonts w:asciiTheme="minorHAnsi" w:hAnsiTheme="minorHAnsi" w:cstheme="minorHAnsi"/>
          <w:sz w:val="22"/>
          <w:shd w:val="clear" w:color="auto" w:fill="FFFFFF"/>
        </w:rPr>
        <w:t>WHO guidelines on TB infection prevention and control (2019)</w:t>
      </w:r>
    </w:p>
    <w:p w14:paraId="391FB78E" w14:textId="77777777" w:rsidR="005C1A85" w:rsidRPr="00F07583" w:rsidRDefault="005C1A85" w:rsidP="00442A67">
      <w:pPr>
        <w:pStyle w:val="ListParagraph"/>
        <w:numPr>
          <w:ilvl w:val="0"/>
          <w:numId w:val="39"/>
        </w:numPr>
        <w:spacing w:before="0" w:after="0"/>
        <w:jc w:val="both"/>
        <w:rPr>
          <w:rFonts w:asciiTheme="minorHAnsi" w:hAnsiTheme="minorHAnsi" w:cstheme="minorHAnsi"/>
          <w:b/>
          <w:bCs/>
          <w:color w:val="333333"/>
          <w:sz w:val="22"/>
          <w:shd w:val="clear" w:color="auto" w:fill="FFFFFF"/>
        </w:rPr>
      </w:pPr>
      <w:r w:rsidRPr="00F07583">
        <w:rPr>
          <w:rFonts w:asciiTheme="minorHAnsi" w:hAnsiTheme="minorHAnsi" w:cstheme="minorHAnsi"/>
          <w:b/>
          <w:bCs/>
          <w:color w:val="333333"/>
          <w:sz w:val="22"/>
          <w:shd w:val="clear" w:color="auto" w:fill="FFFFFF"/>
        </w:rPr>
        <w:t>Programme management</w:t>
      </w:r>
    </w:p>
    <w:p w14:paraId="260634A3" w14:textId="483769E6" w:rsidR="005C1A85" w:rsidRDefault="005C1A85" w:rsidP="00442A67">
      <w:pPr>
        <w:pStyle w:val="ListParagraph"/>
        <w:numPr>
          <w:ilvl w:val="1"/>
          <w:numId w:val="39"/>
        </w:numPr>
        <w:spacing w:before="0" w:after="0"/>
        <w:jc w:val="both"/>
        <w:rPr>
          <w:rFonts w:asciiTheme="minorHAnsi" w:hAnsiTheme="minorHAnsi" w:cstheme="minorHAnsi"/>
          <w:sz w:val="22"/>
          <w:shd w:val="clear" w:color="auto" w:fill="FFFFFF"/>
        </w:rPr>
      </w:pPr>
      <w:r w:rsidRPr="005C1A85">
        <w:rPr>
          <w:rFonts w:asciiTheme="minorHAnsi" w:hAnsiTheme="minorHAnsi" w:cstheme="minorHAnsi"/>
          <w:sz w:val="22"/>
          <w:shd w:val="clear" w:color="auto" w:fill="FFFFFF"/>
        </w:rPr>
        <w:t>People-centered framework for tuberculosis programme planning and prioritization, User guide</w:t>
      </w:r>
      <w:r>
        <w:rPr>
          <w:rFonts w:asciiTheme="minorHAnsi" w:hAnsiTheme="minorHAnsi" w:cstheme="minorHAnsi"/>
          <w:sz w:val="22"/>
          <w:shd w:val="clear" w:color="auto" w:fill="FFFFFF"/>
        </w:rPr>
        <w:t xml:space="preserve"> </w:t>
      </w:r>
      <w:r w:rsidR="00F07583">
        <w:rPr>
          <w:rFonts w:asciiTheme="minorHAnsi" w:hAnsiTheme="minorHAnsi" w:cstheme="minorHAnsi"/>
          <w:sz w:val="22"/>
          <w:shd w:val="clear" w:color="auto" w:fill="FFFFFF"/>
        </w:rPr>
        <w:t>(2018)</w:t>
      </w:r>
    </w:p>
    <w:p w14:paraId="389D1590" w14:textId="25364683" w:rsidR="00F5698C" w:rsidRDefault="00F5698C" w:rsidP="00442A67">
      <w:pPr>
        <w:pStyle w:val="ListParagraph"/>
        <w:numPr>
          <w:ilvl w:val="1"/>
          <w:numId w:val="39"/>
        </w:numPr>
        <w:spacing w:before="0" w:after="0"/>
        <w:jc w:val="both"/>
        <w:rPr>
          <w:rFonts w:asciiTheme="minorHAnsi" w:hAnsiTheme="minorHAnsi" w:cstheme="minorHAnsi"/>
          <w:sz w:val="22"/>
          <w:shd w:val="clear" w:color="auto" w:fill="FFFFFF"/>
        </w:rPr>
      </w:pPr>
      <w:r w:rsidRPr="00F5698C">
        <w:rPr>
          <w:rFonts w:asciiTheme="minorHAnsi" w:hAnsiTheme="minorHAnsi" w:cstheme="minorHAnsi"/>
          <w:sz w:val="22"/>
          <w:shd w:val="clear" w:color="auto" w:fill="FFFFFF"/>
        </w:rPr>
        <w:t>Public–Private mix for TB prevention and care</w:t>
      </w:r>
      <w:r>
        <w:rPr>
          <w:rFonts w:asciiTheme="minorHAnsi" w:hAnsiTheme="minorHAnsi" w:cstheme="minorHAnsi"/>
          <w:sz w:val="22"/>
          <w:shd w:val="clear" w:color="auto" w:fill="FFFFFF"/>
        </w:rPr>
        <w:t xml:space="preserve"> - A</w:t>
      </w:r>
      <w:r w:rsidRPr="00F5698C">
        <w:rPr>
          <w:rFonts w:asciiTheme="minorHAnsi" w:hAnsiTheme="minorHAnsi" w:cstheme="minorHAnsi"/>
          <w:sz w:val="22"/>
          <w:shd w:val="clear" w:color="auto" w:fill="FFFFFF"/>
        </w:rPr>
        <w:t xml:space="preserve"> roadmap</w:t>
      </w:r>
      <w:r>
        <w:rPr>
          <w:rFonts w:asciiTheme="minorHAnsi" w:hAnsiTheme="minorHAnsi" w:cstheme="minorHAnsi"/>
          <w:sz w:val="22"/>
          <w:shd w:val="clear" w:color="auto" w:fill="FFFFFF"/>
        </w:rPr>
        <w:t xml:space="preserve"> (2018)</w:t>
      </w:r>
    </w:p>
    <w:p w14:paraId="53FAB850" w14:textId="33CABB88" w:rsidR="005C1A85" w:rsidRDefault="005C1A85" w:rsidP="00442A67">
      <w:pPr>
        <w:pStyle w:val="ListParagraph"/>
        <w:numPr>
          <w:ilvl w:val="1"/>
          <w:numId w:val="39"/>
        </w:numPr>
        <w:spacing w:before="0" w:after="0"/>
        <w:jc w:val="both"/>
        <w:rPr>
          <w:rFonts w:asciiTheme="minorHAnsi" w:hAnsiTheme="minorHAnsi" w:cstheme="minorHAnsi"/>
          <w:sz w:val="22"/>
          <w:shd w:val="clear" w:color="auto" w:fill="FFFFFF"/>
        </w:rPr>
      </w:pPr>
      <w:r w:rsidRPr="005C1A85">
        <w:rPr>
          <w:rFonts w:asciiTheme="minorHAnsi" w:hAnsiTheme="minorHAnsi" w:cstheme="minorHAnsi"/>
          <w:sz w:val="22"/>
          <w:shd w:val="clear" w:color="auto" w:fill="FFFFFF"/>
        </w:rPr>
        <w:t>Multisectoral Accountability Framework to Accelerate Progress to end Tuberculosis by 2030</w:t>
      </w:r>
      <w:r w:rsidR="00F07583">
        <w:rPr>
          <w:rFonts w:asciiTheme="minorHAnsi" w:hAnsiTheme="minorHAnsi" w:cstheme="minorHAnsi"/>
          <w:sz w:val="22"/>
          <w:shd w:val="clear" w:color="auto" w:fill="FFFFFF"/>
        </w:rPr>
        <w:t xml:space="preserve"> (2019)</w:t>
      </w:r>
    </w:p>
    <w:p w14:paraId="64ED90FB" w14:textId="07901ACA" w:rsidR="00F07583" w:rsidRPr="00F455D8" w:rsidRDefault="00F07583" w:rsidP="00442A67">
      <w:pPr>
        <w:pStyle w:val="ListParagraph"/>
        <w:numPr>
          <w:ilvl w:val="1"/>
          <w:numId w:val="39"/>
        </w:numPr>
        <w:spacing w:before="0" w:after="0"/>
        <w:jc w:val="both"/>
        <w:rPr>
          <w:rFonts w:asciiTheme="minorHAnsi" w:hAnsiTheme="minorHAnsi" w:cstheme="minorHAnsi"/>
          <w:sz w:val="22"/>
          <w:shd w:val="clear" w:color="auto" w:fill="FFFFFF"/>
        </w:rPr>
      </w:pPr>
      <w:r w:rsidRPr="00F07583">
        <w:rPr>
          <w:rFonts w:asciiTheme="minorHAnsi" w:hAnsiTheme="minorHAnsi" w:cstheme="minorHAnsi"/>
          <w:sz w:val="22"/>
          <w:shd w:val="clear" w:color="auto" w:fill="FFFFFF"/>
        </w:rPr>
        <w:t>Roadmap towards ending TB in children and adolescents</w:t>
      </w:r>
      <w:r>
        <w:rPr>
          <w:rFonts w:asciiTheme="minorHAnsi" w:hAnsiTheme="minorHAnsi" w:cstheme="minorHAnsi"/>
          <w:sz w:val="22"/>
          <w:shd w:val="clear" w:color="auto" w:fill="FFFFFF"/>
        </w:rPr>
        <w:t xml:space="preserve"> (2020)</w:t>
      </w:r>
    </w:p>
    <w:p w14:paraId="7BB37BDF" w14:textId="77777777" w:rsidR="001A7278" w:rsidRDefault="001A7278" w:rsidP="00C129C4">
      <w:pPr>
        <w:spacing w:before="0" w:after="0"/>
        <w:jc w:val="both"/>
        <w:rPr>
          <w:rFonts w:asciiTheme="minorHAnsi" w:hAnsiTheme="minorHAnsi" w:cstheme="minorHAnsi"/>
          <w:b/>
          <w:sz w:val="22"/>
          <w:shd w:val="clear" w:color="auto" w:fill="FFFFFF"/>
        </w:rPr>
      </w:pPr>
    </w:p>
    <w:p w14:paraId="6C8E8EB1" w14:textId="4C55F043" w:rsidR="00F455D8" w:rsidRPr="00ED7392" w:rsidRDefault="001B18F2" w:rsidP="00C129C4">
      <w:pPr>
        <w:spacing w:before="0" w:after="0"/>
        <w:jc w:val="both"/>
        <w:rPr>
          <w:rFonts w:asciiTheme="minorHAnsi" w:hAnsiTheme="minorHAnsi" w:cstheme="minorHAnsi"/>
          <w:b/>
          <w:sz w:val="22"/>
          <w:shd w:val="clear" w:color="auto" w:fill="FFFFFF"/>
        </w:rPr>
      </w:pPr>
      <w:r>
        <w:rPr>
          <w:rFonts w:asciiTheme="minorHAnsi" w:hAnsiTheme="minorHAnsi" w:cstheme="minorHAnsi"/>
          <w:b/>
          <w:sz w:val="22"/>
          <w:shd w:val="clear" w:color="auto" w:fill="FFFFFF"/>
        </w:rPr>
        <w:t xml:space="preserve">1.3.2 </w:t>
      </w:r>
      <w:r w:rsidR="00F455D8" w:rsidRPr="00ED7392">
        <w:rPr>
          <w:rFonts w:asciiTheme="minorHAnsi" w:hAnsiTheme="minorHAnsi" w:cstheme="minorHAnsi"/>
          <w:b/>
          <w:sz w:val="22"/>
          <w:shd w:val="clear" w:color="auto" w:fill="FFFFFF"/>
        </w:rPr>
        <w:t>GLOBAL END TB STRATEGY 2015 2035</w:t>
      </w:r>
    </w:p>
    <w:p w14:paraId="26D89045" w14:textId="072C0AE1" w:rsidR="00F455D8" w:rsidRPr="00F455D8" w:rsidRDefault="00F455D8" w:rsidP="00C129C4">
      <w:pPr>
        <w:spacing w:before="0" w:after="0"/>
        <w:jc w:val="both"/>
        <w:rPr>
          <w:rFonts w:asciiTheme="minorHAnsi" w:hAnsiTheme="minorHAnsi" w:cstheme="minorHAnsi"/>
          <w:sz w:val="22"/>
          <w:shd w:val="clear" w:color="auto" w:fill="FFFFFF"/>
        </w:rPr>
      </w:pPr>
      <w:r w:rsidRPr="00F455D8">
        <w:rPr>
          <w:rFonts w:asciiTheme="minorHAnsi" w:hAnsiTheme="minorHAnsi" w:cstheme="minorHAnsi"/>
          <w:sz w:val="22"/>
          <w:shd w:val="clear" w:color="auto" w:fill="FFFFFF"/>
        </w:rPr>
        <w:t xml:space="preserve">WHO’s post-2015 End TB Strategy, adopted by the World Health Assembly in 2014, aims to end the global TB epidemic as part of the Sustainable Development Goals. </w:t>
      </w:r>
      <w:r w:rsidR="009F5319">
        <w:rPr>
          <w:rFonts w:asciiTheme="minorHAnsi" w:hAnsiTheme="minorHAnsi" w:cstheme="minorHAnsi"/>
          <w:sz w:val="22"/>
          <w:shd w:val="clear" w:color="auto" w:fill="FFFFFF"/>
        </w:rPr>
        <w:t>This NSP adapts the END TB Strategy framew</w:t>
      </w:r>
      <w:r w:rsidR="00C006DC">
        <w:rPr>
          <w:rFonts w:asciiTheme="minorHAnsi" w:hAnsiTheme="minorHAnsi" w:cstheme="minorHAnsi"/>
          <w:sz w:val="22"/>
          <w:shd w:val="clear" w:color="auto" w:fill="FFFFFF"/>
        </w:rPr>
        <w:t>ork for designing its</w:t>
      </w:r>
      <w:r w:rsidR="00902B58">
        <w:rPr>
          <w:rFonts w:asciiTheme="minorHAnsi" w:hAnsiTheme="minorHAnsi" w:cstheme="minorHAnsi"/>
          <w:sz w:val="22"/>
          <w:shd w:val="clear" w:color="auto" w:fill="FFFFFF"/>
        </w:rPr>
        <w:t xml:space="preserve"> national</w:t>
      </w:r>
      <w:r w:rsidR="00C006DC">
        <w:rPr>
          <w:rFonts w:asciiTheme="minorHAnsi" w:hAnsiTheme="minorHAnsi" w:cstheme="minorHAnsi"/>
          <w:sz w:val="22"/>
          <w:shd w:val="clear" w:color="auto" w:fill="FFFFFF"/>
        </w:rPr>
        <w:t xml:space="preserve"> strategic framework.</w:t>
      </w:r>
      <w:r w:rsidR="00642E3B">
        <w:rPr>
          <w:rFonts w:asciiTheme="minorHAnsi" w:hAnsiTheme="minorHAnsi" w:cstheme="minorHAnsi"/>
          <w:sz w:val="22"/>
          <w:shd w:val="clear" w:color="auto" w:fill="FFFFFF"/>
        </w:rPr>
        <w:t xml:space="preserve"> </w:t>
      </w:r>
      <w:r w:rsidR="00642E3B" w:rsidRPr="00642E3B">
        <w:rPr>
          <w:rFonts w:asciiTheme="minorHAnsi" w:hAnsiTheme="minorHAnsi" w:cstheme="minorHAnsi"/>
          <w:sz w:val="22"/>
          <w:shd w:val="clear" w:color="auto" w:fill="FFFFFF"/>
        </w:rPr>
        <w:t>The WHO End TB Strategy and the United Nations (UN) Agenda for Sustainable Development share the common aim of ending the TB epidemic; the former includes ambitious milestones (2020, 2025) and targets (2030, 2035) for reductions in TB cases and deaths.</w:t>
      </w:r>
      <w:r w:rsidR="00C006DC">
        <w:rPr>
          <w:rFonts w:asciiTheme="minorHAnsi" w:hAnsiTheme="minorHAnsi" w:cstheme="minorHAnsi"/>
          <w:sz w:val="22"/>
          <w:shd w:val="clear" w:color="auto" w:fill="FFFFFF"/>
        </w:rPr>
        <w:t xml:space="preserve">  </w:t>
      </w:r>
      <w:r w:rsidR="009F5319">
        <w:rPr>
          <w:rFonts w:asciiTheme="minorHAnsi" w:hAnsiTheme="minorHAnsi" w:cstheme="minorHAnsi"/>
          <w:sz w:val="22"/>
          <w:shd w:val="clear" w:color="auto" w:fill="FFFFFF"/>
        </w:rPr>
        <w:t xml:space="preserve"> </w:t>
      </w:r>
    </w:p>
    <w:p w14:paraId="19443E1B" w14:textId="77777777" w:rsidR="00F455D8" w:rsidRDefault="00F455D8" w:rsidP="00C129C4">
      <w:pPr>
        <w:spacing w:before="0" w:after="0"/>
        <w:jc w:val="both"/>
        <w:rPr>
          <w:rFonts w:asciiTheme="minorHAnsi" w:hAnsiTheme="minorHAnsi" w:cstheme="minorHAnsi"/>
          <w:color w:val="333333"/>
          <w:sz w:val="22"/>
          <w:shd w:val="clear" w:color="auto" w:fill="FFFFFF"/>
        </w:rPr>
      </w:pPr>
    </w:p>
    <w:p w14:paraId="3297E61F" w14:textId="1C051616" w:rsidR="00F455D8" w:rsidRPr="00ED7392" w:rsidRDefault="001B18F2" w:rsidP="00C129C4">
      <w:pPr>
        <w:spacing w:before="0" w:after="0"/>
        <w:jc w:val="both"/>
        <w:rPr>
          <w:rFonts w:asciiTheme="minorHAnsi" w:hAnsiTheme="minorHAnsi" w:cstheme="minorHAnsi"/>
          <w:b/>
          <w:sz w:val="22"/>
          <w:shd w:val="clear" w:color="auto" w:fill="FFFFFF"/>
        </w:rPr>
      </w:pPr>
      <w:r>
        <w:rPr>
          <w:rFonts w:asciiTheme="minorHAnsi" w:hAnsiTheme="minorHAnsi" w:cstheme="minorHAnsi"/>
          <w:b/>
          <w:sz w:val="22"/>
          <w:shd w:val="clear" w:color="auto" w:fill="FFFFFF"/>
        </w:rPr>
        <w:t xml:space="preserve">1.3.3 </w:t>
      </w:r>
      <w:r w:rsidR="00F455D8" w:rsidRPr="00ED7392">
        <w:rPr>
          <w:rFonts w:asciiTheme="minorHAnsi" w:hAnsiTheme="minorHAnsi" w:cstheme="minorHAnsi"/>
          <w:b/>
          <w:sz w:val="22"/>
          <w:shd w:val="clear" w:color="auto" w:fill="FFFFFF"/>
        </w:rPr>
        <w:t>UNITED NATIONS HIGH LEVEL MEETING ON T</w:t>
      </w:r>
      <w:r w:rsidR="003E23AF">
        <w:rPr>
          <w:rFonts w:asciiTheme="minorHAnsi" w:hAnsiTheme="minorHAnsi" w:cstheme="minorHAnsi"/>
          <w:b/>
          <w:sz w:val="22"/>
          <w:shd w:val="clear" w:color="auto" w:fill="FFFFFF"/>
        </w:rPr>
        <w:t xml:space="preserve">uberculosis </w:t>
      </w:r>
      <w:r w:rsidR="00F455D8" w:rsidRPr="00ED7392">
        <w:rPr>
          <w:rFonts w:asciiTheme="minorHAnsi" w:hAnsiTheme="minorHAnsi" w:cstheme="minorHAnsi"/>
          <w:b/>
          <w:sz w:val="22"/>
          <w:shd w:val="clear" w:color="auto" w:fill="FFFFFF"/>
        </w:rPr>
        <w:t>(UNHLM)</w:t>
      </w:r>
    </w:p>
    <w:p w14:paraId="08640324" w14:textId="6C2E05F9" w:rsidR="00F455D8" w:rsidRPr="00B93145" w:rsidRDefault="00F455D8" w:rsidP="00C129C4">
      <w:pPr>
        <w:spacing w:before="0" w:after="0"/>
        <w:jc w:val="both"/>
        <w:rPr>
          <w:rFonts w:asciiTheme="minorHAnsi" w:hAnsiTheme="minorHAnsi" w:cstheme="minorHAnsi"/>
          <w:sz w:val="22"/>
          <w:shd w:val="clear" w:color="auto" w:fill="FFFFFF"/>
        </w:rPr>
      </w:pPr>
      <w:r w:rsidRPr="00F455D8">
        <w:rPr>
          <w:rFonts w:asciiTheme="minorHAnsi" w:hAnsiTheme="minorHAnsi" w:cstheme="minorHAnsi"/>
          <w:sz w:val="22"/>
          <w:shd w:val="clear" w:color="auto" w:fill="FFFFFF"/>
        </w:rPr>
        <w:t xml:space="preserve">On Sept 26, 2018, the first ever UN General Assembly (UNGA) High-Level Meeting on Tuberculosis (UNGA-HLM-TB), with more than 1000 participants from across the world, assembled in New York. The meeting resulted in the adoption of a Political Declaration on Tuberculosis, which reaffirmed commitment to end the tuberculosis epidemic globally by 2030 and included ambitious and bold targets for scale-up of tuberculosis care and prevention services, as well as commitments on research for new tools, principles of equity and human rights, and resource needs targets for both implementation and research. A follow-up WHO Executive Board meeting focused on ending tuberculosis re-affirmed targets set for 2022. </w:t>
      </w:r>
      <w:r w:rsidR="00B93145">
        <w:rPr>
          <w:rFonts w:asciiTheme="minorHAnsi" w:hAnsiTheme="minorHAnsi" w:cstheme="minorHAnsi"/>
          <w:sz w:val="22"/>
          <w:shd w:val="clear" w:color="auto" w:fill="FFFFFF"/>
        </w:rPr>
        <w:t xml:space="preserve">As a signatory to the declaration, </w:t>
      </w:r>
      <w:r w:rsidRPr="00B93145">
        <w:rPr>
          <w:rFonts w:asciiTheme="minorHAnsi" w:hAnsiTheme="minorHAnsi" w:cstheme="minorHAnsi"/>
          <w:sz w:val="22"/>
          <w:shd w:val="clear" w:color="auto" w:fill="FFFFFF"/>
        </w:rPr>
        <w:t>India is committed to attain the</w:t>
      </w:r>
      <w:r w:rsidR="00B93145">
        <w:rPr>
          <w:rFonts w:asciiTheme="minorHAnsi" w:hAnsiTheme="minorHAnsi" w:cstheme="minorHAnsi"/>
          <w:sz w:val="22"/>
          <w:shd w:val="clear" w:color="auto" w:fill="FFFFFF"/>
        </w:rPr>
        <w:t xml:space="preserve"> UNHLM</w:t>
      </w:r>
      <w:r w:rsidRPr="00B93145">
        <w:rPr>
          <w:rFonts w:asciiTheme="minorHAnsi" w:hAnsiTheme="minorHAnsi" w:cstheme="minorHAnsi"/>
          <w:sz w:val="22"/>
          <w:shd w:val="clear" w:color="auto" w:fill="FFFFFF"/>
        </w:rPr>
        <w:t xml:space="preserve"> targets.</w:t>
      </w:r>
      <w:r w:rsidR="0063073F" w:rsidRPr="00B93145">
        <w:rPr>
          <w:rFonts w:asciiTheme="minorHAnsi" w:hAnsiTheme="minorHAnsi" w:cstheme="minorHAnsi"/>
          <w:sz w:val="22"/>
          <w:shd w:val="clear" w:color="auto" w:fill="FFFFFF"/>
        </w:rPr>
        <w:t xml:space="preserve"> </w:t>
      </w:r>
    </w:p>
    <w:p w14:paraId="63A2B2CA" w14:textId="0B49C228" w:rsidR="00D63667" w:rsidRPr="00D63667" w:rsidRDefault="00D63667" w:rsidP="0085017B">
      <w:pPr>
        <w:spacing w:after="0"/>
        <w:jc w:val="both"/>
        <w:rPr>
          <w:rFonts w:asciiTheme="minorHAnsi" w:hAnsiTheme="minorHAnsi" w:cstheme="minorHAnsi"/>
          <w:b/>
        </w:rPr>
      </w:pPr>
      <w:r w:rsidRPr="00D21A12">
        <w:rPr>
          <w:rFonts w:asciiTheme="minorHAnsi" w:hAnsiTheme="minorHAnsi" w:cstheme="minorHAnsi"/>
          <w:b/>
        </w:rPr>
        <w:t xml:space="preserve">Table </w:t>
      </w:r>
      <w:r>
        <w:rPr>
          <w:rFonts w:asciiTheme="minorHAnsi" w:hAnsiTheme="minorHAnsi" w:cstheme="minorHAnsi"/>
          <w:b/>
        </w:rPr>
        <w:t>2</w:t>
      </w:r>
      <w:r w:rsidRPr="00D21A12">
        <w:rPr>
          <w:rFonts w:asciiTheme="minorHAnsi" w:hAnsiTheme="minorHAnsi" w:cstheme="minorHAnsi"/>
          <w:b/>
        </w:rPr>
        <w:t xml:space="preserve">: </w:t>
      </w:r>
      <w:r>
        <w:rPr>
          <w:rFonts w:asciiTheme="minorHAnsi" w:hAnsiTheme="minorHAnsi" w:cstheme="minorHAnsi"/>
          <w:b/>
        </w:rPr>
        <w:t>UNHLM Targets India</w:t>
      </w:r>
    </w:p>
    <w:tbl>
      <w:tblPr>
        <w:tblW w:w="9295" w:type="dxa"/>
        <w:tblBorders>
          <w:top w:val="single" w:sz="2" w:space="0" w:color="BFBFBF" w:themeColor="background1" w:themeShade="BF"/>
          <w:bottom w:val="single" w:sz="2" w:space="0" w:color="BFBFBF" w:themeColor="background1" w:themeShade="BF"/>
          <w:insideH w:val="single" w:sz="2" w:space="0" w:color="BFBFBF" w:themeColor="background1" w:themeShade="BF"/>
        </w:tblBorders>
        <w:tblLayout w:type="fixed"/>
        <w:tblCellMar>
          <w:left w:w="43" w:type="dxa"/>
          <w:right w:w="14" w:type="dxa"/>
        </w:tblCellMar>
        <w:tblLook w:val="04A0" w:firstRow="1" w:lastRow="0" w:firstColumn="1" w:lastColumn="0" w:noHBand="0" w:noVBand="1"/>
      </w:tblPr>
      <w:tblGrid>
        <w:gridCol w:w="3175"/>
        <w:gridCol w:w="990"/>
        <w:gridCol w:w="990"/>
        <w:gridCol w:w="990"/>
        <w:gridCol w:w="990"/>
        <w:gridCol w:w="1080"/>
        <w:gridCol w:w="1080"/>
      </w:tblGrid>
      <w:tr w:rsidR="00EF31B9" w:rsidRPr="00EF31B9" w14:paraId="174A6965" w14:textId="77777777" w:rsidTr="005D6B9E">
        <w:trPr>
          <w:trHeight w:val="300"/>
        </w:trPr>
        <w:tc>
          <w:tcPr>
            <w:tcW w:w="3175" w:type="dxa"/>
            <w:shd w:val="clear" w:color="auto" w:fill="255692" w:themeFill="accent5" w:themeFillShade="80"/>
            <w:noWrap/>
            <w:vAlign w:val="bottom"/>
            <w:hideMark/>
          </w:tcPr>
          <w:p w14:paraId="370CC322" w14:textId="77777777" w:rsidR="00EF31B9" w:rsidRPr="00EF31B9" w:rsidRDefault="00EF31B9" w:rsidP="00EF31B9">
            <w:pPr>
              <w:spacing w:before="0" w:after="0"/>
              <w:jc w:val="center"/>
              <w:rPr>
                <w:rFonts w:ascii="Times New Roman" w:eastAsia="Times New Roman" w:hAnsi="Times New Roman"/>
                <w:color w:val="FFFFFF" w:themeColor="background1"/>
                <w:sz w:val="24"/>
                <w:szCs w:val="20"/>
                <w:lang w:val="en-IN" w:eastAsia="en-IN"/>
              </w:rPr>
            </w:pPr>
          </w:p>
        </w:tc>
        <w:tc>
          <w:tcPr>
            <w:tcW w:w="990" w:type="dxa"/>
            <w:shd w:val="clear" w:color="auto" w:fill="255692" w:themeFill="accent5" w:themeFillShade="80"/>
            <w:noWrap/>
            <w:vAlign w:val="bottom"/>
            <w:hideMark/>
          </w:tcPr>
          <w:p w14:paraId="3C30B218" w14:textId="77777777" w:rsidR="00EF31B9" w:rsidRPr="00EF31B9" w:rsidRDefault="00EF31B9" w:rsidP="00EF31B9">
            <w:pPr>
              <w:spacing w:before="0" w:after="0"/>
              <w:jc w:val="center"/>
              <w:rPr>
                <w:rFonts w:ascii="Calibri" w:eastAsia="Times New Roman" w:hAnsi="Calibri" w:cs="Calibri"/>
                <w:color w:val="FFFFFF" w:themeColor="background1"/>
                <w:sz w:val="22"/>
                <w:lang w:val="en-IN" w:eastAsia="en-IN"/>
              </w:rPr>
            </w:pPr>
            <w:r w:rsidRPr="00EF31B9">
              <w:rPr>
                <w:rFonts w:ascii="Calibri" w:eastAsia="Times New Roman" w:hAnsi="Calibri" w:cs="Calibri"/>
                <w:color w:val="FFFFFF" w:themeColor="background1"/>
                <w:sz w:val="22"/>
                <w:lang w:val="en-IN" w:eastAsia="en-IN"/>
              </w:rPr>
              <w:t>2018</w:t>
            </w:r>
          </w:p>
        </w:tc>
        <w:tc>
          <w:tcPr>
            <w:tcW w:w="990" w:type="dxa"/>
            <w:shd w:val="clear" w:color="auto" w:fill="255692" w:themeFill="accent5" w:themeFillShade="80"/>
            <w:noWrap/>
            <w:vAlign w:val="bottom"/>
            <w:hideMark/>
          </w:tcPr>
          <w:p w14:paraId="332D1C8F" w14:textId="77777777" w:rsidR="00EF31B9" w:rsidRPr="00EF31B9" w:rsidRDefault="00EF31B9" w:rsidP="00EF31B9">
            <w:pPr>
              <w:spacing w:before="0" w:after="0"/>
              <w:jc w:val="center"/>
              <w:rPr>
                <w:rFonts w:ascii="Calibri" w:eastAsia="Times New Roman" w:hAnsi="Calibri" w:cs="Calibri"/>
                <w:color w:val="FFFFFF" w:themeColor="background1"/>
                <w:sz w:val="22"/>
                <w:lang w:val="en-IN" w:eastAsia="en-IN"/>
              </w:rPr>
            </w:pPr>
            <w:r w:rsidRPr="00EF31B9">
              <w:rPr>
                <w:rFonts w:ascii="Calibri" w:eastAsia="Times New Roman" w:hAnsi="Calibri" w:cs="Calibri"/>
                <w:color w:val="FFFFFF" w:themeColor="background1"/>
                <w:sz w:val="22"/>
                <w:lang w:val="en-IN" w:eastAsia="en-IN"/>
              </w:rPr>
              <w:t>2,019</w:t>
            </w:r>
          </w:p>
        </w:tc>
        <w:tc>
          <w:tcPr>
            <w:tcW w:w="990" w:type="dxa"/>
            <w:shd w:val="clear" w:color="auto" w:fill="255692" w:themeFill="accent5" w:themeFillShade="80"/>
            <w:noWrap/>
            <w:vAlign w:val="bottom"/>
            <w:hideMark/>
          </w:tcPr>
          <w:p w14:paraId="64AD6B9F" w14:textId="77777777" w:rsidR="00EF31B9" w:rsidRPr="00EF31B9" w:rsidRDefault="00EF31B9" w:rsidP="00EF31B9">
            <w:pPr>
              <w:spacing w:before="0" w:after="0"/>
              <w:jc w:val="center"/>
              <w:rPr>
                <w:rFonts w:ascii="Calibri" w:eastAsia="Times New Roman" w:hAnsi="Calibri" w:cs="Calibri"/>
                <w:color w:val="FFFFFF" w:themeColor="background1"/>
                <w:sz w:val="22"/>
                <w:lang w:val="en-IN" w:eastAsia="en-IN"/>
              </w:rPr>
            </w:pPr>
            <w:r w:rsidRPr="00EF31B9">
              <w:rPr>
                <w:rFonts w:ascii="Calibri" w:eastAsia="Times New Roman" w:hAnsi="Calibri" w:cs="Calibri"/>
                <w:color w:val="FFFFFF" w:themeColor="background1"/>
                <w:sz w:val="22"/>
                <w:lang w:val="en-IN" w:eastAsia="en-IN"/>
              </w:rPr>
              <w:t>2,020</w:t>
            </w:r>
          </w:p>
        </w:tc>
        <w:tc>
          <w:tcPr>
            <w:tcW w:w="990" w:type="dxa"/>
            <w:shd w:val="clear" w:color="auto" w:fill="255692" w:themeFill="accent5" w:themeFillShade="80"/>
            <w:noWrap/>
            <w:vAlign w:val="bottom"/>
            <w:hideMark/>
          </w:tcPr>
          <w:p w14:paraId="6C068C26" w14:textId="77777777" w:rsidR="00EF31B9" w:rsidRPr="00EF31B9" w:rsidRDefault="00EF31B9" w:rsidP="00EF31B9">
            <w:pPr>
              <w:spacing w:before="0" w:after="0"/>
              <w:jc w:val="center"/>
              <w:rPr>
                <w:rFonts w:ascii="Calibri" w:eastAsia="Times New Roman" w:hAnsi="Calibri" w:cs="Calibri"/>
                <w:color w:val="FFFFFF" w:themeColor="background1"/>
                <w:sz w:val="22"/>
                <w:lang w:val="en-IN" w:eastAsia="en-IN"/>
              </w:rPr>
            </w:pPr>
            <w:r w:rsidRPr="00EF31B9">
              <w:rPr>
                <w:rFonts w:ascii="Calibri" w:eastAsia="Times New Roman" w:hAnsi="Calibri" w:cs="Calibri"/>
                <w:color w:val="FFFFFF" w:themeColor="background1"/>
                <w:sz w:val="22"/>
                <w:lang w:val="en-IN" w:eastAsia="en-IN"/>
              </w:rPr>
              <w:t>2,021</w:t>
            </w:r>
          </w:p>
        </w:tc>
        <w:tc>
          <w:tcPr>
            <w:tcW w:w="1080" w:type="dxa"/>
            <w:shd w:val="clear" w:color="auto" w:fill="255692" w:themeFill="accent5" w:themeFillShade="80"/>
            <w:noWrap/>
            <w:vAlign w:val="bottom"/>
            <w:hideMark/>
          </w:tcPr>
          <w:p w14:paraId="523B8264" w14:textId="77777777" w:rsidR="00EF31B9" w:rsidRPr="00EF31B9" w:rsidRDefault="00EF31B9" w:rsidP="00EF31B9">
            <w:pPr>
              <w:spacing w:before="0" w:after="0"/>
              <w:jc w:val="center"/>
              <w:rPr>
                <w:rFonts w:ascii="Calibri" w:eastAsia="Times New Roman" w:hAnsi="Calibri" w:cs="Calibri"/>
                <w:color w:val="FFFFFF" w:themeColor="background1"/>
                <w:sz w:val="22"/>
                <w:lang w:val="en-IN" w:eastAsia="en-IN"/>
              </w:rPr>
            </w:pPr>
            <w:r w:rsidRPr="00EF31B9">
              <w:rPr>
                <w:rFonts w:ascii="Calibri" w:eastAsia="Times New Roman" w:hAnsi="Calibri" w:cs="Calibri"/>
                <w:color w:val="FFFFFF" w:themeColor="background1"/>
                <w:sz w:val="22"/>
                <w:lang w:val="en-IN" w:eastAsia="en-IN"/>
              </w:rPr>
              <w:t>2,022</w:t>
            </w:r>
          </w:p>
        </w:tc>
        <w:tc>
          <w:tcPr>
            <w:tcW w:w="1080" w:type="dxa"/>
            <w:shd w:val="clear" w:color="auto" w:fill="255692" w:themeFill="accent5" w:themeFillShade="80"/>
            <w:noWrap/>
            <w:vAlign w:val="bottom"/>
            <w:hideMark/>
          </w:tcPr>
          <w:p w14:paraId="50062871" w14:textId="77777777" w:rsidR="00EF31B9" w:rsidRPr="00EF31B9" w:rsidRDefault="00EF31B9" w:rsidP="00EF31B9">
            <w:pPr>
              <w:spacing w:before="0" w:after="0"/>
              <w:jc w:val="center"/>
              <w:rPr>
                <w:rFonts w:ascii="Calibri" w:eastAsia="Times New Roman" w:hAnsi="Calibri" w:cs="Calibri"/>
                <w:color w:val="FFFFFF" w:themeColor="background1"/>
                <w:sz w:val="22"/>
                <w:lang w:val="en-IN" w:eastAsia="en-IN"/>
              </w:rPr>
            </w:pPr>
            <w:r w:rsidRPr="00EF31B9">
              <w:rPr>
                <w:rFonts w:ascii="Calibri" w:eastAsia="Times New Roman" w:hAnsi="Calibri" w:cs="Calibri"/>
                <w:color w:val="FFFFFF" w:themeColor="background1"/>
                <w:sz w:val="22"/>
                <w:lang w:val="en-IN" w:eastAsia="en-IN"/>
              </w:rPr>
              <w:t>Cumulative 2018-2022</w:t>
            </w:r>
          </w:p>
        </w:tc>
      </w:tr>
      <w:tr w:rsidR="00EF31B9" w:rsidRPr="00EF31B9" w14:paraId="748B6267" w14:textId="77777777" w:rsidTr="005D6B9E">
        <w:trPr>
          <w:trHeight w:val="300"/>
        </w:trPr>
        <w:tc>
          <w:tcPr>
            <w:tcW w:w="3175" w:type="dxa"/>
            <w:shd w:val="clear" w:color="auto" w:fill="C6D9F1" w:themeFill="text2" w:themeFillTint="33"/>
            <w:noWrap/>
            <w:vAlign w:val="bottom"/>
            <w:hideMark/>
          </w:tcPr>
          <w:p w14:paraId="1CBA0236" w14:textId="77777777" w:rsidR="00EF31B9" w:rsidRPr="00EF31B9" w:rsidRDefault="00EF31B9" w:rsidP="00EF31B9">
            <w:pPr>
              <w:spacing w:before="0" w:after="0"/>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TB diagnosis and treatment targets</w:t>
            </w:r>
          </w:p>
        </w:tc>
        <w:tc>
          <w:tcPr>
            <w:tcW w:w="990" w:type="dxa"/>
            <w:shd w:val="clear" w:color="auto" w:fill="EEECE1" w:themeFill="background2"/>
            <w:noWrap/>
            <w:vAlign w:val="bottom"/>
            <w:hideMark/>
          </w:tcPr>
          <w:p w14:paraId="6C39625B"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2,143,200</w:t>
            </w:r>
          </w:p>
        </w:tc>
        <w:tc>
          <w:tcPr>
            <w:tcW w:w="990" w:type="dxa"/>
            <w:shd w:val="clear" w:color="auto" w:fill="C6D9F1" w:themeFill="text2" w:themeFillTint="33"/>
            <w:noWrap/>
            <w:vAlign w:val="bottom"/>
            <w:hideMark/>
          </w:tcPr>
          <w:p w14:paraId="707F2E7F"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2,693,100</w:t>
            </w:r>
          </w:p>
        </w:tc>
        <w:tc>
          <w:tcPr>
            <w:tcW w:w="990" w:type="dxa"/>
            <w:shd w:val="clear" w:color="auto" w:fill="EEECE1" w:themeFill="background2"/>
            <w:noWrap/>
            <w:vAlign w:val="bottom"/>
            <w:hideMark/>
          </w:tcPr>
          <w:p w14:paraId="5A27BEA3"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2,519,600</w:t>
            </w:r>
          </w:p>
        </w:tc>
        <w:tc>
          <w:tcPr>
            <w:tcW w:w="990" w:type="dxa"/>
            <w:shd w:val="clear" w:color="auto" w:fill="C6D9F1" w:themeFill="text2" w:themeFillTint="33"/>
            <w:noWrap/>
            <w:vAlign w:val="bottom"/>
            <w:hideMark/>
          </w:tcPr>
          <w:p w14:paraId="41C960D6"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2,353,100</w:t>
            </w:r>
          </w:p>
        </w:tc>
        <w:tc>
          <w:tcPr>
            <w:tcW w:w="1080" w:type="dxa"/>
            <w:shd w:val="clear" w:color="auto" w:fill="EEECE1" w:themeFill="background2"/>
            <w:noWrap/>
            <w:vAlign w:val="bottom"/>
            <w:hideMark/>
          </w:tcPr>
          <w:p w14:paraId="6594C19D"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2,191,000</w:t>
            </w:r>
          </w:p>
        </w:tc>
        <w:tc>
          <w:tcPr>
            <w:tcW w:w="1080" w:type="dxa"/>
            <w:shd w:val="clear" w:color="auto" w:fill="C6D9F1" w:themeFill="text2" w:themeFillTint="33"/>
            <w:noWrap/>
            <w:vAlign w:val="bottom"/>
            <w:hideMark/>
          </w:tcPr>
          <w:p w14:paraId="16D49601"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11,900,000</w:t>
            </w:r>
          </w:p>
        </w:tc>
      </w:tr>
      <w:tr w:rsidR="00EF31B9" w:rsidRPr="00EF31B9" w14:paraId="63EC2C9C" w14:textId="77777777" w:rsidTr="005D6B9E">
        <w:trPr>
          <w:trHeight w:val="300"/>
        </w:trPr>
        <w:tc>
          <w:tcPr>
            <w:tcW w:w="3175" w:type="dxa"/>
            <w:shd w:val="clear" w:color="auto" w:fill="E8EFF9" w:themeFill="accent5" w:themeFillTint="33"/>
            <w:noWrap/>
            <w:vAlign w:val="bottom"/>
            <w:hideMark/>
          </w:tcPr>
          <w:p w14:paraId="224AF28B" w14:textId="77777777" w:rsidR="00EF31B9" w:rsidRPr="00EF31B9" w:rsidRDefault="00EF31B9" w:rsidP="00EF31B9">
            <w:pPr>
              <w:spacing w:before="0" w:after="0"/>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MDR-TB diagnosis and treatment targets</w:t>
            </w:r>
          </w:p>
        </w:tc>
        <w:tc>
          <w:tcPr>
            <w:tcW w:w="990" w:type="dxa"/>
            <w:shd w:val="clear" w:color="auto" w:fill="EEECE1" w:themeFill="background2"/>
            <w:noWrap/>
            <w:vAlign w:val="bottom"/>
            <w:hideMark/>
          </w:tcPr>
          <w:p w14:paraId="44C5F743"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36,200</w:t>
            </w:r>
          </w:p>
        </w:tc>
        <w:tc>
          <w:tcPr>
            <w:tcW w:w="990" w:type="dxa"/>
            <w:shd w:val="clear" w:color="auto" w:fill="E8EFF9" w:themeFill="accent5" w:themeFillTint="33"/>
            <w:noWrap/>
            <w:vAlign w:val="bottom"/>
            <w:hideMark/>
          </w:tcPr>
          <w:p w14:paraId="79AB8F24"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39,700</w:t>
            </w:r>
          </w:p>
        </w:tc>
        <w:tc>
          <w:tcPr>
            <w:tcW w:w="990" w:type="dxa"/>
            <w:shd w:val="clear" w:color="auto" w:fill="EEECE1" w:themeFill="background2"/>
            <w:noWrap/>
            <w:vAlign w:val="bottom"/>
            <w:hideMark/>
          </w:tcPr>
          <w:p w14:paraId="459F550F"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66,100</w:t>
            </w:r>
          </w:p>
        </w:tc>
        <w:tc>
          <w:tcPr>
            <w:tcW w:w="990" w:type="dxa"/>
            <w:shd w:val="clear" w:color="auto" w:fill="E8EFF9" w:themeFill="accent5" w:themeFillTint="33"/>
            <w:noWrap/>
            <w:vAlign w:val="bottom"/>
            <w:hideMark/>
          </w:tcPr>
          <w:p w14:paraId="0C8EF964"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122,300</w:t>
            </w:r>
          </w:p>
        </w:tc>
        <w:tc>
          <w:tcPr>
            <w:tcW w:w="1080" w:type="dxa"/>
            <w:shd w:val="clear" w:color="auto" w:fill="EEECE1" w:themeFill="background2"/>
            <w:noWrap/>
            <w:vAlign w:val="bottom"/>
            <w:hideMark/>
          </w:tcPr>
          <w:p w14:paraId="64023C1B"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142,300</w:t>
            </w:r>
          </w:p>
        </w:tc>
        <w:tc>
          <w:tcPr>
            <w:tcW w:w="1080" w:type="dxa"/>
            <w:shd w:val="clear" w:color="auto" w:fill="E8EFF9" w:themeFill="accent5" w:themeFillTint="33"/>
            <w:noWrap/>
            <w:vAlign w:val="bottom"/>
            <w:hideMark/>
          </w:tcPr>
          <w:p w14:paraId="44C8BC4A"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406,600</w:t>
            </w:r>
          </w:p>
        </w:tc>
      </w:tr>
      <w:tr w:rsidR="00EF31B9" w:rsidRPr="00EF31B9" w14:paraId="6982FC6D" w14:textId="77777777" w:rsidTr="005D6B9E">
        <w:trPr>
          <w:trHeight w:val="300"/>
        </w:trPr>
        <w:tc>
          <w:tcPr>
            <w:tcW w:w="3175" w:type="dxa"/>
            <w:shd w:val="clear" w:color="auto" w:fill="C6D9F1" w:themeFill="text2" w:themeFillTint="33"/>
            <w:noWrap/>
            <w:vAlign w:val="bottom"/>
            <w:hideMark/>
          </w:tcPr>
          <w:p w14:paraId="767852AE" w14:textId="77777777" w:rsidR="00EF31B9" w:rsidRPr="00EF31B9" w:rsidRDefault="00EF31B9" w:rsidP="00EF31B9">
            <w:pPr>
              <w:spacing w:before="0" w:after="0"/>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Total Preventative Therapy (PT) targets</w:t>
            </w:r>
          </w:p>
        </w:tc>
        <w:tc>
          <w:tcPr>
            <w:tcW w:w="990" w:type="dxa"/>
            <w:shd w:val="clear" w:color="auto" w:fill="EEECE1" w:themeFill="background2"/>
            <w:noWrap/>
            <w:vAlign w:val="bottom"/>
            <w:hideMark/>
          </w:tcPr>
          <w:p w14:paraId="4C9E97C5"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378,100</w:t>
            </w:r>
          </w:p>
        </w:tc>
        <w:tc>
          <w:tcPr>
            <w:tcW w:w="990" w:type="dxa"/>
            <w:shd w:val="clear" w:color="auto" w:fill="C6D9F1" w:themeFill="text2" w:themeFillTint="33"/>
            <w:noWrap/>
            <w:vAlign w:val="bottom"/>
            <w:hideMark/>
          </w:tcPr>
          <w:p w14:paraId="7B313023"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900,300</w:t>
            </w:r>
          </w:p>
        </w:tc>
        <w:tc>
          <w:tcPr>
            <w:tcW w:w="990" w:type="dxa"/>
            <w:shd w:val="clear" w:color="auto" w:fill="EEECE1" w:themeFill="background2"/>
            <w:noWrap/>
            <w:vAlign w:val="bottom"/>
            <w:hideMark/>
          </w:tcPr>
          <w:p w14:paraId="2910B6A3"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1,489,300</w:t>
            </w:r>
          </w:p>
        </w:tc>
        <w:tc>
          <w:tcPr>
            <w:tcW w:w="990" w:type="dxa"/>
            <w:shd w:val="clear" w:color="auto" w:fill="C6D9F1" w:themeFill="text2" w:themeFillTint="33"/>
            <w:noWrap/>
            <w:vAlign w:val="bottom"/>
            <w:hideMark/>
          </w:tcPr>
          <w:p w14:paraId="013B51E0"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1,959,700</w:t>
            </w:r>
          </w:p>
        </w:tc>
        <w:tc>
          <w:tcPr>
            <w:tcW w:w="1080" w:type="dxa"/>
            <w:shd w:val="clear" w:color="auto" w:fill="EEECE1" w:themeFill="background2"/>
            <w:noWrap/>
            <w:vAlign w:val="bottom"/>
            <w:hideMark/>
          </w:tcPr>
          <w:p w14:paraId="5BC0BCDD"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2,270,000</w:t>
            </w:r>
          </w:p>
        </w:tc>
        <w:tc>
          <w:tcPr>
            <w:tcW w:w="1080" w:type="dxa"/>
            <w:shd w:val="clear" w:color="auto" w:fill="C6D9F1" w:themeFill="text2" w:themeFillTint="33"/>
            <w:noWrap/>
            <w:vAlign w:val="bottom"/>
            <w:hideMark/>
          </w:tcPr>
          <w:p w14:paraId="0C1A56DC"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6,997,400</w:t>
            </w:r>
          </w:p>
        </w:tc>
      </w:tr>
      <w:tr w:rsidR="00EF31B9" w:rsidRPr="00EF31B9" w14:paraId="4B9B7BFA" w14:textId="77777777" w:rsidTr="005D6B9E">
        <w:trPr>
          <w:trHeight w:val="300"/>
        </w:trPr>
        <w:tc>
          <w:tcPr>
            <w:tcW w:w="3175" w:type="dxa"/>
            <w:shd w:val="clear" w:color="auto" w:fill="E8EFF9" w:themeFill="accent5" w:themeFillTint="33"/>
            <w:noWrap/>
            <w:vAlign w:val="bottom"/>
            <w:hideMark/>
          </w:tcPr>
          <w:p w14:paraId="611ADEE0" w14:textId="77777777" w:rsidR="00EF31B9" w:rsidRPr="00EF31B9" w:rsidRDefault="00EF31B9" w:rsidP="00EF31B9">
            <w:pPr>
              <w:spacing w:before="0" w:after="0"/>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Childhood TB diagnosis and treatment targets</w:t>
            </w:r>
          </w:p>
        </w:tc>
        <w:tc>
          <w:tcPr>
            <w:tcW w:w="990" w:type="dxa"/>
            <w:shd w:val="clear" w:color="auto" w:fill="EEECE1" w:themeFill="background2"/>
            <w:noWrap/>
            <w:vAlign w:val="bottom"/>
            <w:hideMark/>
          </w:tcPr>
          <w:p w14:paraId="18DD0E19"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130,400</w:t>
            </w:r>
          </w:p>
        </w:tc>
        <w:tc>
          <w:tcPr>
            <w:tcW w:w="990" w:type="dxa"/>
            <w:shd w:val="clear" w:color="auto" w:fill="E8EFF9" w:themeFill="accent5" w:themeFillTint="33"/>
            <w:noWrap/>
            <w:vAlign w:val="bottom"/>
            <w:hideMark/>
          </w:tcPr>
          <w:p w14:paraId="737294B1"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174,200</w:t>
            </w:r>
          </w:p>
        </w:tc>
        <w:tc>
          <w:tcPr>
            <w:tcW w:w="990" w:type="dxa"/>
            <w:shd w:val="clear" w:color="auto" w:fill="EEECE1" w:themeFill="background2"/>
            <w:noWrap/>
            <w:vAlign w:val="bottom"/>
            <w:hideMark/>
          </w:tcPr>
          <w:p w14:paraId="0DBF52AC"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179,400</w:t>
            </w:r>
          </w:p>
        </w:tc>
        <w:tc>
          <w:tcPr>
            <w:tcW w:w="990" w:type="dxa"/>
            <w:shd w:val="clear" w:color="auto" w:fill="E8EFF9" w:themeFill="accent5" w:themeFillTint="33"/>
            <w:noWrap/>
            <w:vAlign w:val="bottom"/>
            <w:hideMark/>
          </w:tcPr>
          <w:p w14:paraId="7FD35A6F"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181,000</w:t>
            </w:r>
          </w:p>
        </w:tc>
        <w:tc>
          <w:tcPr>
            <w:tcW w:w="1080" w:type="dxa"/>
            <w:shd w:val="clear" w:color="auto" w:fill="EEECE1" w:themeFill="background2"/>
            <w:noWrap/>
            <w:vAlign w:val="bottom"/>
            <w:hideMark/>
          </w:tcPr>
          <w:p w14:paraId="6A415F3D"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179,200</w:t>
            </w:r>
          </w:p>
        </w:tc>
        <w:tc>
          <w:tcPr>
            <w:tcW w:w="1080" w:type="dxa"/>
            <w:shd w:val="clear" w:color="auto" w:fill="E8EFF9" w:themeFill="accent5" w:themeFillTint="33"/>
            <w:noWrap/>
            <w:vAlign w:val="bottom"/>
            <w:hideMark/>
          </w:tcPr>
          <w:p w14:paraId="68EF9E5E" w14:textId="77777777" w:rsidR="00EF31B9" w:rsidRPr="00EF31B9" w:rsidRDefault="00EF31B9" w:rsidP="00EF31B9">
            <w:pPr>
              <w:spacing w:before="0" w:after="0"/>
              <w:jc w:val="right"/>
              <w:rPr>
                <w:rFonts w:ascii="Calibri" w:eastAsia="Times New Roman" w:hAnsi="Calibri" w:cs="Calibri"/>
                <w:color w:val="000000"/>
                <w:sz w:val="22"/>
                <w:lang w:val="en-IN" w:eastAsia="en-IN"/>
              </w:rPr>
            </w:pPr>
            <w:r w:rsidRPr="00EF31B9">
              <w:rPr>
                <w:rFonts w:ascii="Calibri" w:eastAsia="Times New Roman" w:hAnsi="Calibri" w:cs="Calibri"/>
                <w:color w:val="000000"/>
                <w:sz w:val="22"/>
                <w:lang w:val="en-IN" w:eastAsia="en-IN"/>
              </w:rPr>
              <w:t>844,200</w:t>
            </w:r>
          </w:p>
        </w:tc>
      </w:tr>
    </w:tbl>
    <w:p w14:paraId="00F876B5" w14:textId="77777777" w:rsidR="002103D9" w:rsidRPr="00F455D8" w:rsidRDefault="002103D9" w:rsidP="00C129C4">
      <w:pPr>
        <w:spacing w:before="0" w:after="0"/>
        <w:jc w:val="both"/>
        <w:rPr>
          <w:rFonts w:asciiTheme="minorHAnsi" w:hAnsiTheme="minorHAnsi" w:cstheme="minorHAnsi"/>
          <w:sz w:val="22"/>
          <w:shd w:val="clear" w:color="auto" w:fill="FFFFFF"/>
        </w:rPr>
      </w:pPr>
    </w:p>
    <w:p w14:paraId="16DAEDEF" w14:textId="4964A034" w:rsidR="00D72CFA" w:rsidRPr="00D72CFA" w:rsidRDefault="001B18F2" w:rsidP="00C129C4">
      <w:pPr>
        <w:spacing w:before="0" w:after="0"/>
        <w:jc w:val="both"/>
        <w:rPr>
          <w:rFonts w:asciiTheme="minorHAnsi" w:hAnsiTheme="minorHAnsi" w:cstheme="minorHAnsi"/>
          <w:b/>
          <w:sz w:val="22"/>
          <w:shd w:val="clear" w:color="auto" w:fill="FFFFFF"/>
        </w:rPr>
      </w:pPr>
      <w:r>
        <w:rPr>
          <w:rFonts w:asciiTheme="minorHAnsi" w:hAnsiTheme="minorHAnsi" w:cstheme="minorHAnsi"/>
          <w:b/>
          <w:sz w:val="22"/>
          <w:shd w:val="clear" w:color="auto" w:fill="FFFFFF"/>
        </w:rPr>
        <w:t xml:space="preserve">1.3.4 </w:t>
      </w:r>
      <w:r w:rsidR="00D72CFA" w:rsidRPr="00D72CFA">
        <w:rPr>
          <w:rFonts w:asciiTheme="minorHAnsi" w:hAnsiTheme="minorHAnsi" w:cstheme="minorHAnsi"/>
          <w:b/>
          <w:sz w:val="22"/>
          <w:shd w:val="clear" w:color="auto" w:fill="FFFFFF"/>
        </w:rPr>
        <w:t xml:space="preserve">THE GLOBAL PLAN TO END TB 2018 2022 </w:t>
      </w:r>
    </w:p>
    <w:p w14:paraId="69065280" w14:textId="631784E2" w:rsidR="00F455D8" w:rsidRDefault="00D72CFA" w:rsidP="00C129C4">
      <w:pPr>
        <w:spacing w:before="0" w:after="0"/>
        <w:jc w:val="both"/>
        <w:rPr>
          <w:rFonts w:asciiTheme="minorHAnsi" w:hAnsiTheme="minorHAnsi" w:cstheme="minorHAnsi"/>
          <w:sz w:val="22"/>
          <w:shd w:val="clear" w:color="auto" w:fill="FFFFFF"/>
        </w:rPr>
      </w:pPr>
      <w:r w:rsidRPr="00D72CFA">
        <w:rPr>
          <w:rFonts w:asciiTheme="minorHAnsi" w:hAnsiTheme="minorHAnsi" w:cstheme="minorHAnsi"/>
          <w:sz w:val="22"/>
          <w:shd w:val="clear" w:color="auto" w:fill="FFFFFF"/>
        </w:rPr>
        <w:lastRenderedPageBreak/>
        <w:t>The Global Plan to END TB</w:t>
      </w:r>
      <w:r w:rsidR="00E01EE7">
        <w:rPr>
          <w:rStyle w:val="FootnoteReference"/>
          <w:rFonts w:cstheme="minorHAnsi"/>
          <w:shd w:val="clear" w:color="auto" w:fill="FFFFFF"/>
        </w:rPr>
        <w:footnoteReference w:id="8"/>
      </w:r>
      <w:r w:rsidRPr="00D72CFA">
        <w:rPr>
          <w:rFonts w:asciiTheme="minorHAnsi" w:hAnsiTheme="minorHAnsi" w:cstheme="minorHAnsi"/>
          <w:sz w:val="22"/>
          <w:shd w:val="clear" w:color="auto" w:fill="FFFFFF"/>
        </w:rPr>
        <w:t xml:space="preserve"> presents with directions to get on track to end TB by 2030. It follows the UNHLM declaration and is </w:t>
      </w:r>
      <w:r w:rsidR="001B18F2" w:rsidRPr="00D72CFA">
        <w:rPr>
          <w:rFonts w:asciiTheme="minorHAnsi" w:hAnsiTheme="minorHAnsi" w:cstheme="minorHAnsi"/>
          <w:sz w:val="22"/>
          <w:shd w:val="clear" w:color="auto" w:fill="FFFFFF"/>
        </w:rPr>
        <w:t>centered</w:t>
      </w:r>
      <w:r w:rsidRPr="00D72CFA">
        <w:rPr>
          <w:rFonts w:asciiTheme="minorHAnsi" w:hAnsiTheme="minorHAnsi" w:cstheme="minorHAnsi"/>
          <w:sz w:val="22"/>
          <w:shd w:val="clear" w:color="auto" w:fill="FFFFFF"/>
        </w:rPr>
        <w:t xml:space="preserve"> on strong political leadership to achieve the country shares of the global TB targets agreed in the UN Political Declaration on TB. It highlights the need for a rights-based, people-</w:t>
      </w:r>
      <w:r w:rsidR="001B18F2" w:rsidRPr="00D72CFA">
        <w:rPr>
          <w:rFonts w:asciiTheme="minorHAnsi" w:hAnsiTheme="minorHAnsi" w:cstheme="minorHAnsi"/>
          <w:sz w:val="22"/>
          <w:shd w:val="clear" w:color="auto" w:fill="FFFFFF"/>
        </w:rPr>
        <w:t>centered</w:t>
      </w:r>
      <w:r w:rsidRPr="00D72CFA">
        <w:rPr>
          <w:rFonts w:asciiTheme="minorHAnsi" w:hAnsiTheme="minorHAnsi" w:cstheme="minorHAnsi"/>
          <w:sz w:val="22"/>
          <w:shd w:val="clear" w:color="auto" w:fill="FFFFFF"/>
        </w:rPr>
        <w:t xml:space="preserve"> approach, accelerated innovation in care delivery, the introduction of new tools, substantial investment in R&amp;D and a strong country</w:t>
      </w:r>
      <w:r w:rsidR="001B18F2">
        <w:rPr>
          <w:rFonts w:asciiTheme="minorHAnsi" w:hAnsiTheme="minorHAnsi" w:cstheme="minorHAnsi"/>
          <w:sz w:val="22"/>
          <w:shd w:val="clear" w:color="auto" w:fill="FFFFFF"/>
        </w:rPr>
        <w:t xml:space="preserve"> response all of which have been taken into account while framing this NSP.</w:t>
      </w:r>
      <w:r w:rsidR="008717E3">
        <w:rPr>
          <w:rFonts w:asciiTheme="minorHAnsi" w:hAnsiTheme="minorHAnsi" w:cstheme="minorHAnsi"/>
          <w:sz w:val="22"/>
          <w:shd w:val="clear" w:color="auto" w:fill="FFFFFF"/>
        </w:rPr>
        <w:t xml:space="preserve"> </w:t>
      </w:r>
    </w:p>
    <w:p w14:paraId="6FF1F262" w14:textId="19690787" w:rsidR="008717E3" w:rsidRPr="00EC3830" w:rsidRDefault="00D43112" w:rsidP="00EC3830">
      <w:pPr>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 xml:space="preserve">1.4 </w:t>
      </w:r>
      <w:r w:rsidR="0014117A" w:rsidRPr="00EC3830">
        <w:rPr>
          <w:rFonts w:asciiTheme="minorHAnsi" w:hAnsiTheme="minorHAnsi" w:cstheme="minorHAnsi"/>
          <w:b/>
          <w:color w:val="C86A07" w:themeColor="accent2" w:themeShade="BF"/>
          <w:sz w:val="28"/>
        </w:rPr>
        <w:t xml:space="preserve">National directions that shape the NSP: National Health Policy and </w:t>
      </w:r>
      <w:r w:rsidR="0014117A" w:rsidRPr="00EC3830">
        <w:rPr>
          <w:rFonts w:asciiTheme="minorHAnsi" w:hAnsiTheme="minorHAnsi" w:cstheme="minorHAnsi"/>
          <w:b/>
          <w:color w:val="C86A07" w:themeColor="accent2" w:themeShade="BF"/>
          <w:sz w:val="28"/>
        </w:rPr>
        <w:tab/>
        <w:t xml:space="preserve">NSP’s linkage with the National Health Policy and </w:t>
      </w:r>
      <w:r w:rsidR="008717E3" w:rsidRPr="00EC3830">
        <w:rPr>
          <w:rFonts w:asciiTheme="minorHAnsi" w:hAnsiTheme="minorHAnsi" w:cstheme="minorHAnsi"/>
          <w:b/>
          <w:color w:val="C86A07" w:themeColor="accent2" w:themeShade="BF"/>
          <w:sz w:val="28"/>
        </w:rPr>
        <w:t>UHC</w:t>
      </w:r>
    </w:p>
    <w:p w14:paraId="20255AA5" w14:textId="634A004A" w:rsidR="002B761B" w:rsidRPr="002B761B" w:rsidRDefault="002B761B" w:rsidP="002B761B">
      <w:pPr>
        <w:shd w:val="clear" w:color="auto" w:fill="FFFFFF"/>
        <w:spacing w:before="0" w:after="0"/>
        <w:jc w:val="both"/>
        <w:rPr>
          <w:rFonts w:ascii="Arial" w:eastAsia="Times New Roman" w:hAnsi="Arial" w:cs="Arial"/>
          <w:color w:val="222222"/>
          <w:sz w:val="24"/>
          <w:szCs w:val="24"/>
          <w:lang w:val="en-IN" w:eastAsia="en-IN"/>
        </w:rPr>
      </w:pPr>
      <w:r w:rsidRPr="002B761B">
        <w:rPr>
          <w:rFonts w:ascii="Calibri" w:eastAsia="Times New Roman" w:hAnsi="Calibri" w:cs="Calibri"/>
          <w:color w:val="222222"/>
          <w:sz w:val="22"/>
          <w:lang w:eastAsia="en-IN"/>
        </w:rPr>
        <w:t xml:space="preserve">The National health policy 2017 comes after 15 years of the last health policy in 2002. The policy envisages as its goal the attainment of the highest possible level of health and well-being for all at all ages, through a preventive and promotive health care orientation in all developmental policies, and universal access to good quality health care services without anyone having to face financial hardship as a consequence. This would be achieved through increasing access, improving quality and lowering the cost of healthcare delivery. It aims to raise public healthcare expenditure to 2.5% of GDP by 2025 from current 1.4%, thereby, reducing in proportion of households facing catastrophic health expenditure from the current levels by 25%, by 2025. Envisaging optimum use of existing manpower and infrastructure available in the health sector it also advocates collaboration with non -government sector on pro-bono basis for delivery of health care services through more than two-thirds of those resources going towards primary health. The policy also calls for retaining a certain excess capacity in the public sector to meet the needs of health security and in times of crisis as is being felt during the </w:t>
      </w:r>
      <w:r w:rsidR="001A7278">
        <w:rPr>
          <w:rFonts w:ascii="Calibri" w:eastAsia="Times New Roman" w:hAnsi="Calibri" w:cs="Calibri"/>
          <w:color w:val="222222"/>
          <w:sz w:val="22"/>
          <w:lang w:eastAsia="en-IN"/>
        </w:rPr>
        <w:t xml:space="preserve">COVID-19   </w:t>
      </w:r>
      <w:r w:rsidRPr="002B761B">
        <w:rPr>
          <w:rFonts w:ascii="Calibri" w:eastAsia="Times New Roman" w:hAnsi="Calibri" w:cs="Calibri"/>
          <w:color w:val="222222"/>
          <w:sz w:val="22"/>
          <w:lang w:eastAsia="en-IN"/>
        </w:rPr>
        <w:t xml:space="preserve"> pandemic.</w:t>
      </w:r>
    </w:p>
    <w:p w14:paraId="54133F69" w14:textId="45747C90" w:rsidR="002B761B" w:rsidRPr="002B761B" w:rsidRDefault="002B761B" w:rsidP="002B761B">
      <w:pPr>
        <w:shd w:val="clear" w:color="auto" w:fill="FFFFFF"/>
        <w:spacing w:before="0" w:after="0"/>
        <w:jc w:val="both"/>
        <w:rPr>
          <w:rFonts w:ascii="Arial" w:eastAsia="Times New Roman" w:hAnsi="Arial" w:cs="Arial"/>
          <w:color w:val="222222"/>
          <w:sz w:val="24"/>
          <w:szCs w:val="24"/>
          <w:lang w:val="en-IN" w:eastAsia="en-IN"/>
        </w:rPr>
      </w:pPr>
      <w:r w:rsidRPr="002B761B">
        <w:rPr>
          <w:rFonts w:ascii="Calibri" w:eastAsia="Times New Roman" w:hAnsi="Calibri" w:cs="Calibri"/>
          <w:color w:val="222222"/>
          <w:sz w:val="22"/>
          <w:lang w:eastAsia="en-IN"/>
        </w:rPr>
        <w:t>Assuring availability of free, comprehensive primary health care services, for the most prevalent communicable, non-communicable and occupational diseases in the population is primary objective to achieve Universal Health Coverage (UHC). The suggested architecture for achieving UHC is free primary care provision by the public sector, supplemented by strategic purchase of secondary and tertiary care services from both public and from non-government sector to fill critical gaps to assure healthcare services. With an objective to achieve Universal Health Coverage by 2030, the Government of India has initiated significant reforms to improve citizens' access to good quality, affordable healthcare. It too has innovated in its journey towards achieving universal health coverage – “Ayushman Bharat” and the NTEP proposes to utilize the “Ayushman Bharat” scheme to benefit TB patients. In line with the emergent international “Health in All” approach, it also articulates to institutionalize inter-sectoral coordination at national and sub-national levels to optimize health outcomes, through constitution of bodies that have representation from relevant non-health ministries through the national missions like ‘Swachh Bharat Abhiyan’ and ‘Atmanirbhar Bharat’.</w:t>
      </w:r>
    </w:p>
    <w:p w14:paraId="01748653" w14:textId="77777777" w:rsidR="002B761B" w:rsidRPr="002B761B" w:rsidRDefault="002B761B" w:rsidP="002B761B">
      <w:pPr>
        <w:shd w:val="clear" w:color="auto" w:fill="FFFFFF"/>
        <w:spacing w:before="0" w:after="0"/>
        <w:jc w:val="both"/>
        <w:rPr>
          <w:rFonts w:ascii="Arial" w:eastAsia="Times New Roman" w:hAnsi="Arial" w:cs="Arial"/>
          <w:color w:val="222222"/>
          <w:sz w:val="24"/>
          <w:szCs w:val="24"/>
          <w:lang w:val="en-IN" w:eastAsia="en-IN"/>
        </w:rPr>
      </w:pPr>
      <w:r w:rsidRPr="002B761B">
        <w:rPr>
          <w:rFonts w:ascii="Calibri" w:eastAsia="Times New Roman" w:hAnsi="Calibri" w:cs="Calibri"/>
          <w:color w:val="222222"/>
          <w:sz w:val="22"/>
          <w:lang w:eastAsia="en-IN"/>
        </w:rPr>
        <w:t>Districts and blocks which have wider gaps for development of infrastructure and deployment of additional human resources would receive focus. Financing for additional infrastructure or human resources would be based on needs of outpatient and inpatient attendance with special focus on poor populations living in listed and unlisted slums, homeless, rag-pickers, street children, rickshaw pullers, construction workers, sex workers and temporary migrants. To addressed other determinants for the TB through convergence among the wider determinants of health – air pollution, better solid waste management, water quality, occupational safety, road safety, housing, vector control, and reduction of violence and urban stress. This also includes the interventions to address Malnutrition and Micronutrient Deficiencies.</w:t>
      </w:r>
    </w:p>
    <w:p w14:paraId="6E51D632" w14:textId="29C3BD63" w:rsidR="002B761B" w:rsidRPr="002B761B" w:rsidRDefault="002B761B" w:rsidP="002B761B">
      <w:pPr>
        <w:shd w:val="clear" w:color="auto" w:fill="FFFFFF"/>
        <w:spacing w:before="0" w:after="0"/>
        <w:jc w:val="both"/>
        <w:rPr>
          <w:rFonts w:ascii="Arial" w:eastAsia="Times New Roman" w:hAnsi="Arial" w:cs="Arial"/>
          <w:color w:val="222222"/>
          <w:sz w:val="24"/>
          <w:szCs w:val="24"/>
          <w:lang w:val="en-IN" w:eastAsia="en-IN"/>
        </w:rPr>
      </w:pPr>
      <w:r w:rsidRPr="002B761B">
        <w:rPr>
          <w:rFonts w:ascii="Calibri" w:eastAsia="Times New Roman" w:hAnsi="Calibri" w:cs="Calibri"/>
          <w:color w:val="222222"/>
          <w:sz w:val="22"/>
          <w:lang w:eastAsia="en-IN"/>
        </w:rPr>
        <w:t xml:space="preserve">Country objective of an integrated health information system necessitates developing and linking systems into a common network/grid for both public and private healthcare providers under </w:t>
      </w:r>
      <w:r w:rsidRPr="002B761B">
        <w:rPr>
          <w:rFonts w:ascii="Calibri" w:eastAsia="Times New Roman" w:hAnsi="Calibri" w:cs="Calibri"/>
          <w:color w:val="222222"/>
          <w:sz w:val="22"/>
          <w:lang w:eastAsia="en-IN"/>
        </w:rPr>
        <w:lastRenderedPageBreak/>
        <w:t>National Digital Health Mission to mainstream the data flow under health system. Use of “Aadhaar” (Unique ID) for identification, creation of registries (i.e. patients, provider, service, diseases, document and event) and engagement of big data analysts to expand its utility to cover various quality indicators related to services deliveries.</w:t>
      </w:r>
    </w:p>
    <w:p w14:paraId="54933746" w14:textId="4DAB2FB0" w:rsidR="002B761B" w:rsidRPr="002B761B" w:rsidRDefault="002B761B" w:rsidP="002B761B">
      <w:pPr>
        <w:shd w:val="clear" w:color="auto" w:fill="FFFFFF"/>
        <w:spacing w:before="0" w:after="0"/>
        <w:jc w:val="both"/>
        <w:rPr>
          <w:rFonts w:ascii="Arial" w:eastAsia="Times New Roman" w:hAnsi="Arial" w:cs="Arial"/>
          <w:color w:val="222222"/>
          <w:sz w:val="24"/>
          <w:szCs w:val="24"/>
          <w:lang w:val="en-IN" w:eastAsia="en-IN"/>
        </w:rPr>
      </w:pPr>
      <w:r w:rsidRPr="002B761B">
        <w:rPr>
          <w:rFonts w:ascii="Calibri" w:eastAsia="Times New Roman" w:hAnsi="Calibri" w:cs="Calibri"/>
          <w:color w:val="222222"/>
          <w:sz w:val="22"/>
          <w:lang w:eastAsia="en-IN"/>
        </w:rPr>
        <w:t>Key policy shifts in the National health policy that have a potential for the NTEP to leverage for expanding and deepening programme impact relate to 1) Demand generation through building capacity of community-based organizations, ASHAs and VHSNCs supported by established referral services; 2) Early detection of TB symptomatic t</w:t>
      </w:r>
      <w:r w:rsidR="00320B10">
        <w:rPr>
          <w:rFonts w:ascii="Calibri" w:eastAsia="Times New Roman" w:hAnsi="Calibri" w:cs="Calibri"/>
          <w:color w:val="222222"/>
          <w:sz w:val="22"/>
          <w:lang w:eastAsia="en-IN"/>
        </w:rPr>
        <w:t>hrough H</w:t>
      </w:r>
      <w:r w:rsidRPr="002B761B">
        <w:rPr>
          <w:rFonts w:ascii="Calibri" w:eastAsia="Times New Roman" w:hAnsi="Calibri" w:cs="Calibri"/>
          <w:color w:val="222222"/>
          <w:sz w:val="22"/>
          <w:lang w:eastAsia="en-IN"/>
        </w:rPr>
        <w:t xml:space="preserve">ealth and Wellness </w:t>
      </w:r>
      <w:r w:rsidR="00320B10">
        <w:rPr>
          <w:rFonts w:ascii="Calibri" w:eastAsia="Times New Roman" w:hAnsi="Calibri" w:cs="Calibri"/>
          <w:color w:val="222222"/>
          <w:sz w:val="22"/>
          <w:lang w:eastAsia="en-IN"/>
        </w:rPr>
        <w:t>C</w:t>
      </w:r>
      <w:r w:rsidRPr="002B761B">
        <w:rPr>
          <w:rFonts w:ascii="Calibri" w:eastAsia="Times New Roman" w:hAnsi="Calibri" w:cs="Calibri"/>
          <w:color w:val="222222"/>
          <w:sz w:val="22"/>
          <w:lang w:eastAsia="en-IN"/>
        </w:rPr>
        <w:t>entres with linkages to referral hospitals ; 3) assured free drugs, diagnostic and emergency services to all; 4) inter-sectoral preventive and promotive action leading to a social movement of health – the Swasth Nagrik Abhiyan or Health in All; 5) retention of doctors and specialists in remote areas in public services and collaboration with private sector for specialized services; 6) creation of a multi-disciplinary public health management cadre; 7) improve access by imposing the regulations on pricing, vaccine safety, manufacture of technologies/drugs; and 8)</w:t>
      </w:r>
      <w:r w:rsidRPr="002B761B">
        <w:rPr>
          <w:rFonts w:ascii="Arial" w:eastAsia="Times New Roman" w:hAnsi="Arial" w:cs="Arial"/>
          <w:color w:val="222222"/>
          <w:sz w:val="24"/>
          <w:szCs w:val="24"/>
          <w:lang w:eastAsia="en-IN"/>
        </w:rPr>
        <w:t> </w:t>
      </w:r>
      <w:r w:rsidRPr="002B761B">
        <w:rPr>
          <w:rFonts w:ascii="Calibri" w:eastAsia="Times New Roman" w:hAnsi="Calibri" w:cs="Calibri"/>
          <w:color w:val="222222"/>
          <w:sz w:val="22"/>
          <w:lang w:eastAsia="en-IN"/>
        </w:rPr>
        <w:t>scaling up coordination within public sectors through multisectoral approach and leverage on CSR activities.</w:t>
      </w:r>
    </w:p>
    <w:p w14:paraId="39745D0A" w14:textId="51E11F4B" w:rsidR="00BD59B3" w:rsidRPr="00EC3830" w:rsidRDefault="004562D2" w:rsidP="00EC3830">
      <w:pPr>
        <w:tabs>
          <w:tab w:val="left" w:pos="450"/>
        </w:tabs>
        <w:jc w:val="both"/>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1.</w:t>
      </w:r>
      <w:r w:rsidR="008717E3" w:rsidRPr="00EC3830">
        <w:rPr>
          <w:rFonts w:asciiTheme="minorHAnsi" w:hAnsiTheme="minorHAnsi" w:cstheme="minorHAnsi"/>
          <w:b/>
          <w:color w:val="C86A07" w:themeColor="accent2" w:themeShade="BF"/>
          <w:sz w:val="28"/>
        </w:rPr>
        <w:t>5</w:t>
      </w:r>
      <w:r w:rsidR="00CD5F5C" w:rsidRPr="00EC3830">
        <w:rPr>
          <w:rFonts w:asciiTheme="minorHAnsi" w:hAnsiTheme="minorHAnsi" w:cstheme="minorHAnsi"/>
          <w:b/>
          <w:color w:val="C86A07" w:themeColor="accent2" w:themeShade="BF"/>
          <w:sz w:val="28"/>
        </w:rPr>
        <w:t xml:space="preserve"> </w:t>
      </w:r>
      <w:r w:rsidR="0014117A" w:rsidRPr="00EC3830">
        <w:rPr>
          <w:rFonts w:asciiTheme="minorHAnsi" w:hAnsiTheme="minorHAnsi" w:cstheme="minorHAnsi"/>
          <w:b/>
          <w:color w:val="C86A07" w:themeColor="accent2" w:themeShade="BF"/>
          <w:sz w:val="28"/>
        </w:rPr>
        <w:t>COVID-19 pandemic shapes ENDING TB in India</w:t>
      </w:r>
    </w:p>
    <w:p w14:paraId="07A0FB0B" w14:textId="096AFCB6" w:rsidR="00D72CFA" w:rsidRPr="00D72CFA" w:rsidRDefault="001B18F2" w:rsidP="00C129C4">
      <w:pPr>
        <w:spacing w:before="0" w:after="0"/>
        <w:jc w:val="both"/>
        <w:rPr>
          <w:rFonts w:asciiTheme="minorHAnsi" w:hAnsiTheme="minorHAnsi" w:cstheme="minorHAnsi"/>
          <w:snapToGrid w:val="0"/>
          <w:sz w:val="22"/>
        </w:rPr>
      </w:pPr>
      <w:r>
        <w:rPr>
          <w:rFonts w:asciiTheme="minorHAnsi" w:hAnsiTheme="minorHAnsi" w:cstheme="minorHAnsi"/>
          <w:snapToGrid w:val="0"/>
          <w:sz w:val="22"/>
        </w:rPr>
        <w:t>Not a single event over the last century has had such an impact on human life as the ongoing COVID</w:t>
      </w:r>
      <w:r w:rsidR="00784650">
        <w:rPr>
          <w:rFonts w:asciiTheme="minorHAnsi" w:hAnsiTheme="minorHAnsi" w:cstheme="minorHAnsi"/>
          <w:snapToGrid w:val="0"/>
          <w:sz w:val="22"/>
        </w:rPr>
        <w:t>-</w:t>
      </w:r>
      <w:r>
        <w:rPr>
          <w:rFonts w:asciiTheme="minorHAnsi" w:hAnsiTheme="minorHAnsi" w:cstheme="minorHAnsi"/>
          <w:snapToGrid w:val="0"/>
          <w:sz w:val="22"/>
        </w:rPr>
        <w:t>19 pandemic.</w:t>
      </w:r>
      <w:r w:rsidR="00990347">
        <w:rPr>
          <w:rFonts w:asciiTheme="minorHAnsi" w:hAnsiTheme="minorHAnsi" w:cstheme="minorHAnsi"/>
          <w:snapToGrid w:val="0"/>
          <w:sz w:val="22"/>
        </w:rPr>
        <w:t xml:space="preserve"> </w:t>
      </w:r>
      <w:r w:rsidR="00D72CFA" w:rsidRPr="00D72CFA">
        <w:rPr>
          <w:rFonts w:asciiTheme="minorHAnsi" w:hAnsiTheme="minorHAnsi" w:cstheme="minorHAnsi"/>
          <w:snapToGrid w:val="0"/>
          <w:sz w:val="22"/>
        </w:rPr>
        <w:t>Pandemics like the C</w:t>
      </w:r>
      <w:r w:rsidR="00784650" w:rsidRPr="00D72CFA">
        <w:rPr>
          <w:rFonts w:asciiTheme="minorHAnsi" w:hAnsiTheme="minorHAnsi" w:cstheme="minorHAnsi"/>
          <w:snapToGrid w:val="0"/>
          <w:sz w:val="22"/>
        </w:rPr>
        <w:t>OVID</w:t>
      </w:r>
      <w:r w:rsidR="00784650">
        <w:rPr>
          <w:rFonts w:asciiTheme="minorHAnsi" w:hAnsiTheme="minorHAnsi" w:cstheme="minorHAnsi"/>
          <w:snapToGrid w:val="0"/>
          <w:sz w:val="22"/>
        </w:rPr>
        <w:t>-</w:t>
      </w:r>
      <w:r w:rsidR="00D72CFA" w:rsidRPr="00D72CFA">
        <w:rPr>
          <w:rFonts w:asciiTheme="minorHAnsi" w:hAnsiTheme="minorHAnsi" w:cstheme="minorHAnsi"/>
          <w:snapToGrid w:val="0"/>
          <w:sz w:val="22"/>
        </w:rPr>
        <w:t xml:space="preserve">19 could derail progress made by the </w:t>
      </w:r>
      <w:r w:rsidR="0050507C">
        <w:rPr>
          <w:rFonts w:asciiTheme="minorHAnsi" w:hAnsiTheme="minorHAnsi" w:cstheme="minorHAnsi"/>
          <w:snapToGrid w:val="0"/>
          <w:sz w:val="22"/>
        </w:rPr>
        <w:t>NTEP</w:t>
      </w:r>
      <w:r w:rsidR="00D72CFA" w:rsidRPr="00D72CFA">
        <w:rPr>
          <w:rFonts w:asciiTheme="minorHAnsi" w:hAnsiTheme="minorHAnsi" w:cstheme="minorHAnsi"/>
          <w:snapToGrid w:val="0"/>
          <w:sz w:val="22"/>
        </w:rPr>
        <w:t xml:space="preserve"> on ending TB in the country through disruption to treatment or other interventions or supply chains of critical medicines and medical supplies</w:t>
      </w:r>
      <w:r w:rsidR="00F5698C" w:rsidRPr="00F5698C">
        <w:rPr>
          <w:rFonts w:asciiTheme="minorHAnsi" w:hAnsiTheme="minorHAnsi" w:cstheme="minorHAnsi"/>
          <w:snapToGrid w:val="0"/>
          <w:sz w:val="22"/>
        </w:rPr>
        <w:t xml:space="preserve"> and efforts need to be made to mitigate the impact of COVID</w:t>
      </w:r>
      <w:r w:rsidR="00784650">
        <w:rPr>
          <w:rFonts w:asciiTheme="minorHAnsi" w:hAnsiTheme="minorHAnsi" w:cstheme="minorHAnsi"/>
          <w:snapToGrid w:val="0"/>
          <w:sz w:val="22"/>
        </w:rPr>
        <w:t>-19</w:t>
      </w:r>
      <w:r w:rsidR="00F5698C" w:rsidRPr="00F5698C">
        <w:rPr>
          <w:rFonts w:asciiTheme="minorHAnsi" w:hAnsiTheme="minorHAnsi" w:cstheme="minorHAnsi"/>
          <w:snapToGrid w:val="0"/>
          <w:sz w:val="22"/>
        </w:rPr>
        <w:t xml:space="preserve"> on TB.  </w:t>
      </w:r>
      <w:r w:rsidR="00D72CFA" w:rsidRPr="00D72CFA">
        <w:rPr>
          <w:rFonts w:asciiTheme="minorHAnsi" w:hAnsiTheme="minorHAnsi" w:cstheme="minorHAnsi"/>
          <w:snapToGrid w:val="0"/>
          <w:sz w:val="22"/>
        </w:rPr>
        <w:t xml:space="preserve">Strong health systems are critical to help respond to COVID-19, and to reinforce health security. Particular attention </w:t>
      </w:r>
      <w:r w:rsidR="00D66B88">
        <w:rPr>
          <w:rFonts w:asciiTheme="minorHAnsi" w:hAnsiTheme="minorHAnsi" w:cstheme="minorHAnsi"/>
          <w:snapToGrid w:val="0"/>
          <w:sz w:val="22"/>
        </w:rPr>
        <w:t>will</w:t>
      </w:r>
      <w:r w:rsidR="00D72CFA" w:rsidRPr="00D72CFA">
        <w:rPr>
          <w:rFonts w:asciiTheme="minorHAnsi" w:hAnsiTheme="minorHAnsi" w:cstheme="minorHAnsi"/>
          <w:snapToGrid w:val="0"/>
          <w:sz w:val="22"/>
        </w:rPr>
        <w:t xml:space="preserve"> be given to health worker protection, communication to affected communities, maintenance of essential services, supply chain coordination, early replenishment of stocks, disinfection, and waste management. Additional activities include epidemic preparedness assessment, laboratory testing, sample transportation, use of surveillance infrastructure, infection control in health facilities, and </w:t>
      </w:r>
      <w:r w:rsidR="00AD0CE3">
        <w:rPr>
          <w:rFonts w:asciiTheme="minorHAnsi" w:hAnsiTheme="minorHAnsi" w:cstheme="minorHAnsi"/>
          <w:snapToGrid w:val="0"/>
          <w:sz w:val="22"/>
        </w:rPr>
        <w:t>advocacy</w:t>
      </w:r>
      <w:r w:rsidR="00D72CFA" w:rsidRPr="00D72CFA">
        <w:rPr>
          <w:rFonts w:asciiTheme="minorHAnsi" w:hAnsiTheme="minorHAnsi" w:cstheme="minorHAnsi"/>
          <w:snapToGrid w:val="0"/>
          <w:sz w:val="22"/>
        </w:rPr>
        <w:t xml:space="preserve"> campaigns. Specifically implementation of all-oral treatments for drug-resistant TB, as recommended by WHO, is now an imperative that cannot be delayed, as is the implementation of community-supported treatment to reduce contact with health structures and through telemedicine and the use of web apps. Additional details are </w:t>
      </w:r>
      <w:r w:rsidR="00D72CFA" w:rsidRPr="00A633A3">
        <w:rPr>
          <w:rFonts w:asciiTheme="minorHAnsi" w:hAnsiTheme="minorHAnsi" w:cstheme="minorHAnsi"/>
          <w:snapToGrid w:val="0"/>
          <w:sz w:val="22"/>
        </w:rPr>
        <w:t xml:space="preserve">discussed in Chapter </w:t>
      </w:r>
      <w:r w:rsidR="00A633A3" w:rsidRPr="00A633A3">
        <w:rPr>
          <w:rFonts w:asciiTheme="minorHAnsi" w:hAnsiTheme="minorHAnsi" w:cstheme="minorHAnsi"/>
          <w:snapToGrid w:val="0"/>
          <w:sz w:val="22"/>
        </w:rPr>
        <w:t xml:space="preserve">21. </w:t>
      </w:r>
    </w:p>
    <w:p w14:paraId="0FF9C779" w14:textId="77777777" w:rsidR="00FD3B71" w:rsidRDefault="00FD3B71" w:rsidP="00C129C4">
      <w:pPr>
        <w:spacing w:before="0" w:after="0"/>
        <w:jc w:val="both"/>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3657F728" w14:textId="7372A390" w:rsidR="00D938B0" w:rsidRPr="00734B6A" w:rsidRDefault="00D938B0" w:rsidP="00663C3B">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Chapter 2</w:t>
      </w:r>
      <w:bookmarkEnd w:id="5"/>
      <w:bookmarkEnd w:id="6"/>
      <w:bookmarkEnd w:id="7"/>
      <w:bookmarkEnd w:id="8"/>
      <w:bookmarkEnd w:id="9"/>
      <w:bookmarkEnd w:id="10"/>
      <w:bookmarkEnd w:id="15"/>
      <w:r w:rsidRPr="00734B6A">
        <w:rPr>
          <w:rFonts w:asciiTheme="minorHAnsi" w:hAnsiTheme="minorHAnsi" w:cstheme="minorHAnsi"/>
          <w:b/>
          <w:snapToGrid w:val="0"/>
          <w:color w:val="auto"/>
          <w:sz w:val="36"/>
        </w:rPr>
        <w:t xml:space="preserve"> </w:t>
      </w:r>
    </w:p>
    <w:p w14:paraId="67B19CA9" w14:textId="7BFC03FC" w:rsidR="0049665B" w:rsidRPr="00734B6A" w:rsidRDefault="0048492F" w:rsidP="00663C3B">
      <w:pPr>
        <w:pStyle w:val="Heading1"/>
        <w:tabs>
          <w:tab w:val="num" w:pos="5670"/>
        </w:tabs>
        <w:rPr>
          <w:rFonts w:asciiTheme="minorHAnsi" w:hAnsiTheme="minorHAnsi" w:cstheme="minorHAnsi"/>
          <w:snapToGrid w:val="0"/>
          <w:color w:val="auto"/>
        </w:rPr>
      </w:pPr>
      <w:r>
        <w:rPr>
          <w:rFonts w:asciiTheme="minorHAnsi" w:hAnsiTheme="minorHAnsi" w:cstheme="minorHAnsi"/>
          <w:b/>
          <w:snapToGrid w:val="0"/>
          <w:color w:val="auto"/>
        </w:rPr>
        <w:t>COuntry Context</w:t>
      </w:r>
      <w:r w:rsidR="002D66F3" w:rsidRPr="00734B6A">
        <w:rPr>
          <w:rFonts w:asciiTheme="minorHAnsi" w:hAnsiTheme="minorHAnsi" w:cstheme="minorHAnsi"/>
          <w:snapToGrid w:val="0"/>
          <w:color w:val="auto"/>
        </w:rPr>
        <w:t xml:space="preserve"> </w:t>
      </w:r>
    </w:p>
    <w:p w14:paraId="6A191767" w14:textId="378C0809" w:rsidR="001448AC" w:rsidRDefault="00EC6FD7" w:rsidP="00C129C4">
      <w:pPr>
        <w:spacing w:before="0" w:after="0"/>
        <w:jc w:val="both"/>
        <w:rPr>
          <w:rFonts w:asciiTheme="minorHAnsi" w:hAnsiTheme="minorHAnsi" w:cstheme="minorHAnsi"/>
        </w:rPr>
      </w:pPr>
      <w:r w:rsidRPr="00734B6A">
        <w:rPr>
          <w:rFonts w:asciiTheme="minorHAnsi" w:hAnsiTheme="minorHAnsi" w:cstheme="minorHAnsi"/>
        </w:rPr>
        <w:t xml:space="preserve">. </w:t>
      </w:r>
    </w:p>
    <w:p w14:paraId="25C07947" w14:textId="29B39695" w:rsidR="004938A5" w:rsidRPr="00EC3830" w:rsidRDefault="004938A5" w:rsidP="00442A67">
      <w:pPr>
        <w:pStyle w:val="ListParagraph"/>
        <w:numPr>
          <w:ilvl w:val="1"/>
          <w:numId w:val="19"/>
        </w:numPr>
        <w:ind w:left="446" w:hanging="446"/>
        <w:contextualSpacing w:val="0"/>
        <w:jc w:val="both"/>
        <w:rPr>
          <w:rFonts w:asciiTheme="minorHAnsi" w:hAnsiTheme="minorHAnsi" w:cstheme="minorHAnsi"/>
          <w:b/>
          <w:color w:val="C86A07" w:themeColor="accent2" w:themeShade="BF"/>
          <w:sz w:val="28"/>
          <w:lang w:val="en"/>
        </w:rPr>
      </w:pPr>
      <w:r w:rsidRPr="00EC3830">
        <w:rPr>
          <w:rFonts w:asciiTheme="minorHAnsi" w:hAnsiTheme="minorHAnsi" w:cstheme="minorHAnsi"/>
          <w:b/>
          <w:color w:val="C86A07" w:themeColor="accent2" w:themeShade="BF"/>
          <w:sz w:val="28"/>
          <w:lang w:val="en"/>
        </w:rPr>
        <w:t>Demographic, geographic and socio-economic features</w:t>
      </w:r>
    </w:p>
    <w:p w14:paraId="58216BE6" w14:textId="1CA14B95" w:rsidR="00B7000C" w:rsidRPr="00B7000C" w:rsidRDefault="00B7000C" w:rsidP="00442A67">
      <w:pPr>
        <w:pStyle w:val="ListParagraph"/>
        <w:numPr>
          <w:ilvl w:val="0"/>
          <w:numId w:val="44"/>
        </w:numPr>
        <w:spacing w:before="0"/>
        <w:contextualSpacing w:val="0"/>
        <w:jc w:val="both"/>
        <w:rPr>
          <w:rFonts w:asciiTheme="minorHAnsi" w:eastAsia="Times New Roman" w:hAnsiTheme="minorHAnsi" w:cstheme="minorHAnsi"/>
          <w:sz w:val="22"/>
          <w:lang w:val="en-IN" w:eastAsia="en-IN"/>
        </w:rPr>
      </w:pPr>
      <w:r>
        <w:rPr>
          <w:rFonts w:asciiTheme="minorHAnsi" w:eastAsia="Times New Roman" w:hAnsiTheme="minorHAnsi" w:cstheme="minorHAnsi"/>
          <w:sz w:val="22"/>
          <w:lang w:val="en-IN" w:eastAsia="en-IN"/>
        </w:rPr>
        <w:t>India is the s</w:t>
      </w:r>
      <w:r w:rsidRPr="00B7000C">
        <w:rPr>
          <w:rFonts w:asciiTheme="minorHAnsi" w:eastAsia="Times New Roman" w:hAnsiTheme="minorHAnsi" w:cstheme="minorHAnsi"/>
          <w:sz w:val="22"/>
          <w:lang w:val="en-IN" w:eastAsia="en-IN"/>
        </w:rPr>
        <w:t>eventh-largest country by area</w:t>
      </w:r>
      <w:r w:rsidR="00332F68">
        <w:rPr>
          <w:rFonts w:asciiTheme="minorHAnsi" w:eastAsia="Times New Roman" w:hAnsiTheme="minorHAnsi" w:cstheme="minorHAnsi"/>
          <w:sz w:val="22"/>
          <w:lang w:val="en-IN" w:eastAsia="en-IN"/>
        </w:rPr>
        <w:t xml:space="preserve"> (3,287,240 sq. km) and is the s</w:t>
      </w:r>
      <w:r w:rsidRPr="00B7000C">
        <w:rPr>
          <w:rFonts w:asciiTheme="minorHAnsi" w:eastAsia="Times New Roman" w:hAnsiTheme="minorHAnsi" w:cstheme="minorHAnsi"/>
          <w:sz w:val="22"/>
          <w:lang w:val="en-IN" w:eastAsia="en-IN"/>
        </w:rPr>
        <w:t>econd populou</w:t>
      </w:r>
      <w:r w:rsidR="00E102B5">
        <w:rPr>
          <w:rFonts w:asciiTheme="minorHAnsi" w:eastAsia="Times New Roman" w:hAnsiTheme="minorHAnsi" w:cstheme="minorHAnsi"/>
          <w:sz w:val="22"/>
          <w:lang w:val="en-IN" w:eastAsia="en-IN"/>
        </w:rPr>
        <w:t>s country in the world with 1.36</w:t>
      </w:r>
      <w:r w:rsidRPr="00B7000C">
        <w:rPr>
          <w:rFonts w:asciiTheme="minorHAnsi" w:eastAsia="Times New Roman" w:hAnsiTheme="minorHAnsi" w:cstheme="minorHAnsi"/>
          <w:sz w:val="22"/>
          <w:lang w:val="en-IN" w:eastAsia="en-IN"/>
        </w:rPr>
        <w:t xml:space="preserve"> </w:t>
      </w:r>
      <w:r w:rsidR="00977695">
        <w:rPr>
          <w:rFonts w:asciiTheme="minorHAnsi" w:eastAsia="Times New Roman" w:hAnsiTheme="minorHAnsi" w:cstheme="minorHAnsi"/>
          <w:sz w:val="22"/>
          <w:lang w:val="en-IN" w:eastAsia="en-IN"/>
        </w:rPr>
        <w:t>b</w:t>
      </w:r>
      <w:r w:rsidRPr="00B7000C">
        <w:rPr>
          <w:rFonts w:asciiTheme="minorHAnsi" w:eastAsia="Times New Roman" w:hAnsiTheme="minorHAnsi" w:cstheme="minorHAnsi"/>
          <w:sz w:val="22"/>
          <w:lang w:val="en-IN" w:eastAsia="en-IN"/>
        </w:rPr>
        <w:t>illion (201</w:t>
      </w:r>
      <w:r w:rsidR="00977695">
        <w:rPr>
          <w:rFonts w:asciiTheme="minorHAnsi" w:eastAsia="Times New Roman" w:hAnsiTheme="minorHAnsi" w:cstheme="minorHAnsi"/>
          <w:sz w:val="22"/>
          <w:lang w:val="en-IN" w:eastAsia="en-IN"/>
        </w:rPr>
        <w:t>9</w:t>
      </w:r>
      <w:r w:rsidRPr="00B7000C">
        <w:rPr>
          <w:rFonts w:asciiTheme="minorHAnsi" w:eastAsia="Times New Roman" w:hAnsiTheme="minorHAnsi" w:cstheme="minorHAnsi"/>
          <w:sz w:val="22"/>
          <w:lang w:val="en-IN" w:eastAsia="en-IN"/>
        </w:rPr>
        <w:t>)</w:t>
      </w:r>
      <w:r w:rsidR="00977695">
        <w:rPr>
          <w:rStyle w:val="FootnoteReference"/>
          <w:rFonts w:eastAsia="Times New Roman" w:cstheme="minorHAnsi"/>
          <w:lang w:val="en-IN" w:eastAsia="en-IN"/>
        </w:rPr>
        <w:footnoteReference w:id="9"/>
      </w:r>
      <w:r w:rsidRPr="00B7000C">
        <w:rPr>
          <w:rFonts w:asciiTheme="minorHAnsi" w:eastAsia="Times New Roman" w:hAnsiTheme="minorHAnsi" w:cstheme="minorHAnsi"/>
          <w:sz w:val="22"/>
          <w:lang w:val="en-IN" w:eastAsia="en-IN"/>
        </w:rPr>
        <w:t>. It has an annu</w:t>
      </w:r>
      <w:r w:rsidR="00332F68">
        <w:rPr>
          <w:rFonts w:asciiTheme="minorHAnsi" w:eastAsia="Times New Roman" w:hAnsiTheme="minorHAnsi" w:cstheme="minorHAnsi"/>
          <w:sz w:val="22"/>
          <w:lang w:val="en-IN" w:eastAsia="en-IN"/>
        </w:rPr>
        <w:t>al growth rate of 1.19% with a p</w:t>
      </w:r>
      <w:r w:rsidRPr="00B7000C">
        <w:rPr>
          <w:rFonts w:asciiTheme="minorHAnsi" w:eastAsia="Times New Roman" w:hAnsiTheme="minorHAnsi" w:cstheme="minorHAnsi"/>
          <w:sz w:val="22"/>
          <w:lang w:val="en-IN" w:eastAsia="en-IN"/>
        </w:rPr>
        <w:t>opulation density of 382 per sq. km. The population comprises of 51.5% males and 48.5% females and a Sex ratio of 940 females for every 1000 males as per 2011 Census.</w:t>
      </w:r>
    </w:p>
    <w:p w14:paraId="09D63C77" w14:textId="75E276DD" w:rsidR="003C413E" w:rsidRDefault="00AC55EC" w:rsidP="00442A67">
      <w:pPr>
        <w:pStyle w:val="ListParagraph"/>
        <w:numPr>
          <w:ilvl w:val="0"/>
          <w:numId w:val="44"/>
        </w:numPr>
        <w:spacing w:before="0"/>
        <w:contextualSpacing w:val="0"/>
        <w:jc w:val="both"/>
        <w:rPr>
          <w:rFonts w:asciiTheme="minorHAnsi" w:eastAsia="Times New Roman" w:hAnsiTheme="minorHAnsi" w:cstheme="minorHAnsi"/>
          <w:sz w:val="22"/>
          <w:lang w:val="en-IN" w:eastAsia="en-IN"/>
        </w:rPr>
      </w:pPr>
      <w:r w:rsidRPr="003C413E">
        <w:rPr>
          <w:rFonts w:asciiTheme="minorHAnsi" w:eastAsia="Times New Roman" w:hAnsiTheme="minorHAnsi" w:cstheme="minorHAnsi"/>
          <w:bCs/>
          <w:sz w:val="22"/>
          <w:lang w:val="en-IN" w:eastAsia="en-IN"/>
        </w:rPr>
        <w:t xml:space="preserve">The </w:t>
      </w:r>
      <w:r w:rsidRPr="003C413E">
        <w:rPr>
          <w:rFonts w:asciiTheme="minorHAnsi" w:eastAsia="Times New Roman" w:hAnsiTheme="minorHAnsi" w:cstheme="minorHAnsi"/>
          <w:sz w:val="22"/>
          <w:lang w:val="en-IN" w:eastAsia="en-IN"/>
        </w:rPr>
        <w:t>world’s</w:t>
      </w:r>
      <w:r w:rsidRPr="003C413E">
        <w:rPr>
          <w:rFonts w:asciiTheme="minorHAnsi" w:eastAsia="Times New Roman" w:hAnsiTheme="minorHAnsi" w:cstheme="minorHAnsi"/>
          <w:bCs/>
          <w:sz w:val="22"/>
          <w:lang w:val="en-IN" w:eastAsia="en-IN"/>
        </w:rPr>
        <w:t xml:space="preserve"> biggest democracy and </w:t>
      </w:r>
      <w:r w:rsidR="004938A5" w:rsidRPr="003C413E">
        <w:rPr>
          <w:rFonts w:asciiTheme="minorHAnsi" w:hAnsiTheme="minorHAnsi" w:cstheme="minorHAnsi"/>
          <w:sz w:val="22"/>
          <w:lang w:val="en"/>
        </w:rPr>
        <w:t>third</w:t>
      </w:r>
      <w:r w:rsidR="004938A5" w:rsidRPr="003C413E">
        <w:rPr>
          <w:rFonts w:asciiTheme="minorHAnsi" w:eastAsia="Times New Roman" w:hAnsiTheme="minorHAnsi" w:cstheme="minorHAnsi"/>
          <w:bCs/>
          <w:sz w:val="22"/>
          <w:lang w:val="en-IN" w:eastAsia="en-IN"/>
        </w:rPr>
        <w:t xml:space="preserve"> largest economy in purchasing</w:t>
      </w:r>
      <w:r w:rsidR="00B77B28">
        <w:rPr>
          <w:rFonts w:asciiTheme="minorHAnsi" w:eastAsia="Times New Roman" w:hAnsiTheme="minorHAnsi" w:cstheme="minorHAnsi"/>
          <w:bCs/>
          <w:sz w:val="22"/>
          <w:lang w:val="en-IN" w:eastAsia="en-IN"/>
        </w:rPr>
        <w:t xml:space="preserve"> power</w:t>
      </w:r>
      <w:r w:rsidR="004938A5" w:rsidRPr="003C413E">
        <w:rPr>
          <w:rFonts w:asciiTheme="minorHAnsi" w:eastAsia="Times New Roman" w:hAnsiTheme="minorHAnsi" w:cstheme="minorHAnsi"/>
          <w:bCs/>
          <w:sz w:val="22"/>
          <w:lang w:val="en-IN" w:eastAsia="en-IN"/>
        </w:rPr>
        <w:t xml:space="preserve"> parity terms, India aspires to better the lives of all its citizens and become a high-middle income country by 2030.</w:t>
      </w:r>
      <w:r w:rsidR="004938A5" w:rsidRPr="003C413E">
        <w:rPr>
          <w:rFonts w:asciiTheme="minorHAnsi" w:eastAsia="Times New Roman" w:hAnsiTheme="minorHAnsi" w:cstheme="minorHAnsi"/>
          <w:sz w:val="22"/>
          <w:lang w:val="en-IN" w:eastAsia="en-IN"/>
        </w:rPr>
        <w:t> </w:t>
      </w:r>
      <w:r w:rsidR="00766BFE" w:rsidRPr="003C413E">
        <w:rPr>
          <w:rFonts w:asciiTheme="minorHAnsi" w:eastAsia="Times New Roman" w:hAnsiTheme="minorHAnsi" w:cstheme="minorHAnsi"/>
          <w:sz w:val="22"/>
          <w:lang w:val="en-IN" w:eastAsia="en-IN"/>
        </w:rPr>
        <w:t>India’s economic transition is matched by a shift from primarily communicable diseases to a dual disease burden. The contribution of communicable and non-communicable disease varies quite dramatically among states in both absolute and relative terms, with Empowered Action Group (EAG)</w:t>
      </w:r>
      <w:r w:rsidR="00331E39" w:rsidRPr="00097F0B">
        <w:rPr>
          <w:rStyle w:val="FootnoteReference"/>
          <w:rFonts w:eastAsia="Times New Roman" w:cstheme="minorHAnsi"/>
          <w:lang w:val="en-IN" w:eastAsia="en-IN"/>
        </w:rPr>
        <w:footnoteReference w:id="10"/>
      </w:r>
      <w:r w:rsidR="00766BFE" w:rsidRPr="003C413E">
        <w:rPr>
          <w:rFonts w:asciiTheme="minorHAnsi" w:eastAsia="Times New Roman" w:hAnsiTheme="minorHAnsi" w:cstheme="minorHAnsi"/>
          <w:sz w:val="22"/>
          <w:lang w:val="en-IN" w:eastAsia="en-IN"/>
        </w:rPr>
        <w:t xml:space="preserve"> states having communicable diseases as three of the top-five causes</w:t>
      </w:r>
      <w:r w:rsidR="007811EF">
        <w:rPr>
          <w:rStyle w:val="FootnoteReference"/>
          <w:rFonts w:eastAsia="Times New Roman" w:cstheme="minorHAnsi"/>
          <w:lang w:val="en-IN" w:eastAsia="en-IN"/>
        </w:rPr>
        <w:footnoteReference w:id="11"/>
      </w:r>
      <w:r w:rsidR="00766BFE" w:rsidRPr="003C413E">
        <w:rPr>
          <w:rFonts w:asciiTheme="minorHAnsi" w:eastAsia="Times New Roman" w:hAnsiTheme="minorHAnsi" w:cstheme="minorHAnsi"/>
          <w:sz w:val="22"/>
          <w:lang w:val="en-IN" w:eastAsia="en-IN"/>
        </w:rPr>
        <w:t xml:space="preserve"> of Disability-Adjusted Life Year (DALY) loss. </w:t>
      </w:r>
      <w:r w:rsidR="00503098" w:rsidRPr="003C413E">
        <w:rPr>
          <w:rFonts w:asciiTheme="minorHAnsi" w:eastAsia="Times New Roman" w:hAnsiTheme="minorHAnsi" w:cstheme="minorHAnsi"/>
          <w:sz w:val="22"/>
          <w:lang w:val="en-IN" w:eastAsia="en-IN"/>
        </w:rPr>
        <w:t>Despite this rapid increase in national wealth and the corresponding sharp reduction in extreme poverty</w:t>
      </w:r>
      <w:r w:rsidR="00503098" w:rsidRPr="008418E9">
        <w:rPr>
          <w:rFonts w:asciiTheme="minorHAnsi" w:eastAsia="Times New Roman" w:hAnsiTheme="minorHAnsi" w:cstheme="minorHAnsi"/>
          <w:sz w:val="22"/>
          <w:lang w:val="en-IN" w:eastAsia="en-IN"/>
        </w:rPr>
        <w:t>, relative poverty has persisted</w:t>
      </w:r>
      <w:r w:rsidR="00503098" w:rsidRPr="00017309">
        <w:rPr>
          <w:rFonts w:asciiTheme="minorHAnsi" w:eastAsia="Times New Roman" w:hAnsiTheme="minorHAnsi" w:cstheme="minorHAnsi"/>
          <w:sz w:val="22"/>
          <w:lang w:val="en-IN" w:eastAsia="en-IN"/>
        </w:rPr>
        <w:t>.</w:t>
      </w:r>
      <w:r w:rsidR="00503098" w:rsidRPr="003C413E">
        <w:rPr>
          <w:rFonts w:asciiTheme="minorHAnsi" w:eastAsia="Times New Roman" w:hAnsiTheme="minorHAnsi" w:cstheme="minorHAnsi"/>
          <w:sz w:val="22"/>
          <w:lang w:val="en-IN" w:eastAsia="en-IN"/>
        </w:rPr>
        <w:t xml:space="preserve"> India’s significant progress in improving health services and outcomes is evidenced by the increase in life expectancy from 58 years in 1990 to 68.7 years in 2016</w:t>
      </w:r>
      <w:r w:rsidR="00503098">
        <w:rPr>
          <w:rStyle w:val="FootnoteReference"/>
          <w:rFonts w:eastAsia="Times New Roman" w:cstheme="minorHAnsi"/>
          <w:lang w:val="en-IN" w:eastAsia="en-IN"/>
        </w:rPr>
        <w:footnoteReference w:id="12"/>
      </w:r>
      <w:r w:rsidR="00503098" w:rsidRPr="003C413E">
        <w:rPr>
          <w:rFonts w:asciiTheme="minorHAnsi" w:eastAsia="Times New Roman" w:hAnsiTheme="minorHAnsi" w:cstheme="minorHAnsi"/>
          <w:sz w:val="22"/>
          <w:lang w:val="en-IN" w:eastAsia="en-IN"/>
        </w:rPr>
        <w:t xml:space="preserve">. </w:t>
      </w:r>
    </w:p>
    <w:p w14:paraId="4E7C1714" w14:textId="487C672E" w:rsidR="00BD702D" w:rsidRDefault="00AE3FB9" w:rsidP="00442A67">
      <w:pPr>
        <w:pStyle w:val="ListParagraph"/>
        <w:numPr>
          <w:ilvl w:val="0"/>
          <w:numId w:val="44"/>
        </w:numPr>
        <w:spacing w:before="0"/>
        <w:contextualSpacing w:val="0"/>
        <w:jc w:val="both"/>
        <w:rPr>
          <w:rFonts w:asciiTheme="minorHAnsi" w:eastAsia="Times New Roman" w:hAnsiTheme="minorHAnsi" w:cstheme="minorHAnsi"/>
          <w:sz w:val="22"/>
          <w:lang w:val="en-IN" w:eastAsia="en-IN"/>
        </w:rPr>
      </w:pPr>
      <w:r w:rsidRPr="00AE3FB9">
        <w:rPr>
          <w:rFonts w:asciiTheme="minorHAnsi" w:eastAsia="Times New Roman" w:hAnsiTheme="minorHAnsi" w:cstheme="minorHAnsi"/>
          <w:sz w:val="22"/>
          <w:lang w:val="en-IN" w:eastAsia="en-IN"/>
        </w:rPr>
        <w:t>India is rapidly urbanizing.</w:t>
      </w:r>
      <w:r w:rsidR="0006407B">
        <w:rPr>
          <w:rFonts w:asciiTheme="minorHAnsi" w:eastAsia="Times New Roman" w:hAnsiTheme="minorHAnsi" w:cstheme="minorHAnsi"/>
          <w:sz w:val="22"/>
          <w:lang w:val="en-IN" w:eastAsia="en-IN"/>
        </w:rPr>
        <w:t xml:space="preserve"> </w:t>
      </w:r>
      <w:r w:rsidR="0006407B" w:rsidRPr="0006407B">
        <w:rPr>
          <w:rFonts w:asciiTheme="minorHAnsi" w:eastAsia="Times New Roman" w:hAnsiTheme="minorHAnsi" w:cstheme="minorHAnsi"/>
          <w:sz w:val="22"/>
          <w:lang w:val="en-IN" w:eastAsia="en-IN"/>
        </w:rPr>
        <w:t>In 2018, approximately a third of the total popu</w:t>
      </w:r>
      <w:r w:rsidR="00EC567C">
        <w:rPr>
          <w:rFonts w:asciiTheme="minorHAnsi" w:eastAsia="Times New Roman" w:hAnsiTheme="minorHAnsi" w:cstheme="minorHAnsi"/>
          <w:sz w:val="22"/>
          <w:lang w:val="en-IN" w:eastAsia="en-IN"/>
        </w:rPr>
        <w:t>lation in India lived in cities and a</w:t>
      </w:r>
      <w:r w:rsidR="00EC567C" w:rsidRPr="00EC567C">
        <w:rPr>
          <w:rFonts w:asciiTheme="minorHAnsi" w:eastAsia="Times New Roman" w:hAnsiTheme="minorHAnsi" w:cstheme="minorHAnsi"/>
          <w:sz w:val="22"/>
          <w:lang w:val="en-IN" w:eastAsia="en-IN"/>
        </w:rPr>
        <w:t>ccording to the estimates of UNESCAP, 29.4 percent of India’s urban population lived in slums</w:t>
      </w:r>
      <w:r w:rsidR="00EC567C">
        <w:rPr>
          <w:rFonts w:asciiTheme="minorHAnsi" w:eastAsia="Times New Roman" w:hAnsiTheme="minorHAnsi" w:cstheme="minorHAnsi"/>
          <w:sz w:val="22"/>
          <w:lang w:val="en-IN" w:eastAsia="en-IN"/>
        </w:rPr>
        <w:t xml:space="preserve">. </w:t>
      </w:r>
      <w:r w:rsidR="00EC567C" w:rsidRPr="00EC567C">
        <w:rPr>
          <w:rFonts w:asciiTheme="minorHAnsi" w:eastAsia="Times New Roman" w:hAnsiTheme="minorHAnsi" w:cstheme="minorHAnsi"/>
          <w:sz w:val="22"/>
          <w:lang w:val="en-IN" w:eastAsia="en-IN"/>
        </w:rPr>
        <w:t>By 2030, the UN estimates that more than 40</w:t>
      </w:r>
      <w:r w:rsidR="00EC567C">
        <w:rPr>
          <w:rFonts w:asciiTheme="minorHAnsi" w:eastAsia="Times New Roman" w:hAnsiTheme="minorHAnsi" w:cstheme="minorHAnsi"/>
          <w:sz w:val="22"/>
          <w:lang w:val="en-IN" w:eastAsia="en-IN"/>
        </w:rPr>
        <w:t xml:space="preserve"> percent</w:t>
      </w:r>
      <w:r w:rsidR="00EC567C" w:rsidRPr="00EC567C">
        <w:rPr>
          <w:rFonts w:asciiTheme="minorHAnsi" w:eastAsia="Times New Roman" w:hAnsiTheme="minorHAnsi" w:cstheme="minorHAnsi"/>
          <w:sz w:val="22"/>
          <w:lang w:val="en-IN" w:eastAsia="en-IN"/>
        </w:rPr>
        <w:t xml:space="preserve"> of Indians could be living in megacities. And two of the ten largest cities in the world are Indian already today – Delhi and Mumbai.</w:t>
      </w:r>
      <w:r w:rsidR="00EC567C">
        <w:rPr>
          <w:rFonts w:asciiTheme="minorHAnsi" w:eastAsia="Times New Roman" w:hAnsiTheme="minorHAnsi" w:cstheme="minorHAnsi"/>
          <w:sz w:val="22"/>
          <w:lang w:val="en-IN" w:eastAsia="en-IN"/>
        </w:rPr>
        <w:t xml:space="preserve"> The migration of people to urban areas coupled with socio-economic challenges will continue to increase the vulnerability of such people to TB.  </w:t>
      </w:r>
    </w:p>
    <w:p w14:paraId="27AA3107" w14:textId="35E31B8A" w:rsidR="00D63667" w:rsidRPr="00D63667" w:rsidRDefault="00D63667" w:rsidP="0085017B">
      <w:pPr>
        <w:spacing w:after="0"/>
        <w:jc w:val="both"/>
        <w:rPr>
          <w:rFonts w:asciiTheme="minorHAnsi" w:hAnsiTheme="minorHAnsi" w:cstheme="minorHAnsi"/>
          <w:b/>
        </w:rPr>
      </w:pPr>
      <w:r w:rsidRPr="00D63667">
        <w:rPr>
          <w:rFonts w:asciiTheme="minorHAnsi" w:hAnsiTheme="minorHAnsi" w:cstheme="minorHAnsi"/>
          <w:b/>
        </w:rPr>
        <w:t xml:space="preserve">Table </w:t>
      </w:r>
      <w:r>
        <w:rPr>
          <w:rFonts w:asciiTheme="minorHAnsi" w:hAnsiTheme="minorHAnsi" w:cstheme="minorHAnsi"/>
          <w:b/>
        </w:rPr>
        <w:t>3</w:t>
      </w:r>
      <w:r w:rsidRPr="00D63667">
        <w:rPr>
          <w:rFonts w:asciiTheme="minorHAnsi" w:hAnsiTheme="minorHAnsi" w:cstheme="minorHAnsi"/>
          <w:b/>
        </w:rPr>
        <w:t xml:space="preserve">: </w:t>
      </w:r>
      <w:r>
        <w:rPr>
          <w:rFonts w:asciiTheme="minorHAnsi" w:hAnsiTheme="minorHAnsi" w:cstheme="minorHAnsi"/>
          <w:b/>
        </w:rPr>
        <w:t xml:space="preserve">Development </w:t>
      </w:r>
      <w:r w:rsidR="00215C43">
        <w:rPr>
          <w:rFonts w:asciiTheme="minorHAnsi" w:hAnsiTheme="minorHAnsi" w:cstheme="minorHAnsi"/>
          <w:b/>
        </w:rPr>
        <w:t>Indicators</w:t>
      </w:r>
      <w:r w:rsidR="00534FFB">
        <w:rPr>
          <w:rFonts w:asciiTheme="minorHAnsi" w:hAnsiTheme="minorHAnsi" w:cstheme="minorHAnsi"/>
          <w:b/>
        </w:rPr>
        <w:t>:</w:t>
      </w:r>
      <w:r w:rsidRPr="00D63667">
        <w:rPr>
          <w:rFonts w:asciiTheme="minorHAnsi" w:hAnsiTheme="minorHAnsi" w:cstheme="minorHAnsi"/>
          <w:b/>
        </w:rPr>
        <w:t xml:space="preserve"> India</w:t>
      </w:r>
    </w:p>
    <w:tbl>
      <w:tblPr>
        <w:tblW w:w="9000" w:type="dxa"/>
        <w:tblInd w:w="43" w:type="dxa"/>
        <w:tblBorders>
          <w:top w:val="single" w:sz="2" w:space="0" w:color="BFBFBF" w:themeColor="background1" w:themeShade="BF"/>
          <w:bottom w:val="single" w:sz="2" w:space="0" w:color="BFBFBF" w:themeColor="background1" w:themeShade="BF"/>
          <w:insideH w:val="single" w:sz="2" w:space="0" w:color="BFBFBF" w:themeColor="background1" w:themeShade="BF"/>
        </w:tblBorders>
        <w:tblLayout w:type="fixed"/>
        <w:tblCellMar>
          <w:left w:w="43" w:type="dxa"/>
          <w:right w:w="0" w:type="dxa"/>
        </w:tblCellMar>
        <w:tblLook w:val="04A0" w:firstRow="1" w:lastRow="0" w:firstColumn="1" w:lastColumn="0" w:noHBand="0" w:noVBand="1"/>
      </w:tblPr>
      <w:tblGrid>
        <w:gridCol w:w="4885"/>
        <w:gridCol w:w="900"/>
        <w:gridCol w:w="900"/>
        <w:gridCol w:w="1080"/>
        <w:gridCol w:w="1235"/>
      </w:tblGrid>
      <w:tr w:rsidR="003B19CA" w:rsidRPr="003B19CA" w14:paraId="5495BD7C" w14:textId="77777777" w:rsidTr="00BB03B3">
        <w:trPr>
          <w:trHeight w:val="300"/>
        </w:trPr>
        <w:tc>
          <w:tcPr>
            <w:tcW w:w="4885" w:type="dxa"/>
            <w:shd w:val="clear" w:color="auto" w:fill="0F243E" w:themeFill="text2" w:themeFillShade="80"/>
            <w:vAlign w:val="bottom"/>
            <w:hideMark/>
          </w:tcPr>
          <w:p w14:paraId="3D79D924" w14:textId="5117F4E6" w:rsidR="00907F4A" w:rsidRPr="003B19CA" w:rsidRDefault="00D62640" w:rsidP="00261DF4">
            <w:pPr>
              <w:spacing w:before="0" w:after="0"/>
              <w:rPr>
                <w:rFonts w:asciiTheme="minorHAnsi" w:eastAsia="Times New Roman" w:hAnsiTheme="minorHAnsi" w:cstheme="minorHAnsi"/>
                <w:b/>
                <w:sz w:val="22"/>
                <w:lang w:val="en-IN" w:eastAsia="en-IN"/>
              </w:rPr>
            </w:pPr>
            <w:r w:rsidRPr="003B19CA">
              <w:rPr>
                <w:rFonts w:asciiTheme="minorHAnsi" w:eastAsia="Times New Roman" w:hAnsiTheme="minorHAnsi" w:cstheme="minorHAnsi"/>
                <w:b/>
                <w:sz w:val="22"/>
                <w:lang w:val="en-IN" w:eastAsia="en-IN"/>
              </w:rPr>
              <w:t>Key development indicators - India</w:t>
            </w:r>
            <w:r w:rsidRPr="003B19CA">
              <w:rPr>
                <w:rStyle w:val="FootnoteReference"/>
                <w:rFonts w:eastAsia="Times New Roman" w:cstheme="minorHAnsi"/>
                <w:b/>
                <w:lang w:val="en-IN" w:eastAsia="en-IN"/>
              </w:rPr>
              <w:footnoteReference w:id="13"/>
            </w:r>
          </w:p>
        </w:tc>
        <w:tc>
          <w:tcPr>
            <w:tcW w:w="900" w:type="dxa"/>
            <w:shd w:val="clear" w:color="auto" w:fill="0F243E" w:themeFill="text2" w:themeFillShade="80"/>
            <w:vAlign w:val="bottom"/>
            <w:hideMark/>
          </w:tcPr>
          <w:p w14:paraId="068C19C4" w14:textId="77777777" w:rsidR="00907F4A" w:rsidRPr="003B19CA" w:rsidRDefault="00907F4A" w:rsidP="00261DF4">
            <w:pPr>
              <w:spacing w:before="0" w:after="0"/>
              <w:jc w:val="right"/>
              <w:rPr>
                <w:rFonts w:asciiTheme="minorHAnsi" w:eastAsia="Times New Roman" w:hAnsiTheme="minorHAnsi" w:cstheme="minorHAnsi"/>
                <w:b/>
                <w:sz w:val="22"/>
                <w:szCs w:val="20"/>
                <w:lang w:val="en-IN" w:eastAsia="en-IN"/>
              </w:rPr>
            </w:pPr>
            <w:r w:rsidRPr="003B19CA">
              <w:rPr>
                <w:rFonts w:asciiTheme="minorHAnsi" w:eastAsia="Times New Roman" w:hAnsiTheme="minorHAnsi" w:cstheme="minorHAnsi"/>
                <w:b/>
                <w:sz w:val="22"/>
                <w:szCs w:val="20"/>
                <w:lang w:val="en-IN" w:eastAsia="en-IN"/>
              </w:rPr>
              <w:t>1990</w:t>
            </w:r>
          </w:p>
        </w:tc>
        <w:tc>
          <w:tcPr>
            <w:tcW w:w="900" w:type="dxa"/>
            <w:shd w:val="clear" w:color="auto" w:fill="0F243E" w:themeFill="text2" w:themeFillShade="80"/>
            <w:vAlign w:val="bottom"/>
            <w:hideMark/>
          </w:tcPr>
          <w:p w14:paraId="47C525F5" w14:textId="77777777" w:rsidR="00907F4A" w:rsidRPr="003B19CA" w:rsidRDefault="00907F4A" w:rsidP="00261DF4">
            <w:pPr>
              <w:spacing w:before="0" w:after="0"/>
              <w:jc w:val="right"/>
              <w:rPr>
                <w:rFonts w:asciiTheme="minorHAnsi" w:eastAsia="Times New Roman" w:hAnsiTheme="minorHAnsi" w:cstheme="minorHAnsi"/>
                <w:b/>
                <w:sz w:val="22"/>
                <w:szCs w:val="20"/>
                <w:lang w:val="en-IN" w:eastAsia="en-IN"/>
              </w:rPr>
            </w:pPr>
            <w:r w:rsidRPr="003B19CA">
              <w:rPr>
                <w:rFonts w:asciiTheme="minorHAnsi" w:eastAsia="Times New Roman" w:hAnsiTheme="minorHAnsi" w:cstheme="minorHAnsi"/>
                <w:b/>
                <w:sz w:val="22"/>
                <w:szCs w:val="20"/>
                <w:lang w:val="en-IN" w:eastAsia="en-IN"/>
              </w:rPr>
              <w:t>2000</w:t>
            </w:r>
          </w:p>
        </w:tc>
        <w:tc>
          <w:tcPr>
            <w:tcW w:w="1080" w:type="dxa"/>
            <w:shd w:val="clear" w:color="auto" w:fill="0F243E" w:themeFill="text2" w:themeFillShade="80"/>
            <w:vAlign w:val="bottom"/>
            <w:hideMark/>
          </w:tcPr>
          <w:p w14:paraId="714DF2DB" w14:textId="77777777" w:rsidR="00907F4A" w:rsidRPr="003B19CA" w:rsidRDefault="00907F4A" w:rsidP="00261DF4">
            <w:pPr>
              <w:spacing w:before="0" w:after="0"/>
              <w:jc w:val="right"/>
              <w:rPr>
                <w:rFonts w:asciiTheme="minorHAnsi" w:eastAsia="Times New Roman" w:hAnsiTheme="minorHAnsi" w:cstheme="minorHAnsi"/>
                <w:b/>
                <w:sz w:val="22"/>
                <w:szCs w:val="20"/>
                <w:lang w:val="en-IN" w:eastAsia="en-IN"/>
              </w:rPr>
            </w:pPr>
            <w:r w:rsidRPr="003B19CA">
              <w:rPr>
                <w:rFonts w:asciiTheme="minorHAnsi" w:eastAsia="Times New Roman" w:hAnsiTheme="minorHAnsi" w:cstheme="minorHAnsi"/>
                <w:b/>
                <w:sz w:val="22"/>
                <w:szCs w:val="20"/>
                <w:lang w:val="en-IN" w:eastAsia="en-IN"/>
              </w:rPr>
              <w:t>2010</w:t>
            </w:r>
          </w:p>
        </w:tc>
        <w:tc>
          <w:tcPr>
            <w:tcW w:w="1235" w:type="dxa"/>
            <w:shd w:val="clear" w:color="auto" w:fill="0F243E" w:themeFill="text2" w:themeFillShade="80"/>
            <w:vAlign w:val="bottom"/>
            <w:hideMark/>
          </w:tcPr>
          <w:p w14:paraId="566AA701" w14:textId="77777777" w:rsidR="00907F4A" w:rsidRPr="003B19CA" w:rsidRDefault="00907F4A" w:rsidP="00261DF4">
            <w:pPr>
              <w:spacing w:before="0" w:after="0"/>
              <w:jc w:val="right"/>
              <w:rPr>
                <w:rFonts w:asciiTheme="minorHAnsi" w:eastAsia="Times New Roman" w:hAnsiTheme="minorHAnsi" w:cstheme="minorHAnsi"/>
                <w:b/>
                <w:sz w:val="22"/>
                <w:szCs w:val="20"/>
                <w:lang w:val="en-IN" w:eastAsia="en-IN"/>
              </w:rPr>
            </w:pPr>
            <w:r w:rsidRPr="003B19CA">
              <w:rPr>
                <w:rFonts w:asciiTheme="minorHAnsi" w:eastAsia="Times New Roman" w:hAnsiTheme="minorHAnsi" w:cstheme="minorHAnsi"/>
                <w:b/>
                <w:sz w:val="22"/>
                <w:szCs w:val="20"/>
                <w:lang w:val="en-IN" w:eastAsia="en-IN"/>
              </w:rPr>
              <w:t>2018</w:t>
            </w:r>
          </w:p>
        </w:tc>
      </w:tr>
      <w:tr w:rsidR="003B19CA" w:rsidRPr="003B19CA" w14:paraId="6C07E2B3" w14:textId="77777777" w:rsidTr="00BB03B3">
        <w:trPr>
          <w:trHeight w:val="300"/>
        </w:trPr>
        <w:tc>
          <w:tcPr>
            <w:tcW w:w="4885" w:type="dxa"/>
            <w:shd w:val="clear" w:color="auto" w:fill="17365D" w:themeFill="text2" w:themeFillShade="BF"/>
            <w:vAlign w:val="bottom"/>
            <w:hideMark/>
          </w:tcPr>
          <w:p w14:paraId="72FD15E8" w14:textId="77777777" w:rsidR="00907F4A" w:rsidRPr="003B19CA" w:rsidRDefault="00907F4A" w:rsidP="00261DF4">
            <w:pPr>
              <w:spacing w:before="0" w:after="0"/>
              <w:rPr>
                <w:rFonts w:asciiTheme="minorHAnsi" w:eastAsia="Times New Roman" w:hAnsiTheme="minorHAnsi" w:cstheme="minorHAnsi"/>
                <w:b/>
                <w:sz w:val="22"/>
                <w:lang w:val="en-IN" w:eastAsia="en-IN"/>
              </w:rPr>
            </w:pPr>
            <w:r w:rsidRPr="003B19CA">
              <w:rPr>
                <w:rFonts w:asciiTheme="minorHAnsi" w:eastAsia="Times New Roman" w:hAnsiTheme="minorHAnsi" w:cstheme="minorHAnsi"/>
                <w:b/>
                <w:sz w:val="22"/>
                <w:lang w:val="en-IN" w:eastAsia="en-IN"/>
              </w:rPr>
              <w:t>World view</w:t>
            </w:r>
          </w:p>
        </w:tc>
        <w:tc>
          <w:tcPr>
            <w:tcW w:w="900" w:type="dxa"/>
            <w:shd w:val="clear" w:color="auto" w:fill="17365D" w:themeFill="text2" w:themeFillShade="BF"/>
            <w:vAlign w:val="bottom"/>
            <w:hideMark/>
          </w:tcPr>
          <w:p w14:paraId="723E56CB"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900" w:type="dxa"/>
            <w:shd w:val="clear" w:color="auto" w:fill="17365D" w:themeFill="text2" w:themeFillShade="BF"/>
            <w:vAlign w:val="bottom"/>
            <w:hideMark/>
          </w:tcPr>
          <w:p w14:paraId="5C94B124"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1080" w:type="dxa"/>
            <w:shd w:val="clear" w:color="auto" w:fill="17365D" w:themeFill="text2" w:themeFillShade="BF"/>
            <w:vAlign w:val="bottom"/>
            <w:hideMark/>
          </w:tcPr>
          <w:p w14:paraId="4F5C949C"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1235" w:type="dxa"/>
            <w:shd w:val="clear" w:color="auto" w:fill="17365D" w:themeFill="text2" w:themeFillShade="BF"/>
            <w:vAlign w:val="bottom"/>
            <w:hideMark/>
          </w:tcPr>
          <w:p w14:paraId="2DBDF90B"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r>
      <w:tr w:rsidR="003B19CA" w:rsidRPr="003B19CA" w14:paraId="11182BC5" w14:textId="77777777" w:rsidTr="00BB03B3">
        <w:trPr>
          <w:trHeight w:val="70"/>
        </w:trPr>
        <w:tc>
          <w:tcPr>
            <w:tcW w:w="4885" w:type="dxa"/>
            <w:shd w:val="clear" w:color="auto" w:fill="auto"/>
            <w:vAlign w:val="bottom"/>
            <w:hideMark/>
          </w:tcPr>
          <w:p w14:paraId="0590E6B7"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Population, total (millions)</w:t>
            </w:r>
          </w:p>
        </w:tc>
        <w:tc>
          <w:tcPr>
            <w:tcW w:w="900" w:type="dxa"/>
            <w:shd w:val="clear" w:color="auto" w:fill="auto"/>
            <w:vAlign w:val="bottom"/>
            <w:hideMark/>
          </w:tcPr>
          <w:p w14:paraId="22EFAD5C" w14:textId="5FA60EE0" w:rsidR="00907F4A" w:rsidRPr="003B19CA" w:rsidRDefault="009D5999" w:rsidP="009D5999">
            <w:pPr>
              <w:spacing w:before="0" w:after="0"/>
              <w:jc w:val="right"/>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873.3</w:t>
            </w:r>
          </w:p>
        </w:tc>
        <w:tc>
          <w:tcPr>
            <w:tcW w:w="900" w:type="dxa"/>
            <w:shd w:val="clear" w:color="auto" w:fill="auto"/>
            <w:vAlign w:val="bottom"/>
            <w:hideMark/>
          </w:tcPr>
          <w:p w14:paraId="5FDA62B5"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1,056.58</w:t>
            </w:r>
          </w:p>
        </w:tc>
        <w:tc>
          <w:tcPr>
            <w:tcW w:w="1080" w:type="dxa"/>
            <w:shd w:val="clear" w:color="auto" w:fill="auto"/>
            <w:vAlign w:val="bottom"/>
            <w:hideMark/>
          </w:tcPr>
          <w:p w14:paraId="5809B41C"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1,234.28</w:t>
            </w:r>
          </w:p>
        </w:tc>
        <w:tc>
          <w:tcPr>
            <w:tcW w:w="1235" w:type="dxa"/>
            <w:shd w:val="clear" w:color="auto" w:fill="auto"/>
            <w:vAlign w:val="bottom"/>
            <w:hideMark/>
          </w:tcPr>
          <w:p w14:paraId="074F87C4"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1,352.62</w:t>
            </w:r>
          </w:p>
        </w:tc>
      </w:tr>
      <w:tr w:rsidR="009D5999" w:rsidRPr="003B19CA" w14:paraId="24886DE7" w14:textId="77777777" w:rsidTr="00B256BA">
        <w:trPr>
          <w:trHeight w:val="70"/>
        </w:trPr>
        <w:tc>
          <w:tcPr>
            <w:tcW w:w="4885" w:type="dxa"/>
            <w:shd w:val="clear" w:color="auto" w:fill="auto"/>
            <w:vAlign w:val="bottom"/>
          </w:tcPr>
          <w:p w14:paraId="6ED3E681" w14:textId="00957EBF" w:rsidR="009D5999" w:rsidRPr="003B19CA" w:rsidRDefault="009D5999" w:rsidP="009D5999">
            <w:pPr>
              <w:spacing w:before="0" w:after="0"/>
              <w:rPr>
                <w:rFonts w:asciiTheme="minorHAnsi" w:eastAsia="Times New Roman" w:hAnsiTheme="minorHAnsi" w:cstheme="minorHAnsi"/>
                <w:sz w:val="22"/>
                <w:lang w:val="en-IN" w:eastAsia="en-IN"/>
              </w:rPr>
            </w:pPr>
            <w:r w:rsidRPr="00621918">
              <w:rPr>
                <w:rFonts w:asciiTheme="minorHAnsi" w:eastAsia="Times New Roman" w:hAnsiTheme="minorHAnsi" w:cstheme="minorHAnsi"/>
                <w:sz w:val="22"/>
                <w:lang w:val="en-IN" w:eastAsia="en-IN"/>
              </w:rPr>
              <w:t xml:space="preserve">Population, </w:t>
            </w:r>
            <w:r>
              <w:rPr>
                <w:rFonts w:asciiTheme="minorHAnsi" w:eastAsia="Times New Roman" w:hAnsiTheme="minorHAnsi" w:cstheme="minorHAnsi"/>
                <w:sz w:val="22"/>
                <w:lang w:val="en-IN" w:eastAsia="en-IN"/>
              </w:rPr>
              <w:t>male</w:t>
            </w:r>
            <w:r w:rsidRPr="00621918">
              <w:rPr>
                <w:rFonts w:asciiTheme="minorHAnsi" w:eastAsia="Times New Roman" w:hAnsiTheme="minorHAnsi" w:cstheme="minorHAnsi"/>
                <w:sz w:val="22"/>
                <w:lang w:val="en-IN" w:eastAsia="en-IN"/>
              </w:rPr>
              <w:t xml:space="preserve"> (millions)</w:t>
            </w:r>
            <w:r>
              <w:rPr>
                <w:rStyle w:val="FootnoteReference"/>
                <w:rFonts w:eastAsia="Times New Roman" w:cstheme="minorHAnsi"/>
                <w:lang w:val="en-IN" w:eastAsia="en-IN"/>
              </w:rPr>
              <w:footnoteReference w:id="14"/>
            </w:r>
          </w:p>
        </w:tc>
        <w:tc>
          <w:tcPr>
            <w:tcW w:w="900" w:type="dxa"/>
            <w:shd w:val="clear" w:color="auto" w:fill="auto"/>
            <w:vAlign w:val="bottom"/>
          </w:tcPr>
          <w:p w14:paraId="523EDD72" w14:textId="77777777" w:rsidR="009D5999" w:rsidRPr="003B19CA" w:rsidRDefault="009D5999" w:rsidP="00B256BA">
            <w:pPr>
              <w:spacing w:before="0" w:after="0"/>
              <w:jc w:val="right"/>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453.2</w:t>
            </w:r>
          </w:p>
        </w:tc>
        <w:tc>
          <w:tcPr>
            <w:tcW w:w="900" w:type="dxa"/>
            <w:shd w:val="clear" w:color="auto" w:fill="auto"/>
            <w:vAlign w:val="bottom"/>
          </w:tcPr>
          <w:p w14:paraId="50C23E8C" w14:textId="77777777" w:rsidR="009D5999" w:rsidRPr="003B19CA" w:rsidRDefault="009D5999" w:rsidP="00B256BA">
            <w:pPr>
              <w:spacing w:before="0" w:after="0"/>
              <w:jc w:val="right"/>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546.3</w:t>
            </w:r>
          </w:p>
        </w:tc>
        <w:tc>
          <w:tcPr>
            <w:tcW w:w="1080" w:type="dxa"/>
            <w:shd w:val="clear" w:color="auto" w:fill="auto"/>
            <w:vAlign w:val="bottom"/>
          </w:tcPr>
          <w:p w14:paraId="46E65C6C" w14:textId="77777777" w:rsidR="009D5999" w:rsidRPr="003B19CA" w:rsidRDefault="009D5999" w:rsidP="00B256BA">
            <w:pPr>
              <w:spacing w:before="0" w:after="0"/>
              <w:jc w:val="right"/>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635.0</w:t>
            </w:r>
          </w:p>
        </w:tc>
        <w:tc>
          <w:tcPr>
            <w:tcW w:w="1235" w:type="dxa"/>
            <w:shd w:val="clear" w:color="auto" w:fill="auto"/>
            <w:vAlign w:val="bottom"/>
          </w:tcPr>
          <w:p w14:paraId="0E7473BA" w14:textId="77777777" w:rsidR="009D5999" w:rsidRPr="003B19CA" w:rsidRDefault="009D5999" w:rsidP="00B256BA">
            <w:pPr>
              <w:spacing w:before="0" w:after="0"/>
              <w:jc w:val="right"/>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699.2</w:t>
            </w:r>
          </w:p>
        </w:tc>
      </w:tr>
      <w:tr w:rsidR="009D5999" w:rsidRPr="003B19CA" w14:paraId="47047C59" w14:textId="77777777" w:rsidTr="00B256BA">
        <w:trPr>
          <w:trHeight w:val="70"/>
        </w:trPr>
        <w:tc>
          <w:tcPr>
            <w:tcW w:w="4885" w:type="dxa"/>
            <w:shd w:val="clear" w:color="auto" w:fill="auto"/>
            <w:vAlign w:val="bottom"/>
          </w:tcPr>
          <w:p w14:paraId="20ED0DC3" w14:textId="2376B022" w:rsidR="009D5999" w:rsidRPr="003B19CA" w:rsidRDefault="009D5999" w:rsidP="009D5999">
            <w:pPr>
              <w:spacing w:before="0" w:after="0"/>
              <w:rPr>
                <w:rFonts w:asciiTheme="minorHAnsi" w:eastAsia="Times New Roman" w:hAnsiTheme="minorHAnsi" w:cstheme="minorHAnsi"/>
                <w:sz w:val="22"/>
                <w:lang w:val="en-IN" w:eastAsia="en-IN"/>
              </w:rPr>
            </w:pPr>
            <w:r w:rsidRPr="00621918">
              <w:rPr>
                <w:rFonts w:asciiTheme="minorHAnsi" w:eastAsia="Times New Roman" w:hAnsiTheme="minorHAnsi" w:cstheme="minorHAnsi"/>
                <w:sz w:val="22"/>
                <w:lang w:val="en-IN" w:eastAsia="en-IN"/>
              </w:rPr>
              <w:t xml:space="preserve">Population, </w:t>
            </w:r>
            <w:r>
              <w:rPr>
                <w:rFonts w:asciiTheme="minorHAnsi" w:eastAsia="Times New Roman" w:hAnsiTheme="minorHAnsi" w:cstheme="minorHAnsi"/>
                <w:sz w:val="22"/>
                <w:lang w:val="en-IN" w:eastAsia="en-IN"/>
              </w:rPr>
              <w:t>female</w:t>
            </w:r>
            <w:r w:rsidRPr="00621918">
              <w:rPr>
                <w:rFonts w:asciiTheme="minorHAnsi" w:eastAsia="Times New Roman" w:hAnsiTheme="minorHAnsi" w:cstheme="minorHAnsi"/>
                <w:sz w:val="22"/>
                <w:lang w:val="en-IN" w:eastAsia="en-IN"/>
              </w:rPr>
              <w:t xml:space="preserve"> (millions)</w:t>
            </w:r>
          </w:p>
        </w:tc>
        <w:tc>
          <w:tcPr>
            <w:tcW w:w="900" w:type="dxa"/>
            <w:shd w:val="clear" w:color="auto" w:fill="auto"/>
            <w:vAlign w:val="bottom"/>
          </w:tcPr>
          <w:p w14:paraId="4135B952" w14:textId="77777777" w:rsidR="009D5999" w:rsidRPr="003B19CA" w:rsidRDefault="009D5999" w:rsidP="00B256BA">
            <w:pPr>
              <w:spacing w:before="0" w:after="0"/>
              <w:jc w:val="right"/>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420.1</w:t>
            </w:r>
          </w:p>
        </w:tc>
        <w:tc>
          <w:tcPr>
            <w:tcW w:w="900" w:type="dxa"/>
            <w:shd w:val="clear" w:color="auto" w:fill="auto"/>
            <w:vAlign w:val="bottom"/>
          </w:tcPr>
          <w:p w14:paraId="45136391" w14:textId="77777777" w:rsidR="009D5999" w:rsidRPr="003B19CA" w:rsidRDefault="009D5999" w:rsidP="00B256BA">
            <w:pPr>
              <w:spacing w:before="0" w:after="0"/>
              <w:jc w:val="right"/>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509.3</w:t>
            </w:r>
          </w:p>
        </w:tc>
        <w:tc>
          <w:tcPr>
            <w:tcW w:w="1080" w:type="dxa"/>
            <w:shd w:val="clear" w:color="auto" w:fill="auto"/>
            <w:vAlign w:val="bottom"/>
          </w:tcPr>
          <w:p w14:paraId="13DF9748" w14:textId="77777777" w:rsidR="009D5999" w:rsidRPr="003B19CA" w:rsidRDefault="009D5999" w:rsidP="00B256BA">
            <w:pPr>
              <w:spacing w:before="0" w:after="0"/>
              <w:jc w:val="right"/>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598.3</w:t>
            </w:r>
          </w:p>
        </w:tc>
        <w:tc>
          <w:tcPr>
            <w:tcW w:w="1235" w:type="dxa"/>
            <w:shd w:val="clear" w:color="auto" w:fill="auto"/>
            <w:vAlign w:val="bottom"/>
          </w:tcPr>
          <w:p w14:paraId="03BB6453" w14:textId="77777777" w:rsidR="009D5999" w:rsidRPr="003B19CA" w:rsidRDefault="009D5999" w:rsidP="00B256BA">
            <w:pPr>
              <w:spacing w:before="0" w:after="0"/>
              <w:jc w:val="right"/>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653.4</w:t>
            </w:r>
          </w:p>
        </w:tc>
      </w:tr>
      <w:tr w:rsidR="003B19CA" w:rsidRPr="003B19CA" w14:paraId="65EE6B46" w14:textId="77777777" w:rsidTr="00BB03B3">
        <w:trPr>
          <w:trHeight w:val="70"/>
        </w:trPr>
        <w:tc>
          <w:tcPr>
            <w:tcW w:w="4885" w:type="dxa"/>
            <w:shd w:val="clear" w:color="auto" w:fill="auto"/>
            <w:vAlign w:val="bottom"/>
            <w:hideMark/>
          </w:tcPr>
          <w:p w14:paraId="6753D591"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Population growth (annual %)</w:t>
            </w:r>
          </w:p>
        </w:tc>
        <w:tc>
          <w:tcPr>
            <w:tcW w:w="900" w:type="dxa"/>
            <w:shd w:val="clear" w:color="auto" w:fill="auto"/>
            <w:vAlign w:val="bottom"/>
            <w:hideMark/>
          </w:tcPr>
          <w:p w14:paraId="163513F0"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2.1</w:t>
            </w:r>
          </w:p>
        </w:tc>
        <w:tc>
          <w:tcPr>
            <w:tcW w:w="900" w:type="dxa"/>
            <w:shd w:val="clear" w:color="auto" w:fill="auto"/>
            <w:vAlign w:val="bottom"/>
            <w:hideMark/>
          </w:tcPr>
          <w:p w14:paraId="0D4AA61F"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1.8</w:t>
            </w:r>
          </w:p>
        </w:tc>
        <w:tc>
          <w:tcPr>
            <w:tcW w:w="1080" w:type="dxa"/>
            <w:shd w:val="clear" w:color="auto" w:fill="auto"/>
            <w:vAlign w:val="bottom"/>
            <w:hideMark/>
          </w:tcPr>
          <w:p w14:paraId="03D3B521"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1.4</w:t>
            </w:r>
          </w:p>
        </w:tc>
        <w:tc>
          <w:tcPr>
            <w:tcW w:w="1235" w:type="dxa"/>
            <w:shd w:val="clear" w:color="auto" w:fill="auto"/>
            <w:vAlign w:val="bottom"/>
            <w:hideMark/>
          </w:tcPr>
          <w:p w14:paraId="6BD85980"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w:t>
            </w:r>
          </w:p>
        </w:tc>
      </w:tr>
      <w:tr w:rsidR="003B19CA" w:rsidRPr="003B19CA" w14:paraId="16425D9A" w14:textId="77777777" w:rsidTr="00BB03B3">
        <w:trPr>
          <w:trHeight w:val="300"/>
        </w:trPr>
        <w:tc>
          <w:tcPr>
            <w:tcW w:w="4885" w:type="dxa"/>
            <w:shd w:val="clear" w:color="auto" w:fill="auto"/>
            <w:vAlign w:val="bottom"/>
            <w:hideMark/>
          </w:tcPr>
          <w:p w14:paraId="64441264"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Population density (people per sq. km of land area)</w:t>
            </w:r>
          </w:p>
        </w:tc>
        <w:tc>
          <w:tcPr>
            <w:tcW w:w="900" w:type="dxa"/>
            <w:shd w:val="clear" w:color="auto" w:fill="auto"/>
            <w:vAlign w:val="bottom"/>
            <w:hideMark/>
          </w:tcPr>
          <w:p w14:paraId="22828376"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293.7</w:t>
            </w:r>
          </w:p>
        </w:tc>
        <w:tc>
          <w:tcPr>
            <w:tcW w:w="900" w:type="dxa"/>
            <w:shd w:val="clear" w:color="auto" w:fill="auto"/>
            <w:vAlign w:val="bottom"/>
            <w:hideMark/>
          </w:tcPr>
          <w:p w14:paraId="03FA0662"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355.4</w:t>
            </w:r>
          </w:p>
        </w:tc>
        <w:tc>
          <w:tcPr>
            <w:tcW w:w="1080" w:type="dxa"/>
            <w:shd w:val="clear" w:color="auto" w:fill="auto"/>
            <w:vAlign w:val="bottom"/>
            <w:hideMark/>
          </w:tcPr>
          <w:p w14:paraId="29D3A024"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415.1</w:t>
            </w:r>
          </w:p>
        </w:tc>
        <w:tc>
          <w:tcPr>
            <w:tcW w:w="1235" w:type="dxa"/>
            <w:shd w:val="clear" w:color="auto" w:fill="auto"/>
            <w:vAlign w:val="bottom"/>
            <w:hideMark/>
          </w:tcPr>
          <w:p w14:paraId="36B343F2"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454.9</w:t>
            </w:r>
          </w:p>
        </w:tc>
      </w:tr>
      <w:tr w:rsidR="003B19CA" w:rsidRPr="003B19CA" w14:paraId="3B6C0F1C" w14:textId="77777777" w:rsidTr="00BB03B3">
        <w:trPr>
          <w:trHeight w:val="300"/>
        </w:trPr>
        <w:tc>
          <w:tcPr>
            <w:tcW w:w="4885" w:type="dxa"/>
            <w:shd w:val="clear" w:color="auto" w:fill="auto"/>
            <w:vAlign w:val="bottom"/>
            <w:hideMark/>
          </w:tcPr>
          <w:p w14:paraId="0B0DA9C0"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Poverty headcount ratio at national poverty lines (% of population)</w:t>
            </w:r>
          </w:p>
        </w:tc>
        <w:tc>
          <w:tcPr>
            <w:tcW w:w="900" w:type="dxa"/>
            <w:shd w:val="clear" w:color="auto" w:fill="auto"/>
            <w:vAlign w:val="bottom"/>
            <w:hideMark/>
          </w:tcPr>
          <w:p w14:paraId="2635E532"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45.3</w:t>
            </w:r>
          </w:p>
        </w:tc>
        <w:tc>
          <w:tcPr>
            <w:tcW w:w="900" w:type="dxa"/>
            <w:shd w:val="clear" w:color="auto" w:fill="auto"/>
            <w:vAlign w:val="bottom"/>
            <w:hideMark/>
          </w:tcPr>
          <w:p w14:paraId="7CA67CB6" w14:textId="359B856E" w:rsidR="00907F4A" w:rsidRPr="003B19CA" w:rsidRDefault="00B77B28" w:rsidP="00220B3B">
            <w:pPr>
              <w:spacing w:before="0" w:after="0"/>
              <w:jc w:val="center"/>
              <w:rPr>
                <w:rFonts w:asciiTheme="minorHAnsi" w:eastAsia="Times New Roman" w:hAnsiTheme="minorHAnsi" w:cstheme="minorHAnsi"/>
                <w:szCs w:val="20"/>
                <w:lang w:val="en-IN" w:eastAsia="en-IN"/>
              </w:rPr>
            </w:pPr>
            <w:r>
              <w:rPr>
                <w:rFonts w:asciiTheme="minorHAnsi" w:eastAsia="Times New Roman" w:hAnsiTheme="minorHAnsi" w:cstheme="minorHAnsi"/>
                <w:szCs w:val="20"/>
                <w:lang w:val="en-IN" w:eastAsia="en-IN"/>
              </w:rPr>
              <w:t>NA</w:t>
            </w:r>
          </w:p>
        </w:tc>
        <w:tc>
          <w:tcPr>
            <w:tcW w:w="1080" w:type="dxa"/>
            <w:shd w:val="clear" w:color="auto" w:fill="auto"/>
            <w:vAlign w:val="bottom"/>
            <w:hideMark/>
          </w:tcPr>
          <w:p w14:paraId="1A0B523F"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21.9</w:t>
            </w:r>
          </w:p>
        </w:tc>
        <w:tc>
          <w:tcPr>
            <w:tcW w:w="1235" w:type="dxa"/>
            <w:shd w:val="clear" w:color="auto" w:fill="auto"/>
            <w:vAlign w:val="bottom"/>
            <w:hideMark/>
          </w:tcPr>
          <w:p w14:paraId="3F5F05BE" w14:textId="2847026D" w:rsidR="00907F4A" w:rsidRPr="003B19CA" w:rsidRDefault="00220B3B" w:rsidP="00220B3B">
            <w:pPr>
              <w:spacing w:before="0" w:after="0"/>
              <w:jc w:val="center"/>
              <w:rPr>
                <w:rFonts w:asciiTheme="minorHAnsi" w:eastAsia="Times New Roman" w:hAnsiTheme="minorHAnsi" w:cstheme="minorHAnsi"/>
                <w:szCs w:val="20"/>
                <w:lang w:val="en-IN" w:eastAsia="en-IN"/>
              </w:rPr>
            </w:pPr>
            <w:r w:rsidRPr="00220B3B">
              <w:rPr>
                <w:rFonts w:asciiTheme="minorHAnsi" w:eastAsia="Times New Roman" w:hAnsiTheme="minorHAnsi" w:cstheme="minorHAnsi"/>
                <w:szCs w:val="20"/>
                <w:lang w:val="en-IN" w:eastAsia="en-IN"/>
              </w:rPr>
              <w:t>NA</w:t>
            </w:r>
          </w:p>
        </w:tc>
      </w:tr>
      <w:tr w:rsidR="003B19CA" w:rsidRPr="003B19CA" w14:paraId="50ACF41F" w14:textId="77777777" w:rsidTr="00BB03B3">
        <w:trPr>
          <w:trHeight w:val="70"/>
        </w:trPr>
        <w:tc>
          <w:tcPr>
            <w:tcW w:w="4885" w:type="dxa"/>
            <w:shd w:val="clear" w:color="auto" w:fill="auto"/>
            <w:vAlign w:val="bottom"/>
            <w:hideMark/>
          </w:tcPr>
          <w:p w14:paraId="346A35D6"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lastRenderedPageBreak/>
              <w:t>GNI, Atlas method (current US$) (billions)</w:t>
            </w:r>
          </w:p>
        </w:tc>
        <w:tc>
          <w:tcPr>
            <w:tcW w:w="900" w:type="dxa"/>
            <w:shd w:val="clear" w:color="auto" w:fill="auto"/>
            <w:vAlign w:val="bottom"/>
            <w:hideMark/>
          </w:tcPr>
          <w:p w14:paraId="69A02469"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334.59</w:t>
            </w:r>
          </w:p>
        </w:tc>
        <w:tc>
          <w:tcPr>
            <w:tcW w:w="900" w:type="dxa"/>
            <w:shd w:val="clear" w:color="auto" w:fill="auto"/>
            <w:vAlign w:val="bottom"/>
            <w:hideMark/>
          </w:tcPr>
          <w:p w14:paraId="3FA1CFE6"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467.08</w:t>
            </w:r>
          </w:p>
        </w:tc>
        <w:tc>
          <w:tcPr>
            <w:tcW w:w="1080" w:type="dxa"/>
            <w:shd w:val="clear" w:color="auto" w:fill="auto"/>
            <w:vAlign w:val="bottom"/>
            <w:hideMark/>
          </w:tcPr>
          <w:p w14:paraId="3DB178C8"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1,505.74</w:t>
            </w:r>
          </w:p>
        </w:tc>
        <w:tc>
          <w:tcPr>
            <w:tcW w:w="1235" w:type="dxa"/>
            <w:shd w:val="clear" w:color="auto" w:fill="auto"/>
            <w:vAlign w:val="bottom"/>
            <w:hideMark/>
          </w:tcPr>
          <w:p w14:paraId="5C735C68"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2,727.89</w:t>
            </w:r>
          </w:p>
        </w:tc>
      </w:tr>
      <w:tr w:rsidR="003B19CA" w:rsidRPr="003B19CA" w14:paraId="04421D49" w14:textId="77777777" w:rsidTr="00BB03B3">
        <w:trPr>
          <w:trHeight w:val="300"/>
        </w:trPr>
        <w:tc>
          <w:tcPr>
            <w:tcW w:w="4885" w:type="dxa"/>
            <w:shd w:val="clear" w:color="auto" w:fill="auto"/>
            <w:vAlign w:val="bottom"/>
            <w:hideMark/>
          </w:tcPr>
          <w:p w14:paraId="161E2A26"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GNI per capita, Atlas method (current US$)</w:t>
            </w:r>
          </w:p>
        </w:tc>
        <w:tc>
          <w:tcPr>
            <w:tcW w:w="900" w:type="dxa"/>
            <w:shd w:val="clear" w:color="auto" w:fill="auto"/>
            <w:vAlign w:val="bottom"/>
            <w:hideMark/>
          </w:tcPr>
          <w:p w14:paraId="1E43A1F7"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380</w:t>
            </w:r>
          </w:p>
        </w:tc>
        <w:tc>
          <w:tcPr>
            <w:tcW w:w="900" w:type="dxa"/>
            <w:shd w:val="clear" w:color="auto" w:fill="auto"/>
            <w:vAlign w:val="bottom"/>
            <w:hideMark/>
          </w:tcPr>
          <w:p w14:paraId="23A93003"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440</w:t>
            </w:r>
          </w:p>
        </w:tc>
        <w:tc>
          <w:tcPr>
            <w:tcW w:w="1080" w:type="dxa"/>
            <w:shd w:val="clear" w:color="auto" w:fill="auto"/>
            <w:vAlign w:val="bottom"/>
            <w:hideMark/>
          </w:tcPr>
          <w:p w14:paraId="2CA3AE2B"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1,220</w:t>
            </w:r>
          </w:p>
        </w:tc>
        <w:tc>
          <w:tcPr>
            <w:tcW w:w="1235" w:type="dxa"/>
            <w:shd w:val="clear" w:color="auto" w:fill="auto"/>
            <w:vAlign w:val="bottom"/>
            <w:hideMark/>
          </w:tcPr>
          <w:p w14:paraId="1E5D819D"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2,020</w:t>
            </w:r>
          </w:p>
        </w:tc>
      </w:tr>
      <w:tr w:rsidR="003B19CA" w:rsidRPr="003B19CA" w14:paraId="70473056" w14:textId="77777777" w:rsidTr="00BB03B3">
        <w:trPr>
          <w:trHeight w:val="70"/>
        </w:trPr>
        <w:tc>
          <w:tcPr>
            <w:tcW w:w="4885" w:type="dxa"/>
            <w:shd w:val="clear" w:color="auto" w:fill="auto"/>
            <w:vAlign w:val="bottom"/>
            <w:hideMark/>
          </w:tcPr>
          <w:p w14:paraId="776A244D"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GNI, PPP (current international $) (billions)</w:t>
            </w:r>
          </w:p>
        </w:tc>
        <w:tc>
          <w:tcPr>
            <w:tcW w:w="900" w:type="dxa"/>
            <w:shd w:val="clear" w:color="auto" w:fill="auto"/>
            <w:vAlign w:val="bottom"/>
            <w:hideMark/>
          </w:tcPr>
          <w:p w14:paraId="3DFF9350"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1,065.81</w:t>
            </w:r>
          </w:p>
        </w:tc>
        <w:tc>
          <w:tcPr>
            <w:tcW w:w="900" w:type="dxa"/>
            <w:shd w:val="clear" w:color="auto" w:fill="auto"/>
            <w:vAlign w:val="bottom"/>
            <w:hideMark/>
          </w:tcPr>
          <w:p w14:paraId="10C328ED"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2,254.50</w:t>
            </w:r>
          </w:p>
        </w:tc>
        <w:tc>
          <w:tcPr>
            <w:tcW w:w="1080" w:type="dxa"/>
            <w:shd w:val="clear" w:color="auto" w:fill="auto"/>
            <w:vAlign w:val="bottom"/>
            <w:hideMark/>
          </w:tcPr>
          <w:p w14:paraId="2A05BCCD"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5,323.99</w:t>
            </w:r>
          </w:p>
        </w:tc>
        <w:tc>
          <w:tcPr>
            <w:tcW w:w="1235" w:type="dxa"/>
            <w:shd w:val="clear" w:color="auto" w:fill="auto"/>
            <w:vAlign w:val="bottom"/>
            <w:hideMark/>
          </w:tcPr>
          <w:p w14:paraId="3928E0DC"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10,393.26</w:t>
            </w:r>
          </w:p>
        </w:tc>
      </w:tr>
      <w:tr w:rsidR="003B19CA" w:rsidRPr="003B19CA" w14:paraId="20E738EE" w14:textId="77777777" w:rsidTr="00BB03B3">
        <w:trPr>
          <w:trHeight w:val="300"/>
        </w:trPr>
        <w:tc>
          <w:tcPr>
            <w:tcW w:w="4885" w:type="dxa"/>
            <w:shd w:val="clear" w:color="auto" w:fill="auto"/>
            <w:vAlign w:val="bottom"/>
            <w:hideMark/>
          </w:tcPr>
          <w:p w14:paraId="761639F7"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GNI per capita, PPP (current international $)</w:t>
            </w:r>
          </w:p>
        </w:tc>
        <w:tc>
          <w:tcPr>
            <w:tcW w:w="900" w:type="dxa"/>
            <w:shd w:val="clear" w:color="auto" w:fill="auto"/>
            <w:vAlign w:val="bottom"/>
            <w:hideMark/>
          </w:tcPr>
          <w:p w14:paraId="4DBABA22"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1,220</w:t>
            </w:r>
          </w:p>
        </w:tc>
        <w:tc>
          <w:tcPr>
            <w:tcW w:w="900" w:type="dxa"/>
            <w:shd w:val="clear" w:color="auto" w:fill="auto"/>
            <w:vAlign w:val="bottom"/>
            <w:hideMark/>
          </w:tcPr>
          <w:p w14:paraId="0F837881"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2,130</w:t>
            </w:r>
          </w:p>
        </w:tc>
        <w:tc>
          <w:tcPr>
            <w:tcW w:w="1080" w:type="dxa"/>
            <w:shd w:val="clear" w:color="auto" w:fill="auto"/>
            <w:vAlign w:val="bottom"/>
            <w:hideMark/>
          </w:tcPr>
          <w:p w14:paraId="41B2B1A6"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4,310</w:t>
            </w:r>
          </w:p>
        </w:tc>
        <w:tc>
          <w:tcPr>
            <w:tcW w:w="1235" w:type="dxa"/>
            <w:shd w:val="clear" w:color="auto" w:fill="auto"/>
            <w:vAlign w:val="bottom"/>
            <w:hideMark/>
          </w:tcPr>
          <w:p w14:paraId="7F55FD66"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7,680</w:t>
            </w:r>
          </w:p>
        </w:tc>
      </w:tr>
      <w:tr w:rsidR="003B19CA" w:rsidRPr="003B19CA" w14:paraId="2803C854" w14:textId="77777777" w:rsidTr="00BB03B3">
        <w:trPr>
          <w:trHeight w:val="300"/>
        </w:trPr>
        <w:tc>
          <w:tcPr>
            <w:tcW w:w="4885" w:type="dxa"/>
            <w:shd w:val="clear" w:color="auto" w:fill="17365D" w:themeFill="text2" w:themeFillShade="BF"/>
            <w:vAlign w:val="bottom"/>
            <w:hideMark/>
          </w:tcPr>
          <w:p w14:paraId="617FB423" w14:textId="77777777" w:rsidR="00907F4A" w:rsidRPr="003B19CA" w:rsidRDefault="00907F4A" w:rsidP="00261DF4">
            <w:pPr>
              <w:spacing w:before="0" w:after="0"/>
              <w:rPr>
                <w:rFonts w:asciiTheme="minorHAnsi" w:eastAsia="Times New Roman" w:hAnsiTheme="minorHAnsi" w:cstheme="minorHAnsi"/>
                <w:b/>
                <w:sz w:val="22"/>
                <w:lang w:val="en-IN" w:eastAsia="en-IN"/>
              </w:rPr>
            </w:pPr>
            <w:r w:rsidRPr="003B19CA">
              <w:rPr>
                <w:rFonts w:asciiTheme="minorHAnsi" w:eastAsia="Times New Roman" w:hAnsiTheme="minorHAnsi" w:cstheme="minorHAnsi"/>
                <w:b/>
                <w:sz w:val="22"/>
                <w:lang w:val="en-IN" w:eastAsia="en-IN"/>
              </w:rPr>
              <w:t>People</w:t>
            </w:r>
          </w:p>
        </w:tc>
        <w:tc>
          <w:tcPr>
            <w:tcW w:w="900" w:type="dxa"/>
            <w:shd w:val="clear" w:color="auto" w:fill="17365D" w:themeFill="text2" w:themeFillShade="BF"/>
            <w:vAlign w:val="bottom"/>
            <w:hideMark/>
          </w:tcPr>
          <w:p w14:paraId="7B2E8CF6"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900" w:type="dxa"/>
            <w:shd w:val="clear" w:color="auto" w:fill="17365D" w:themeFill="text2" w:themeFillShade="BF"/>
            <w:vAlign w:val="bottom"/>
            <w:hideMark/>
          </w:tcPr>
          <w:p w14:paraId="43E2A8EF"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1080" w:type="dxa"/>
            <w:shd w:val="clear" w:color="auto" w:fill="17365D" w:themeFill="text2" w:themeFillShade="BF"/>
            <w:vAlign w:val="bottom"/>
            <w:hideMark/>
          </w:tcPr>
          <w:p w14:paraId="6977C47E"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1235" w:type="dxa"/>
            <w:shd w:val="clear" w:color="auto" w:fill="17365D" w:themeFill="text2" w:themeFillShade="BF"/>
            <w:vAlign w:val="bottom"/>
            <w:hideMark/>
          </w:tcPr>
          <w:p w14:paraId="32BA16A7"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r>
      <w:tr w:rsidR="003B19CA" w:rsidRPr="003B19CA" w14:paraId="29AC082D" w14:textId="77777777" w:rsidTr="00BB03B3">
        <w:trPr>
          <w:trHeight w:val="70"/>
        </w:trPr>
        <w:tc>
          <w:tcPr>
            <w:tcW w:w="4885" w:type="dxa"/>
            <w:shd w:val="clear" w:color="auto" w:fill="auto"/>
            <w:vAlign w:val="bottom"/>
            <w:hideMark/>
          </w:tcPr>
          <w:p w14:paraId="1CD15A93"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Life expectancy at birth, total (years)</w:t>
            </w:r>
          </w:p>
        </w:tc>
        <w:tc>
          <w:tcPr>
            <w:tcW w:w="900" w:type="dxa"/>
            <w:shd w:val="clear" w:color="auto" w:fill="auto"/>
            <w:vAlign w:val="bottom"/>
            <w:hideMark/>
          </w:tcPr>
          <w:p w14:paraId="268C83CF"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58</w:t>
            </w:r>
          </w:p>
        </w:tc>
        <w:tc>
          <w:tcPr>
            <w:tcW w:w="900" w:type="dxa"/>
            <w:shd w:val="clear" w:color="auto" w:fill="auto"/>
            <w:vAlign w:val="bottom"/>
            <w:hideMark/>
          </w:tcPr>
          <w:p w14:paraId="77A95DD5"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63</w:t>
            </w:r>
          </w:p>
        </w:tc>
        <w:tc>
          <w:tcPr>
            <w:tcW w:w="1080" w:type="dxa"/>
            <w:shd w:val="clear" w:color="auto" w:fill="auto"/>
            <w:vAlign w:val="bottom"/>
            <w:hideMark/>
          </w:tcPr>
          <w:p w14:paraId="3781B914"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67</w:t>
            </w:r>
          </w:p>
        </w:tc>
        <w:tc>
          <w:tcPr>
            <w:tcW w:w="1235" w:type="dxa"/>
            <w:shd w:val="clear" w:color="auto" w:fill="auto"/>
            <w:vAlign w:val="bottom"/>
            <w:hideMark/>
          </w:tcPr>
          <w:p w14:paraId="06A6021F"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69</w:t>
            </w:r>
          </w:p>
        </w:tc>
      </w:tr>
      <w:tr w:rsidR="003B19CA" w:rsidRPr="003B19CA" w14:paraId="1A9D96ED" w14:textId="77777777" w:rsidTr="00BB03B3">
        <w:trPr>
          <w:trHeight w:val="70"/>
        </w:trPr>
        <w:tc>
          <w:tcPr>
            <w:tcW w:w="4885" w:type="dxa"/>
            <w:shd w:val="clear" w:color="auto" w:fill="auto"/>
            <w:vAlign w:val="bottom"/>
            <w:hideMark/>
          </w:tcPr>
          <w:p w14:paraId="47C26091"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Fertility rate, total (births per woman)</w:t>
            </w:r>
          </w:p>
        </w:tc>
        <w:tc>
          <w:tcPr>
            <w:tcW w:w="900" w:type="dxa"/>
            <w:shd w:val="clear" w:color="auto" w:fill="auto"/>
            <w:vAlign w:val="bottom"/>
            <w:hideMark/>
          </w:tcPr>
          <w:p w14:paraId="06FF79B0"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w:t>
            </w:r>
          </w:p>
        </w:tc>
        <w:tc>
          <w:tcPr>
            <w:tcW w:w="900" w:type="dxa"/>
            <w:shd w:val="clear" w:color="auto" w:fill="auto"/>
            <w:vAlign w:val="bottom"/>
            <w:hideMark/>
          </w:tcPr>
          <w:p w14:paraId="11EC14B4"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3.3</w:t>
            </w:r>
          </w:p>
        </w:tc>
        <w:tc>
          <w:tcPr>
            <w:tcW w:w="1080" w:type="dxa"/>
            <w:shd w:val="clear" w:color="auto" w:fill="auto"/>
            <w:vAlign w:val="bottom"/>
            <w:hideMark/>
          </w:tcPr>
          <w:p w14:paraId="28E306F9"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2.6</w:t>
            </w:r>
          </w:p>
        </w:tc>
        <w:tc>
          <w:tcPr>
            <w:tcW w:w="1235" w:type="dxa"/>
            <w:shd w:val="clear" w:color="auto" w:fill="auto"/>
            <w:vAlign w:val="bottom"/>
            <w:hideMark/>
          </w:tcPr>
          <w:p w14:paraId="288F402C"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2.2</w:t>
            </w:r>
          </w:p>
        </w:tc>
      </w:tr>
      <w:tr w:rsidR="003B19CA" w:rsidRPr="003B19CA" w14:paraId="72CB4FB3" w14:textId="77777777" w:rsidTr="00BB03B3">
        <w:trPr>
          <w:trHeight w:val="300"/>
        </w:trPr>
        <w:tc>
          <w:tcPr>
            <w:tcW w:w="4885" w:type="dxa"/>
            <w:shd w:val="clear" w:color="auto" w:fill="auto"/>
            <w:vAlign w:val="bottom"/>
            <w:hideMark/>
          </w:tcPr>
          <w:p w14:paraId="017652E8"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Mortality rate, under-5 (per 1,000 live births)</w:t>
            </w:r>
          </w:p>
        </w:tc>
        <w:tc>
          <w:tcPr>
            <w:tcW w:w="900" w:type="dxa"/>
            <w:shd w:val="clear" w:color="auto" w:fill="auto"/>
            <w:vAlign w:val="bottom"/>
            <w:hideMark/>
          </w:tcPr>
          <w:p w14:paraId="33574B93"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126</w:t>
            </w:r>
          </w:p>
        </w:tc>
        <w:tc>
          <w:tcPr>
            <w:tcW w:w="900" w:type="dxa"/>
            <w:shd w:val="clear" w:color="auto" w:fill="auto"/>
            <w:vAlign w:val="bottom"/>
            <w:hideMark/>
          </w:tcPr>
          <w:p w14:paraId="36FB1035"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92</w:t>
            </w:r>
          </w:p>
        </w:tc>
        <w:tc>
          <w:tcPr>
            <w:tcW w:w="1080" w:type="dxa"/>
            <w:shd w:val="clear" w:color="auto" w:fill="auto"/>
            <w:vAlign w:val="bottom"/>
            <w:hideMark/>
          </w:tcPr>
          <w:p w14:paraId="58A9A35F"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58</w:t>
            </w:r>
          </w:p>
        </w:tc>
        <w:tc>
          <w:tcPr>
            <w:tcW w:w="1235" w:type="dxa"/>
            <w:shd w:val="clear" w:color="auto" w:fill="auto"/>
            <w:vAlign w:val="bottom"/>
            <w:hideMark/>
          </w:tcPr>
          <w:p w14:paraId="7EED5B0F"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37</w:t>
            </w:r>
          </w:p>
        </w:tc>
      </w:tr>
      <w:tr w:rsidR="003B19CA" w:rsidRPr="003B19CA" w14:paraId="0FCE5333" w14:textId="77777777" w:rsidTr="00220B3B">
        <w:trPr>
          <w:trHeight w:val="300"/>
        </w:trPr>
        <w:tc>
          <w:tcPr>
            <w:tcW w:w="4885" w:type="dxa"/>
            <w:shd w:val="clear" w:color="auto" w:fill="auto"/>
            <w:vAlign w:val="bottom"/>
            <w:hideMark/>
          </w:tcPr>
          <w:p w14:paraId="7CBD6C9A"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Prevalence of underweight, weight for age (% of children under 5)</w:t>
            </w:r>
          </w:p>
        </w:tc>
        <w:tc>
          <w:tcPr>
            <w:tcW w:w="900" w:type="dxa"/>
            <w:shd w:val="clear" w:color="auto" w:fill="auto"/>
            <w:vAlign w:val="bottom"/>
            <w:hideMark/>
          </w:tcPr>
          <w:p w14:paraId="09FC436A"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55.5</w:t>
            </w:r>
          </w:p>
        </w:tc>
        <w:tc>
          <w:tcPr>
            <w:tcW w:w="900" w:type="dxa"/>
            <w:shd w:val="clear" w:color="auto" w:fill="auto"/>
            <w:vAlign w:val="bottom"/>
            <w:hideMark/>
          </w:tcPr>
          <w:p w14:paraId="2DB2E98A"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46.3</w:t>
            </w:r>
          </w:p>
        </w:tc>
        <w:tc>
          <w:tcPr>
            <w:tcW w:w="1080" w:type="dxa"/>
            <w:shd w:val="clear" w:color="auto" w:fill="auto"/>
            <w:vAlign w:val="bottom"/>
          </w:tcPr>
          <w:p w14:paraId="43B6172B" w14:textId="201461FA" w:rsidR="00907F4A" w:rsidRPr="00B77B28" w:rsidRDefault="00B77B28" w:rsidP="00220B3B">
            <w:pPr>
              <w:spacing w:before="0" w:after="0"/>
              <w:jc w:val="center"/>
              <w:rPr>
                <w:rFonts w:asciiTheme="minorHAnsi" w:eastAsia="Times New Roman" w:hAnsiTheme="minorHAnsi" w:cstheme="minorHAnsi"/>
                <w:szCs w:val="20"/>
                <w:highlight w:val="yellow"/>
                <w:lang w:val="en-IN" w:eastAsia="en-IN"/>
              </w:rPr>
            </w:pPr>
            <w:r w:rsidRPr="00220B3B">
              <w:rPr>
                <w:rFonts w:asciiTheme="minorHAnsi" w:eastAsia="Times New Roman" w:hAnsiTheme="minorHAnsi" w:cstheme="minorHAnsi"/>
                <w:szCs w:val="20"/>
                <w:lang w:val="en-IN" w:eastAsia="en-IN"/>
              </w:rPr>
              <w:t>NA</w:t>
            </w:r>
          </w:p>
        </w:tc>
        <w:tc>
          <w:tcPr>
            <w:tcW w:w="1235" w:type="dxa"/>
            <w:shd w:val="clear" w:color="auto" w:fill="auto"/>
            <w:vAlign w:val="bottom"/>
            <w:hideMark/>
          </w:tcPr>
          <w:p w14:paraId="3BA3A3C3"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33.4</w:t>
            </w:r>
          </w:p>
        </w:tc>
      </w:tr>
      <w:tr w:rsidR="003B19CA" w:rsidRPr="003B19CA" w14:paraId="27F63362" w14:textId="77777777" w:rsidTr="00BB03B3">
        <w:trPr>
          <w:trHeight w:val="70"/>
        </w:trPr>
        <w:tc>
          <w:tcPr>
            <w:tcW w:w="4885" w:type="dxa"/>
            <w:shd w:val="clear" w:color="auto" w:fill="17365D" w:themeFill="text2" w:themeFillShade="BF"/>
            <w:vAlign w:val="bottom"/>
            <w:hideMark/>
          </w:tcPr>
          <w:p w14:paraId="407C3D60" w14:textId="77777777" w:rsidR="00907F4A" w:rsidRPr="003B19CA" w:rsidRDefault="00907F4A" w:rsidP="00261DF4">
            <w:pPr>
              <w:spacing w:before="0" w:after="0"/>
              <w:rPr>
                <w:rFonts w:asciiTheme="minorHAnsi" w:eastAsia="Times New Roman" w:hAnsiTheme="minorHAnsi" w:cstheme="minorHAnsi"/>
                <w:b/>
                <w:sz w:val="22"/>
                <w:lang w:val="en-IN" w:eastAsia="en-IN"/>
              </w:rPr>
            </w:pPr>
            <w:r w:rsidRPr="003B19CA">
              <w:rPr>
                <w:rFonts w:asciiTheme="minorHAnsi" w:eastAsia="Times New Roman" w:hAnsiTheme="minorHAnsi" w:cstheme="minorHAnsi"/>
                <w:b/>
                <w:sz w:val="22"/>
                <w:lang w:val="en-IN" w:eastAsia="en-IN"/>
              </w:rPr>
              <w:t>Environment</w:t>
            </w:r>
          </w:p>
        </w:tc>
        <w:tc>
          <w:tcPr>
            <w:tcW w:w="900" w:type="dxa"/>
            <w:shd w:val="clear" w:color="auto" w:fill="17365D" w:themeFill="text2" w:themeFillShade="BF"/>
            <w:vAlign w:val="bottom"/>
            <w:hideMark/>
          </w:tcPr>
          <w:p w14:paraId="794B68A2"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900" w:type="dxa"/>
            <w:shd w:val="clear" w:color="auto" w:fill="17365D" w:themeFill="text2" w:themeFillShade="BF"/>
            <w:vAlign w:val="bottom"/>
            <w:hideMark/>
          </w:tcPr>
          <w:p w14:paraId="5CFA0A1B"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1080" w:type="dxa"/>
            <w:shd w:val="clear" w:color="auto" w:fill="17365D" w:themeFill="text2" w:themeFillShade="BF"/>
            <w:vAlign w:val="bottom"/>
            <w:hideMark/>
          </w:tcPr>
          <w:p w14:paraId="7F62A65D"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1235" w:type="dxa"/>
            <w:shd w:val="clear" w:color="auto" w:fill="17365D" w:themeFill="text2" w:themeFillShade="BF"/>
            <w:vAlign w:val="bottom"/>
            <w:hideMark/>
          </w:tcPr>
          <w:p w14:paraId="069547F5"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r>
      <w:tr w:rsidR="003B19CA" w:rsidRPr="003B19CA" w14:paraId="2D268F21" w14:textId="77777777" w:rsidTr="00BB03B3">
        <w:trPr>
          <w:trHeight w:val="300"/>
        </w:trPr>
        <w:tc>
          <w:tcPr>
            <w:tcW w:w="4885" w:type="dxa"/>
            <w:shd w:val="clear" w:color="auto" w:fill="auto"/>
            <w:vAlign w:val="bottom"/>
            <w:hideMark/>
          </w:tcPr>
          <w:p w14:paraId="68C96617"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Urban population growth (annual %)</w:t>
            </w:r>
          </w:p>
        </w:tc>
        <w:tc>
          <w:tcPr>
            <w:tcW w:w="900" w:type="dxa"/>
            <w:shd w:val="clear" w:color="auto" w:fill="auto"/>
            <w:vAlign w:val="bottom"/>
            <w:hideMark/>
          </w:tcPr>
          <w:p w14:paraId="115E7998"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w:t>
            </w:r>
          </w:p>
        </w:tc>
        <w:tc>
          <w:tcPr>
            <w:tcW w:w="900" w:type="dxa"/>
            <w:shd w:val="clear" w:color="auto" w:fill="auto"/>
            <w:vAlign w:val="bottom"/>
            <w:hideMark/>
          </w:tcPr>
          <w:p w14:paraId="706B6BA5"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2.5</w:t>
            </w:r>
          </w:p>
        </w:tc>
        <w:tc>
          <w:tcPr>
            <w:tcW w:w="1080" w:type="dxa"/>
            <w:shd w:val="clear" w:color="auto" w:fill="auto"/>
            <w:vAlign w:val="bottom"/>
            <w:hideMark/>
          </w:tcPr>
          <w:p w14:paraId="640D9851"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2.5</w:t>
            </w:r>
          </w:p>
        </w:tc>
        <w:tc>
          <w:tcPr>
            <w:tcW w:w="1235" w:type="dxa"/>
            <w:shd w:val="clear" w:color="auto" w:fill="auto"/>
            <w:vAlign w:val="bottom"/>
            <w:hideMark/>
          </w:tcPr>
          <w:p w14:paraId="78995388"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2.3</w:t>
            </w:r>
          </w:p>
        </w:tc>
      </w:tr>
      <w:tr w:rsidR="003B19CA" w:rsidRPr="003B19CA" w14:paraId="2FBF6526" w14:textId="77777777" w:rsidTr="00BB03B3">
        <w:trPr>
          <w:trHeight w:val="300"/>
        </w:trPr>
        <w:tc>
          <w:tcPr>
            <w:tcW w:w="4885" w:type="dxa"/>
            <w:shd w:val="clear" w:color="auto" w:fill="17365D" w:themeFill="text2" w:themeFillShade="BF"/>
            <w:vAlign w:val="bottom"/>
            <w:hideMark/>
          </w:tcPr>
          <w:p w14:paraId="591B2DBD" w14:textId="77777777" w:rsidR="00907F4A" w:rsidRPr="003B19CA" w:rsidRDefault="00907F4A" w:rsidP="00261DF4">
            <w:pPr>
              <w:spacing w:before="0" w:after="0"/>
              <w:rPr>
                <w:rFonts w:asciiTheme="minorHAnsi" w:eastAsia="Times New Roman" w:hAnsiTheme="minorHAnsi" w:cstheme="minorHAnsi"/>
                <w:b/>
                <w:sz w:val="22"/>
                <w:lang w:val="en-IN" w:eastAsia="en-IN"/>
              </w:rPr>
            </w:pPr>
            <w:r w:rsidRPr="003B19CA">
              <w:rPr>
                <w:rFonts w:asciiTheme="minorHAnsi" w:eastAsia="Times New Roman" w:hAnsiTheme="minorHAnsi" w:cstheme="minorHAnsi"/>
                <w:b/>
                <w:sz w:val="22"/>
                <w:lang w:val="en-IN" w:eastAsia="en-IN"/>
              </w:rPr>
              <w:t>Economy</w:t>
            </w:r>
          </w:p>
        </w:tc>
        <w:tc>
          <w:tcPr>
            <w:tcW w:w="900" w:type="dxa"/>
            <w:shd w:val="clear" w:color="auto" w:fill="17365D" w:themeFill="text2" w:themeFillShade="BF"/>
            <w:vAlign w:val="bottom"/>
            <w:hideMark/>
          </w:tcPr>
          <w:p w14:paraId="02B68847"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900" w:type="dxa"/>
            <w:shd w:val="clear" w:color="auto" w:fill="17365D" w:themeFill="text2" w:themeFillShade="BF"/>
            <w:vAlign w:val="bottom"/>
            <w:hideMark/>
          </w:tcPr>
          <w:p w14:paraId="2F96AC63"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1080" w:type="dxa"/>
            <w:shd w:val="clear" w:color="auto" w:fill="17365D" w:themeFill="text2" w:themeFillShade="BF"/>
            <w:vAlign w:val="bottom"/>
            <w:hideMark/>
          </w:tcPr>
          <w:p w14:paraId="42602C55"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c>
          <w:tcPr>
            <w:tcW w:w="1235" w:type="dxa"/>
            <w:shd w:val="clear" w:color="auto" w:fill="17365D" w:themeFill="text2" w:themeFillShade="BF"/>
            <w:vAlign w:val="bottom"/>
            <w:hideMark/>
          </w:tcPr>
          <w:p w14:paraId="7E91859A" w14:textId="77777777" w:rsidR="00907F4A" w:rsidRPr="003B19CA" w:rsidRDefault="00907F4A" w:rsidP="00261DF4">
            <w:pPr>
              <w:spacing w:before="0" w:after="0"/>
              <w:rPr>
                <w:rFonts w:asciiTheme="minorHAnsi" w:eastAsia="Times New Roman" w:hAnsiTheme="minorHAnsi" w:cstheme="minorHAnsi"/>
                <w:b/>
                <w:szCs w:val="20"/>
                <w:lang w:val="en-IN" w:eastAsia="en-IN"/>
              </w:rPr>
            </w:pPr>
          </w:p>
        </w:tc>
      </w:tr>
      <w:tr w:rsidR="003B19CA" w:rsidRPr="003B19CA" w14:paraId="74D70BDC" w14:textId="77777777" w:rsidTr="00BB03B3">
        <w:trPr>
          <w:trHeight w:val="70"/>
        </w:trPr>
        <w:tc>
          <w:tcPr>
            <w:tcW w:w="4885" w:type="dxa"/>
            <w:shd w:val="clear" w:color="auto" w:fill="auto"/>
            <w:vAlign w:val="bottom"/>
            <w:hideMark/>
          </w:tcPr>
          <w:p w14:paraId="5C98348D"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GDP (current US$) (billions)</w:t>
            </w:r>
          </w:p>
        </w:tc>
        <w:tc>
          <w:tcPr>
            <w:tcW w:w="900" w:type="dxa"/>
            <w:shd w:val="clear" w:color="auto" w:fill="auto"/>
            <w:vAlign w:val="bottom"/>
            <w:hideMark/>
          </w:tcPr>
          <w:p w14:paraId="5624E594"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320.98</w:t>
            </w:r>
          </w:p>
        </w:tc>
        <w:tc>
          <w:tcPr>
            <w:tcW w:w="900" w:type="dxa"/>
            <w:shd w:val="clear" w:color="auto" w:fill="auto"/>
            <w:vAlign w:val="bottom"/>
            <w:hideMark/>
          </w:tcPr>
          <w:p w14:paraId="60884F3B"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468.39</w:t>
            </w:r>
          </w:p>
        </w:tc>
        <w:tc>
          <w:tcPr>
            <w:tcW w:w="1080" w:type="dxa"/>
            <w:shd w:val="clear" w:color="auto" w:fill="auto"/>
            <w:vAlign w:val="bottom"/>
            <w:hideMark/>
          </w:tcPr>
          <w:p w14:paraId="68547CEC"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1,675.62</w:t>
            </w:r>
          </w:p>
        </w:tc>
        <w:tc>
          <w:tcPr>
            <w:tcW w:w="1235" w:type="dxa"/>
            <w:shd w:val="clear" w:color="auto" w:fill="auto"/>
            <w:vAlign w:val="bottom"/>
            <w:hideMark/>
          </w:tcPr>
          <w:p w14:paraId="0C49588F"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2,718.73</w:t>
            </w:r>
          </w:p>
        </w:tc>
      </w:tr>
      <w:tr w:rsidR="003B19CA" w:rsidRPr="003B19CA" w14:paraId="72D1D7CD" w14:textId="77777777" w:rsidTr="00BB03B3">
        <w:trPr>
          <w:trHeight w:val="70"/>
        </w:trPr>
        <w:tc>
          <w:tcPr>
            <w:tcW w:w="4885" w:type="dxa"/>
            <w:shd w:val="clear" w:color="auto" w:fill="auto"/>
            <w:vAlign w:val="bottom"/>
            <w:hideMark/>
          </w:tcPr>
          <w:p w14:paraId="78EEF3AD"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GDP growth (annual %)</w:t>
            </w:r>
          </w:p>
        </w:tc>
        <w:tc>
          <w:tcPr>
            <w:tcW w:w="900" w:type="dxa"/>
            <w:shd w:val="clear" w:color="auto" w:fill="auto"/>
            <w:vAlign w:val="bottom"/>
            <w:hideMark/>
          </w:tcPr>
          <w:p w14:paraId="02071E53"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5.5</w:t>
            </w:r>
          </w:p>
        </w:tc>
        <w:tc>
          <w:tcPr>
            <w:tcW w:w="900" w:type="dxa"/>
            <w:shd w:val="clear" w:color="auto" w:fill="auto"/>
            <w:vAlign w:val="bottom"/>
            <w:hideMark/>
          </w:tcPr>
          <w:p w14:paraId="66230DF9"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3.8</w:t>
            </w:r>
          </w:p>
        </w:tc>
        <w:tc>
          <w:tcPr>
            <w:tcW w:w="1080" w:type="dxa"/>
            <w:shd w:val="clear" w:color="auto" w:fill="auto"/>
            <w:vAlign w:val="bottom"/>
            <w:hideMark/>
          </w:tcPr>
          <w:p w14:paraId="69DBEFA9"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8.5</w:t>
            </w:r>
          </w:p>
        </w:tc>
        <w:tc>
          <w:tcPr>
            <w:tcW w:w="1235" w:type="dxa"/>
            <w:shd w:val="clear" w:color="auto" w:fill="auto"/>
            <w:vAlign w:val="bottom"/>
            <w:hideMark/>
          </w:tcPr>
          <w:p w14:paraId="35860DF2"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6.8</w:t>
            </w:r>
          </w:p>
        </w:tc>
      </w:tr>
      <w:tr w:rsidR="003B19CA" w:rsidRPr="003B19CA" w14:paraId="6BC80D7F" w14:textId="77777777" w:rsidTr="00BB03B3">
        <w:trPr>
          <w:trHeight w:val="70"/>
        </w:trPr>
        <w:tc>
          <w:tcPr>
            <w:tcW w:w="4885" w:type="dxa"/>
            <w:shd w:val="clear" w:color="auto" w:fill="auto"/>
            <w:vAlign w:val="bottom"/>
            <w:hideMark/>
          </w:tcPr>
          <w:p w14:paraId="7750B9F9"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Inflation, GDP deflator (annual %)</w:t>
            </w:r>
          </w:p>
        </w:tc>
        <w:tc>
          <w:tcPr>
            <w:tcW w:w="900" w:type="dxa"/>
            <w:shd w:val="clear" w:color="auto" w:fill="auto"/>
            <w:vAlign w:val="bottom"/>
            <w:hideMark/>
          </w:tcPr>
          <w:p w14:paraId="6EFB71E0"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10.7</w:t>
            </w:r>
          </w:p>
        </w:tc>
        <w:tc>
          <w:tcPr>
            <w:tcW w:w="900" w:type="dxa"/>
            <w:shd w:val="clear" w:color="auto" w:fill="auto"/>
            <w:vAlign w:val="bottom"/>
            <w:hideMark/>
          </w:tcPr>
          <w:p w14:paraId="3F4C9849"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3.6</w:t>
            </w:r>
          </w:p>
        </w:tc>
        <w:tc>
          <w:tcPr>
            <w:tcW w:w="1080" w:type="dxa"/>
            <w:shd w:val="clear" w:color="auto" w:fill="auto"/>
            <w:vAlign w:val="bottom"/>
            <w:hideMark/>
          </w:tcPr>
          <w:p w14:paraId="787AF05F"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10.5</w:t>
            </w:r>
          </w:p>
        </w:tc>
        <w:tc>
          <w:tcPr>
            <w:tcW w:w="1235" w:type="dxa"/>
            <w:shd w:val="clear" w:color="auto" w:fill="auto"/>
            <w:vAlign w:val="bottom"/>
            <w:hideMark/>
          </w:tcPr>
          <w:p w14:paraId="1F647422"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4.1</w:t>
            </w:r>
          </w:p>
        </w:tc>
      </w:tr>
      <w:tr w:rsidR="003B19CA" w:rsidRPr="003B19CA" w14:paraId="0812F5B4" w14:textId="77777777" w:rsidTr="00BB03B3">
        <w:trPr>
          <w:trHeight w:val="300"/>
        </w:trPr>
        <w:tc>
          <w:tcPr>
            <w:tcW w:w="4885" w:type="dxa"/>
            <w:shd w:val="clear" w:color="auto" w:fill="17365D" w:themeFill="text2" w:themeFillShade="BF"/>
            <w:vAlign w:val="bottom"/>
            <w:hideMark/>
          </w:tcPr>
          <w:p w14:paraId="39170EC6" w14:textId="77777777" w:rsidR="00907F4A" w:rsidRPr="003B19CA" w:rsidRDefault="00907F4A" w:rsidP="00261DF4">
            <w:pPr>
              <w:spacing w:before="0" w:after="0"/>
              <w:rPr>
                <w:rFonts w:asciiTheme="minorHAnsi" w:eastAsia="Times New Roman" w:hAnsiTheme="minorHAnsi" w:cstheme="minorHAnsi"/>
                <w:b/>
                <w:sz w:val="22"/>
                <w:lang w:val="en-IN" w:eastAsia="en-IN"/>
              </w:rPr>
            </w:pPr>
            <w:r w:rsidRPr="003B19CA">
              <w:rPr>
                <w:rFonts w:asciiTheme="minorHAnsi" w:eastAsia="Times New Roman" w:hAnsiTheme="minorHAnsi" w:cstheme="minorHAnsi"/>
                <w:b/>
                <w:sz w:val="22"/>
                <w:lang w:val="en-IN" w:eastAsia="en-IN"/>
              </w:rPr>
              <w:t>States and markets</w:t>
            </w:r>
          </w:p>
        </w:tc>
        <w:tc>
          <w:tcPr>
            <w:tcW w:w="900" w:type="dxa"/>
            <w:shd w:val="clear" w:color="auto" w:fill="17365D" w:themeFill="text2" w:themeFillShade="BF"/>
            <w:vAlign w:val="bottom"/>
            <w:hideMark/>
          </w:tcPr>
          <w:p w14:paraId="449E8C8F" w14:textId="77777777" w:rsidR="00907F4A" w:rsidRPr="003B19CA" w:rsidRDefault="00907F4A" w:rsidP="00261DF4">
            <w:pPr>
              <w:spacing w:before="0" w:after="0"/>
              <w:rPr>
                <w:rFonts w:asciiTheme="minorHAnsi" w:eastAsia="Times New Roman" w:hAnsiTheme="minorHAnsi" w:cstheme="minorHAnsi"/>
                <w:b/>
                <w:sz w:val="22"/>
                <w:lang w:val="en-IN" w:eastAsia="en-IN"/>
              </w:rPr>
            </w:pPr>
          </w:p>
        </w:tc>
        <w:tc>
          <w:tcPr>
            <w:tcW w:w="900" w:type="dxa"/>
            <w:shd w:val="clear" w:color="auto" w:fill="17365D" w:themeFill="text2" w:themeFillShade="BF"/>
            <w:vAlign w:val="bottom"/>
            <w:hideMark/>
          </w:tcPr>
          <w:p w14:paraId="1183207F" w14:textId="77777777" w:rsidR="00907F4A" w:rsidRPr="003B19CA" w:rsidRDefault="00907F4A" w:rsidP="00261DF4">
            <w:pPr>
              <w:spacing w:before="0" w:after="0"/>
              <w:rPr>
                <w:rFonts w:asciiTheme="minorHAnsi" w:eastAsia="Times New Roman" w:hAnsiTheme="minorHAnsi" w:cstheme="minorHAnsi"/>
                <w:b/>
                <w:sz w:val="22"/>
                <w:lang w:val="en-IN" w:eastAsia="en-IN"/>
              </w:rPr>
            </w:pPr>
          </w:p>
        </w:tc>
        <w:tc>
          <w:tcPr>
            <w:tcW w:w="1080" w:type="dxa"/>
            <w:shd w:val="clear" w:color="auto" w:fill="17365D" w:themeFill="text2" w:themeFillShade="BF"/>
            <w:vAlign w:val="bottom"/>
            <w:hideMark/>
          </w:tcPr>
          <w:p w14:paraId="6E8253BE" w14:textId="77777777" w:rsidR="00907F4A" w:rsidRPr="003B19CA" w:rsidRDefault="00907F4A" w:rsidP="00261DF4">
            <w:pPr>
              <w:spacing w:before="0" w:after="0"/>
              <w:rPr>
                <w:rFonts w:asciiTheme="minorHAnsi" w:eastAsia="Times New Roman" w:hAnsiTheme="minorHAnsi" w:cstheme="minorHAnsi"/>
                <w:b/>
                <w:sz w:val="22"/>
                <w:lang w:val="en-IN" w:eastAsia="en-IN"/>
              </w:rPr>
            </w:pPr>
          </w:p>
        </w:tc>
        <w:tc>
          <w:tcPr>
            <w:tcW w:w="1235" w:type="dxa"/>
            <w:shd w:val="clear" w:color="auto" w:fill="17365D" w:themeFill="text2" w:themeFillShade="BF"/>
            <w:vAlign w:val="bottom"/>
            <w:hideMark/>
          </w:tcPr>
          <w:p w14:paraId="18D3954A" w14:textId="77777777" w:rsidR="00907F4A" w:rsidRPr="003B19CA" w:rsidRDefault="00907F4A" w:rsidP="00261DF4">
            <w:pPr>
              <w:spacing w:before="0" w:after="0"/>
              <w:rPr>
                <w:rFonts w:asciiTheme="minorHAnsi" w:eastAsia="Times New Roman" w:hAnsiTheme="minorHAnsi" w:cstheme="minorHAnsi"/>
                <w:b/>
                <w:sz w:val="22"/>
                <w:lang w:val="en-IN" w:eastAsia="en-IN"/>
              </w:rPr>
            </w:pPr>
          </w:p>
        </w:tc>
      </w:tr>
      <w:tr w:rsidR="003B19CA" w:rsidRPr="003B19CA" w14:paraId="35031528" w14:textId="77777777" w:rsidTr="00BB03B3">
        <w:trPr>
          <w:trHeight w:val="70"/>
        </w:trPr>
        <w:tc>
          <w:tcPr>
            <w:tcW w:w="4885" w:type="dxa"/>
            <w:shd w:val="clear" w:color="auto" w:fill="auto"/>
            <w:vAlign w:val="bottom"/>
            <w:hideMark/>
          </w:tcPr>
          <w:p w14:paraId="7ED11CFA"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Mobile cellular subscriptions (per 100 people)</w:t>
            </w:r>
          </w:p>
        </w:tc>
        <w:tc>
          <w:tcPr>
            <w:tcW w:w="900" w:type="dxa"/>
            <w:shd w:val="clear" w:color="auto" w:fill="auto"/>
            <w:vAlign w:val="bottom"/>
            <w:hideMark/>
          </w:tcPr>
          <w:p w14:paraId="3751AC04"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0</w:t>
            </w:r>
          </w:p>
        </w:tc>
        <w:tc>
          <w:tcPr>
            <w:tcW w:w="900" w:type="dxa"/>
            <w:shd w:val="clear" w:color="auto" w:fill="auto"/>
            <w:vAlign w:val="bottom"/>
            <w:hideMark/>
          </w:tcPr>
          <w:p w14:paraId="5340DF68"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0.3</w:t>
            </w:r>
          </w:p>
        </w:tc>
        <w:tc>
          <w:tcPr>
            <w:tcW w:w="1080" w:type="dxa"/>
            <w:shd w:val="clear" w:color="auto" w:fill="auto"/>
            <w:vAlign w:val="bottom"/>
            <w:hideMark/>
          </w:tcPr>
          <w:p w14:paraId="7AC77D55"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60.9</w:t>
            </w:r>
          </w:p>
        </w:tc>
        <w:tc>
          <w:tcPr>
            <w:tcW w:w="1235" w:type="dxa"/>
            <w:shd w:val="clear" w:color="auto" w:fill="auto"/>
            <w:vAlign w:val="bottom"/>
            <w:hideMark/>
          </w:tcPr>
          <w:p w14:paraId="52201CF0"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86.9</w:t>
            </w:r>
          </w:p>
        </w:tc>
      </w:tr>
      <w:tr w:rsidR="003B19CA" w:rsidRPr="003B19CA" w14:paraId="1F701FAB" w14:textId="77777777" w:rsidTr="00BB03B3">
        <w:trPr>
          <w:trHeight w:val="300"/>
        </w:trPr>
        <w:tc>
          <w:tcPr>
            <w:tcW w:w="4885" w:type="dxa"/>
            <w:shd w:val="clear" w:color="auto" w:fill="auto"/>
            <w:vAlign w:val="bottom"/>
            <w:hideMark/>
          </w:tcPr>
          <w:p w14:paraId="524F5D92"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Individuals using the Internet (% of population)</w:t>
            </w:r>
          </w:p>
        </w:tc>
        <w:tc>
          <w:tcPr>
            <w:tcW w:w="900" w:type="dxa"/>
            <w:shd w:val="clear" w:color="auto" w:fill="auto"/>
            <w:vAlign w:val="bottom"/>
            <w:hideMark/>
          </w:tcPr>
          <w:p w14:paraId="49C5932A"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0</w:t>
            </w:r>
          </w:p>
        </w:tc>
        <w:tc>
          <w:tcPr>
            <w:tcW w:w="900" w:type="dxa"/>
            <w:shd w:val="clear" w:color="auto" w:fill="auto"/>
            <w:vAlign w:val="bottom"/>
            <w:hideMark/>
          </w:tcPr>
          <w:p w14:paraId="3BAB8607"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0.5</w:t>
            </w:r>
          </w:p>
        </w:tc>
        <w:tc>
          <w:tcPr>
            <w:tcW w:w="1080" w:type="dxa"/>
            <w:shd w:val="clear" w:color="auto" w:fill="auto"/>
            <w:vAlign w:val="bottom"/>
            <w:hideMark/>
          </w:tcPr>
          <w:p w14:paraId="3E41973B"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7.5</w:t>
            </w:r>
          </w:p>
        </w:tc>
        <w:tc>
          <w:tcPr>
            <w:tcW w:w="1235" w:type="dxa"/>
            <w:shd w:val="clear" w:color="auto" w:fill="auto"/>
            <w:vAlign w:val="bottom"/>
            <w:hideMark/>
          </w:tcPr>
          <w:p w14:paraId="7553805B"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34.5</w:t>
            </w:r>
          </w:p>
        </w:tc>
      </w:tr>
      <w:tr w:rsidR="003B19CA" w:rsidRPr="003B19CA" w14:paraId="10577F5B" w14:textId="77777777" w:rsidTr="00BB03B3">
        <w:trPr>
          <w:trHeight w:val="300"/>
        </w:trPr>
        <w:tc>
          <w:tcPr>
            <w:tcW w:w="4885" w:type="dxa"/>
            <w:shd w:val="clear" w:color="auto" w:fill="auto"/>
            <w:vAlign w:val="bottom"/>
            <w:hideMark/>
          </w:tcPr>
          <w:p w14:paraId="745715E6" w14:textId="77777777" w:rsidR="00907F4A" w:rsidRPr="003B19CA" w:rsidRDefault="00907F4A" w:rsidP="00261DF4">
            <w:pPr>
              <w:spacing w:before="0" w:after="0"/>
              <w:rPr>
                <w:rFonts w:asciiTheme="minorHAnsi" w:eastAsia="Times New Roman" w:hAnsiTheme="minorHAnsi" w:cstheme="minorHAnsi"/>
                <w:sz w:val="22"/>
                <w:lang w:val="en-IN" w:eastAsia="en-IN"/>
              </w:rPr>
            </w:pPr>
            <w:r w:rsidRPr="003B19CA">
              <w:rPr>
                <w:rFonts w:asciiTheme="minorHAnsi" w:eastAsia="Times New Roman" w:hAnsiTheme="minorHAnsi" w:cstheme="minorHAnsi"/>
                <w:sz w:val="22"/>
                <w:lang w:val="en-IN" w:eastAsia="en-IN"/>
              </w:rPr>
              <w:t>Net official development assistance received (current US$) (millions)</w:t>
            </w:r>
          </w:p>
        </w:tc>
        <w:tc>
          <w:tcPr>
            <w:tcW w:w="900" w:type="dxa"/>
            <w:shd w:val="clear" w:color="auto" w:fill="auto"/>
            <w:vAlign w:val="bottom"/>
            <w:hideMark/>
          </w:tcPr>
          <w:p w14:paraId="4BEFFDB5"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1,395.00</w:t>
            </w:r>
          </w:p>
        </w:tc>
        <w:tc>
          <w:tcPr>
            <w:tcW w:w="900" w:type="dxa"/>
            <w:shd w:val="clear" w:color="auto" w:fill="auto"/>
            <w:vAlign w:val="bottom"/>
            <w:hideMark/>
          </w:tcPr>
          <w:p w14:paraId="50E4EAFC"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1,383.40</w:t>
            </w:r>
          </w:p>
        </w:tc>
        <w:tc>
          <w:tcPr>
            <w:tcW w:w="1080" w:type="dxa"/>
            <w:shd w:val="clear" w:color="auto" w:fill="auto"/>
            <w:vAlign w:val="bottom"/>
            <w:hideMark/>
          </w:tcPr>
          <w:p w14:paraId="7917A467"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2,831.30</w:t>
            </w:r>
          </w:p>
        </w:tc>
        <w:tc>
          <w:tcPr>
            <w:tcW w:w="1235" w:type="dxa"/>
            <w:shd w:val="clear" w:color="auto" w:fill="auto"/>
            <w:vAlign w:val="bottom"/>
            <w:hideMark/>
          </w:tcPr>
          <w:p w14:paraId="1B0B01F9" w14:textId="77777777" w:rsidR="00907F4A" w:rsidRPr="003B19CA" w:rsidRDefault="00907F4A" w:rsidP="00261DF4">
            <w:pPr>
              <w:spacing w:before="0" w:after="0"/>
              <w:jc w:val="right"/>
              <w:rPr>
                <w:rFonts w:asciiTheme="minorHAnsi" w:eastAsia="Times New Roman" w:hAnsiTheme="minorHAnsi" w:cstheme="minorHAnsi"/>
                <w:szCs w:val="20"/>
                <w:lang w:val="en-IN" w:eastAsia="en-IN"/>
              </w:rPr>
            </w:pPr>
            <w:r w:rsidRPr="003B19CA">
              <w:rPr>
                <w:rFonts w:asciiTheme="minorHAnsi" w:eastAsia="Times New Roman" w:hAnsiTheme="minorHAnsi" w:cstheme="minorHAnsi"/>
                <w:szCs w:val="20"/>
                <w:lang w:val="en-IN" w:eastAsia="en-IN"/>
              </w:rPr>
              <w:t>2,454.00</w:t>
            </w:r>
          </w:p>
        </w:tc>
      </w:tr>
    </w:tbl>
    <w:p w14:paraId="35A2E1A8" w14:textId="77777777" w:rsidR="00692C69" w:rsidRPr="00692C69" w:rsidRDefault="00692C69" w:rsidP="00442A67">
      <w:pPr>
        <w:pStyle w:val="ListParagraph"/>
        <w:numPr>
          <w:ilvl w:val="1"/>
          <w:numId w:val="19"/>
        </w:numPr>
        <w:ind w:left="446" w:hanging="446"/>
        <w:jc w:val="both"/>
        <w:rPr>
          <w:rFonts w:asciiTheme="minorHAnsi" w:hAnsiTheme="minorHAnsi" w:cstheme="minorHAnsi"/>
          <w:b/>
          <w:color w:val="C86A07" w:themeColor="accent2" w:themeShade="BF"/>
          <w:sz w:val="28"/>
        </w:rPr>
      </w:pPr>
      <w:r>
        <w:rPr>
          <w:rFonts w:asciiTheme="minorHAnsi" w:hAnsiTheme="minorHAnsi" w:cstheme="minorHAnsi"/>
          <w:b/>
          <w:color w:val="C86A07" w:themeColor="accent2" w:themeShade="BF"/>
          <w:sz w:val="28"/>
          <w:lang w:val="en"/>
        </w:rPr>
        <w:t xml:space="preserve"> </w:t>
      </w:r>
      <w:r w:rsidRPr="00692C69">
        <w:rPr>
          <w:rFonts w:asciiTheme="minorHAnsi" w:hAnsiTheme="minorHAnsi" w:cstheme="minorHAnsi"/>
          <w:b/>
          <w:bCs/>
          <w:color w:val="C86A07" w:themeColor="accent2" w:themeShade="BF"/>
          <w:sz w:val="28"/>
          <w:lang w:val="en-IN"/>
        </w:rPr>
        <w:t>Multi-Sectoral and Institutional Context:</w:t>
      </w:r>
    </w:p>
    <w:p w14:paraId="44B7AE24" w14:textId="08BB6BD8" w:rsidR="00692C69" w:rsidRPr="00692C69" w:rsidRDefault="00692C69" w:rsidP="000B2FA5">
      <w:pPr>
        <w:spacing w:before="0" w:after="0"/>
        <w:jc w:val="both"/>
        <w:rPr>
          <w:rFonts w:asciiTheme="minorHAnsi" w:eastAsia="Times New Roman" w:hAnsiTheme="minorHAnsi" w:cstheme="minorHAnsi"/>
          <w:sz w:val="22"/>
          <w:lang w:val="en-IN" w:eastAsia="en-IN"/>
        </w:rPr>
      </w:pPr>
      <w:r w:rsidRPr="00692C69">
        <w:rPr>
          <w:rFonts w:asciiTheme="minorHAnsi" w:eastAsia="Times New Roman" w:hAnsiTheme="minorHAnsi" w:cstheme="minorHAnsi"/>
          <w:sz w:val="22"/>
          <w:lang w:val="en-IN" w:eastAsia="en-IN"/>
        </w:rPr>
        <w:t>Despite substantial improvements in health outcomes since 1990, India still faces tremendous challenges in health care access, quality, and utilization. Between 1990 and 2016, infant mortality rates fell by half, deliveries in health facilities tripled, and maternal mortality ratios fell by more than 60 percent. However, overall progress in health remains slower than in countries of comparable income, and variations persist within and among states. India’s demographic and epidemiological transition calls for an aggressive response to persisting communicable diseases and a burgeoning burden of non</w:t>
      </w:r>
      <w:r>
        <w:rPr>
          <w:rFonts w:asciiTheme="minorHAnsi" w:eastAsia="Times New Roman" w:hAnsiTheme="minorHAnsi" w:cstheme="minorHAnsi"/>
          <w:sz w:val="22"/>
          <w:lang w:val="en-IN" w:eastAsia="en-IN"/>
        </w:rPr>
        <w:t>-</w:t>
      </w:r>
      <w:r w:rsidRPr="00692C69">
        <w:rPr>
          <w:rFonts w:asciiTheme="minorHAnsi" w:eastAsia="Times New Roman" w:hAnsiTheme="minorHAnsi" w:cstheme="minorHAnsi"/>
          <w:sz w:val="22"/>
          <w:lang w:val="en-IN" w:eastAsia="en-IN"/>
        </w:rPr>
        <w:t xml:space="preserve">communicable diseases (NCDs). </w:t>
      </w:r>
    </w:p>
    <w:p w14:paraId="55A07930" w14:textId="77777777" w:rsidR="00692C69" w:rsidRPr="00692C69" w:rsidRDefault="00692C69" w:rsidP="000B2FA5">
      <w:pPr>
        <w:spacing w:before="0" w:after="0"/>
        <w:jc w:val="both"/>
        <w:rPr>
          <w:rFonts w:asciiTheme="minorHAnsi" w:eastAsia="Times New Roman" w:hAnsiTheme="minorHAnsi" w:cstheme="minorHAnsi"/>
          <w:sz w:val="22"/>
          <w:lang w:val="en-IN" w:eastAsia="en-IN"/>
        </w:rPr>
      </w:pPr>
      <w:r w:rsidRPr="00692C69">
        <w:rPr>
          <w:rFonts w:asciiTheme="minorHAnsi" w:eastAsia="Times New Roman" w:hAnsiTheme="minorHAnsi" w:cstheme="minorHAnsi"/>
          <w:sz w:val="22"/>
          <w:lang w:val="en-IN" w:eastAsia="en-IN"/>
        </w:rPr>
        <w:t>India’s steadily increasing health expenditures are dominated by regressive out-of-pocket payments by households. Between 2013 and 2015, total health expenditures per capita grew by more than 10 percent per year–a higher rate than the country’s GDP growth (Figure below). Despite this rapid increase, India’s health expenditures are relatively low at India Rupees (INR) 3,800 (US$56) per person, compared to US$233 per person in other lower middle-income countries</w:t>
      </w:r>
      <w:r w:rsidRPr="00692C69">
        <w:rPr>
          <w:rFonts w:asciiTheme="minorHAnsi" w:eastAsia="Times New Roman" w:hAnsiTheme="minorHAnsi" w:cstheme="minorHAnsi"/>
          <w:sz w:val="22"/>
          <w:vertAlign w:val="superscript"/>
          <w:lang w:val="en-IN" w:eastAsia="en-IN"/>
        </w:rPr>
        <w:footnoteReference w:id="15"/>
      </w:r>
      <w:r w:rsidRPr="00692C69">
        <w:rPr>
          <w:rFonts w:asciiTheme="minorHAnsi" w:eastAsia="Times New Roman" w:hAnsiTheme="minorHAnsi" w:cstheme="minorHAnsi"/>
          <w:sz w:val="22"/>
          <w:vertAlign w:val="superscript"/>
          <w:lang w:val="en-IN" w:eastAsia="en-IN"/>
        </w:rPr>
        <w:t>.</w:t>
      </w:r>
      <w:r w:rsidRPr="00692C69">
        <w:rPr>
          <w:rFonts w:asciiTheme="minorHAnsi" w:eastAsia="Times New Roman" w:hAnsiTheme="minorHAnsi" w:cstheme="minorHAnsi"/>
          <w:sz w:val="22"/>
          <w:lang w:val="en-IN" w:eastAsia="en-IN"/>
        </w:rPr>
        <w:t xml:space="preserve"> In addition, there is a weak correlation between per capita health expenditures and outcomes across states. Despite increases in health expenditures through central level schemes, including tuberculosis (TB) control, the private sector continues to dominate the provision of health services in India. Out-of-pocket expenditures—accounting for 63 percent of</w:t>
      </w:r>
      <w:r w:rsidRPr="00692C69">
        <w:rPr>
          <w:rFonts w:asciiTheme="minorHAnsi" w:hAnsiTheme="minorHAnsi" w:cstheme="minorHAnsi"/>
          <w:b/>
          <w:color w:val="C86A07" w:themeColor="accent2" w:themeShade="BF"/>
          <w:sz w:val="28"/>
          <w:lang w:val="en-GB"/>
        </w:rPr>
        <w:t xml:space="preserve"> </w:t>
      </w:r>
      <w:r w:rsidRPr="00692C69">
        <w:rPr>
          <w:rFonts w:asciiTheme="minorHAnsi" w:eastAsia="Times New Roman" w:hAnsiTheme="minorHAnsi" w:cstheme="minorHAnsi"/>
          <w:sz w:val="22"/>
          <w:lang w:val="en-IN" w:eastAsia="en-IN"/>
        </w:rPr>
        <w:t>India’s total health expenditure—are driven by outpatient care costs, diagnostics, and drugs, which disproportionately affect poor households</w:t>
      </w:r>
      <w:r w:rsidRPr="00692C69">
        <w:rPr>
          <w:rFonts w:asciiTheme="minorHAnsi" w:eastAsia="Times New Roman" w:hAnsiTheme="minorHAnsi" w:cstheme="minorHAnsi"/>
          <w:sz w:val="22"/>
          <w:vertAlign w:val="superscript"/>
          <w:lang w:val="en-IN" w:eastAsia="en-IN"/>
        </w:rPr>
        <w:footnoteReference w:id="16"/>
      </w:r>
      <w:r w:rsidRPr="00692C69">
        <w:rPr>
          <w:rFonts w:asciiTheme="minorHAnsi" w:eastAsia="Times New Roman" w:hAnsiTheme="minorHAnsi" w:cstheme="minorHAnsi"/>
          <w:sz w:val="22"/>
          <w:lang w:val="en-IN" w:eastAsia="en-IN"/>
        </w:rPr>
        <w:t xml:space="preserve">. </w:t>
      </w:r>
    </w:p>
    <w:p w14:paraId="7790AD86" w14:textId="014D206B" w:rsidR="00C438C8" w:rsidRDefault="00692C69" w:rsidP="000B2FA5">
      <w:pPr>
        <w:pStyle w:val="ListParagraph"/>
        <w:numPr>
          <w:ilvl w:val="1"/>
          <w:numId w:val="19"/>
        </w:numPr>
        <w:ind w:left="446" w:hanging="446"/>
        <w:jc w:val="both"/>
        <w:rPr>
          <w:rFonts w:asciiTheme="minorHAnsi" w:hAnsiTheme="minorHAnsi" w:cstheme="minorHAnsi"/>
          <w:b/>
          <w:color w:val="C86A07" w:themeColor="accent2" w:themeShade="BF"/>
          <w:sz w:val="28"/>
          <w:lang w:val="en"/>
        </w:rPr>
      </w:pPr>
      <w:r w:rsidRPr="00692C69">
        <w:rPr>
          <w:rFonts w:asciiTheme="minorHAnsi" w:hAnsiTheme="minorHAnsi" w:cstheme="minorHAnsi"/>
          <w:b/>
          <w:noProof/>
          <w:color w:val="C86A07" w:themeColor="accent2" w:themeShade="BF"/>
          <w:sz w:val="28"/>
          <w:lang w:val="en-IN" w:eastAsia="en-IN"/>
        </w:rPr>
        <w:lastRenderedPageBreak/>
        <w:drawing>
          <wp:anchor distT="0" distB="0" distL="114300" distR="114300" simplePos="0" relativeHeight="251655168" behindDoc="0" locked="0" layoutInCell="1" allowOverlap="1" wp14:anchorId="55DE0FBA" wp14:editId="61D1224D">
            <wp:simplePos x="0" y="0"/>
            <wp:positionH relativeFrom="column">
              <wp:posOffset>3607367</wp:posOffset>
            </wp:positionH>
            <wp:positionV relativeFrom="paragraph">
              <wp:posOffset>-104883</wp:posOffset>
            </wp:positionV>
            <wp:extent cx="2467610" cy="2626360"/>
            <wp:effectExtent l="0" t="0" r="8890" b="2540"/>
            <wp:wrapThrough wrapText="bothSides">
              <wp:wrapPolygon edited="0">
                <wp:start x="0" y="0"/>
                <wp:lineTo x="0" y="21464"/>
                <wp:lineTo x="21511" y="21464"/>
                <wp:lineTo x="21511"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0772" t="4355" r="13962" b="6940"/>
                    <a:stretch/>
                  </pic:blipFill>
                  <pic:spPr bwMode="auto">
                    <a:xfrm>
                      <a:off x="0" y="0"/>
                      <a:ext cx="2467610" cy="2626360"/>
                    </a:xfrm>
                    <a:prstGeom prst="rect">
                      <a:avLst/>
                    </a:prstGeom>
                    <a:ln>
                      <a:noFill/>
                    </a:ln>
                    <a:extLst>
                      <a:ext uri="{53640926-AAD7-44D8-BBD7-CCE9431645EC}">
                        <a14:shadowObscured xmlns:a14="http://schemas.microsoft.com/office/drawing/2010/main"/>
                      </a:ext>
                    </a:extLst>
                  </pic:spPr>
                </pic:pic>
              </a:graphicData>
            </a:graphic>
          </wp:anchor>
        </w:drawing>
      </w:r>
      <w:r w:rsidRPr="00692C69">
        <w:rPr>
          <w:rFonts w:asciiTheme="minorHAnsi" w:hAnsiTheme="minorHAnsi" w:cstheme="minorHAnsi"/>
          <w:b/>
          <w:noProof/>
          <w:color w:val="C86A07" w:themeColor="accent2" w:themeShade="BF"/>
          <w:sz w:val="28"/>
          <w:lang w:val="en-IN" w:eastAsia="en-IN"/>
        </w:rPr>
        <w:drawing>
          <wp:anchor distT="0" distB="0" distL="114300" distR="114300" simplePos="0" relativeHeight="251657216" behindDoc="0" locked="0" layoutInCell="1" allowOverlap="1" wp14:anchorId="7AF33283" wp14:editId="2F1DC30F">
            <wp:simplePos x="0" y="0"/>
            <wp:positionH relativeFrom="column">
              <wp:posOffset>-155210</wp:posOffset>
            </wp:positionH>
            <wp:positionV relativeFrom="paragraph">
              <wp:posOffset>15240</wp:posOffset>
            </wp:positionV>
            <wp:extent cx="3705225" cy="2507615"/>
            <wp:effectExtent l="0" t="0" r="9525" b="6985"/>
            <wp:wrapThrough wrapText="bothSides">
              <wp:wrapPolygon edited="0">
                <wp:start x="0" y="0"/>
                <wp:lineTo x="0" y="21496"/>
                <wp:lineTo x="21544" y="21496"/>
                <wp:lineTo x="2154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06" t="5478" r="3819" b="4535"/>
                    <a:stretch/>
                  </pic:blipFill>
                  <pic:spPr bwMode="auto">
                    <a:xfrm>
                      <a:off x="0" y="0"/>
                      <a:ext cx="3705225" cy="2507615"/>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b/>
          <w:color w:val="C86A07" w:themeColor="accent2" w:themeShade="BF"/>
          <w:sz w:val="28"/>
          <w:lang w:val="en"/>
        </w:rPr>
        <w:t>Analysis of key and vulnerable populations in India</w:t>
      </w:r>
      <w:r w:rsidRPr="00692C69">
        <w:rPr>
          <w:rFonts w:asciiTheme="minorHAnsi" w:hAnsiTheme="minorHAnsi" w:cstheme="minorHAnsi"/>
          <w:b/>
          <w:color w:val="C86A07" w:themeColor="accent2" w:themeShade="BF"/>
          <w:sz w:val="28"/>
          <w:lang w:val="en-IN"/>
        </w:rPr>
        <w:t xml:space="preserve"> </w:t>
      </w:r>
      <w:r w:rsidRPr="00692C69">
        <w:rPr>
          <w:rFonts w:asciiTheme="minorHAnsi" w:hAnsiTheme="minorHAnsi" w:cstheme="minorHAnsi"/>
          <w:b/>
          <w:color w:val="C86A07" w:themeColor="accent2" w:themeShade="BF"/>
          <w:sz w:val="28"/>
        </w:rPr>
        <w:t xml:space="preserve"> </w:t>
      </w:r>
      <w:r w:rsidR="00C438C8">
        <w:rPr>
          <w:rFonts w:asciiTheme="minorHAnsi" w:hAnsiTheme="minorHAnsi" w:cstheme="minorHAnsi"/>
          <w:b/>
          <w:color w:val="C86A07" w:themeColor="accent2" w:themeShade="BF"/>
          <w:sz w:val="28"/>
          <w:lang w:val="en"/>
        </w:rPr>
        <w:t xml:space="preserve"> </w:t>
      </w:r>
    </w:p>
    <w:p w14:paraId="26EA3952" w14:textId="6EFF511E" w:rsidR="00791076" w:rsidRDefault="00C438C8" w:rsidP="009136E5">
      <w:pPr>
        <w:pStyle w:val="ListParagraph"/>
        <w:numPr>
          <w:ilvl w:val="0"/>
          <w:numId w:val="90"/>
        </w:numPr>
        <w:spacing w:before="0"/>
        <w:contextualSpacing w:val="0"/>
        <w:jc w:val="both"/>
        <w:rPr>
          <w:rFonts w:asciiTheme="minorHAnsi" w:eastAsia="Times New Roman" w:hAnsiTheme="minorHAnsi" w:cstheme="minorHAnsi"/>
          <w:sz w:val="22"/>
          <w:lang w:val="en-IN" w:eastAsia="en-IN"/>
        </w:rPr>
      </w:pPr>
      <w:r w:rsidRPr="00662C9F">
        <w:rPr>
          <w:rFonts w:asciiTheme="minorHAnsi" w:eastAsia="Times New Roman" w:hAnsiTheme="minorHAnsi" w:cstheme="minorHAnsi"/>
          <w:sz w:val="22"/>
          <w:lang w:val="en-IN" w:eastAsia="en-IN"/>
        </w:rPr>
        <w:t xml:space="preserve">Vulnerable groups are disadvantaged as compared to others mainly on account of their reduced access to </w:t>
      </w:r>
      <w:r w:rsidR="004565AF">
        <w:rPr>
          <w:rFonts w:asciiTheme="minorHAnsi" w:eastAsia="Times New Roman" w:hAnsiTheme="minorHAnsi" w:cstheme="minorHAnsi"/>
          <w:sz w:val="22"/>
          <w:lang w:val="en-IN" w:eastAsia="en-IN"/>
        </w:rPr>
        <w:t>health</w:t>
      </w:r>
      <w:r w:rsidRPr="00662C9F">
        <w:rPr>
          <w:rFonts w:asciiTheme="minorHAnsi" w:eastAsia="Times New Roman" w:hAnsiTheme="minorHAnsi" w:cstheme="minorHAnsi"/>
          <w:sz w:val="22"/>
          <w:lang w:val="en-IN" w:eastAsia="en-IN"/>
        </w:rPr>
        <w:t xml:space="preserve"> services and the underlying determinants of health such as safe and potable drinking water, nutrition, housing, sanitation etc. </w:t>
      </w:r>
      <w:r w:rsidR="00662C9F" w:rsidRPr="00662C9F">
        <w:rPr>
          <w:rFonts w:asciiTheme="minorHAnsi" w:eastAsia="Times New Roman" w:hAnsiTheme="minorHAnsi" w:cstheme="minorHAnsi"/>
          <w:sz w:val="22"/>
          <w:lang w:val="en-IN" w:eastAsia="en-IN"/>
        </w:rPr>
        <w:t xml:space="preserve">These include those that on the grounds of sex, </w:t>
      </w:r>
      <w:r w:rsidR="00662C9F">
        <w:rPr>
          <w:rFonts w:asciiTheme="minorHAnsi" w:eastAsia="Times New Roman" w:hAnsiTheme="minorHAnsi" w:cstheme="minorHAnsi"/>
          <w:sz w:val="22"/>
          <w:lang w:val="en-IN" w:eastAsia="en-IN"/>
        </w:rPr>
        <w:t>caste</w:t>
      </w:r>
      <w:r w:rsidR="00662C9F" w:rsidRPr="00662C9F">
        <w:rPr>
          <w:rFonts w:asciiTheme="minorHAnsi" w:eastAsia="Times New Roman" w:hAnsiTheme="minorHAnsi" w:cstheme="minorHAnsi"/>
          <w:sz w:val="22"/>
          <w:lang w:val="en-IN" w:eastAsia="en-IN"/>
        </w:rPr>
        <w:t>, birth, physical or mental disability, health status (including HIV/AIDS</w:t>
      </w:r>
      <w:r w:rsidR="00662C9F">
        <w:rPr>
          <w:rFonts w:asciiTheme="minorHAnsi" w:eastAsia="Times New Roman" w:hAnsiTheme="minorHAnsi" w:cstheme="minorHAnsi"/>
          <w:sz w:val="22"/>
          <w:lang w:val="en-IN" w:eastAsia="en-IN"/>
        </w:rPr>
        <w:t>, TB, etc.</w:t>
      </w:r>
      <w:r w:rsidR="00662C9F" w:rsidRPr="00662C9F">
        <w:rPr>
          <w:rFonts w:asciiTheme="minorHAnsi" w:eastAsia="Times New Roman" w:hAnsiTheme="minorHAnsi" w:cstheme="minorHAnsi"/>
          <w:sz w:val="22"/>
          <w:lang w:val="en-IN" w:eastAsia="en-IN"/>
        </w:rPr>
        <w:t>), sexual orientation and civil, social or other status, which has the effect of nullifying or impairing the equal enjoyment or exercise of the right to health.</w:t>
      </w:r>
      <w:r w:rsidR="00662C9F">
        <w:rPr>
          <w:rFonts w:asciiTheme="minorHAnsi" w:eastAsia="Times New Roman" w:hAnsiTheme="minorHAnsi" w:cstheme="minorHAnsi"/>
          <w:sz w:val="22"/>
          <w:lang w:val="en-IN" w:eastAsia="en-IN"/>
        </w:rPr>
        <w:t xml:space="preserve"> In India, such groups include women, children, elderly, scheduled castes, scheduled</w:t>
      </w:r>
      <w:r w:rsidR="00F84B59">
        <w:rPr>
          <w:rFonts w:asciiTheme="minorHAnsi" w:eastAsia="Times New Roman" w:hAnsiTheme="minorHAnsi" w:cstheme="minorHAnsi"/>
          <w:sz w:val="22"/>
          <w:lang w:val="en-IN" w:eastAsia="en-IN"/>
        </w:rPr>
        <w:t xml:space="preserve"> </w:t>
      </w:r>
      <w:r w:rsidR="00F84B59" w:rsidRPr="003D2C18">
        <w:rPr>
          <w:rFonts w:asciiTheme="minorHAnsi" w:eastAsia="Times New Roman" w:hAnsiTheme="minorHAnsi" w:cstheme="minorHAnsi"/>
          <w:sz w:val="22"/>
          <w:lang w:val="en-IN" w:eastAsia="en-IN"/>
        </w:rPr>
        <w:t xml:space="preserve">tribes, slum </w:t>
      </w:r>
      <w:r w:rsidR="003D2C18" w:rsidRPr="003D2C18">
        <w:rPr>
          <w:rFonts w:asciiTheme="minorHAnsi" w:eastAsia="Times New Roman" w:hAnsiTheme="minorHAnsi" w:cstheme="minorHAnsi"/>
          <w:sz w:val="22"/>
          <w:lang w:val="en-IN" w:eastAsia="en-IN"/>
        </w:rPr>
        <w:t>dwellers</w:t>
      </w:r>
      <w:r w:rsidR="00F84B59" w:rsidRPr="003D2C18">
        <w:rPr>
          <w:rFonts w:asciiTheme="minorHAnsi" w:eastAsia="Times New Roman" w:hAnsiTheme="minorHAnsi" w:cstheme="minorHAnsi"/>
          <w:sz w:val="22"/>
          <w:lang w:val="en-IN" w:eastAsia="en-IN"/>
        </w:rPr>
        <w:t>, migrants,</w:t>
      </w:r>
      <w:r w:rsidR="003D2C18" w:rsidRPr="003D2C18">
        <w:rPr>
          <w:rFonts w:asciiTheme="minorHAnsi" w:eastAsia="Times New Roman" w:hAnsiTheme="minorHAnsi" w:cstheme="minorHAnsi"/>
          <w:sz w:val="22"/>
          <w:lang w:val="en-IN" w:eastAsia="en-IN"/>
        </w:rPr>
        <w:t xml:space="preserve"> and others (a list of the vulnerable groups</w:t>
      </w:r>
      <w:r w:rsidR="003D2C18">
        <w:rPr>
          <w:rFonts w:asciiTheme="minorHAnsi" w:eastAsia="Times New Roman" w:hAnsiTheme="minorHAnsi" w:cstheme="minorHAnsi"/>
          <w:sz w:val="22"/>
          <w:lang w:val="en-IN" w:eastAsia="en-IN"/>
        </w:rPr>
        <w:t xml:space="preserve"> prioritized for targeted action by NTEP</w:t>
      </w:r>
      <w:r w:rsidR="003D2C18" w:rsidRPr="003D2C18">
        <w:rPr>
          <w:rFonts w:asciiTheme="minorHAnsi" w:eastAsia="Times New Roman" w:hAnsiTheme="minorHAnsi" w:cstheme="minorHAnsi"/>
          <w:sz w:val="22"/>
          <w:lang w:val="en-IN" w:eastAsia="en-IN"/>
        </w:rPr>
        <w:t xml:space="preserve"> is provided in</w:t>
      </w:r>
      <w:r w:rsidR="002A7D30">
        <w:rPr>
          <w:rFonts w:asciiTheme="minorHAnsi" w:eastAsia="Times New Roman" w:hAnsiTheme="minorHAnsi" w:cstheme="minorHAnsi"/>
          <w:sz w:val="22"/>
          <w:lang w:val="en-IN" w:eastAsia="en-IN"/>
        </w:rPr>
        <w:t xml:space="preserve"> Table 13</w:t>
      </w:r>
      <w:r w:rsidR="003D2C18" w:rsidRPr="003D2C18">
        <w:rPr>
          <w:rFonts w:asciiTheme="minorHAnsi" w:eastAsia="Times New Roman" w:hAnsiTheme="minorHAnsi" w:cstheme="minorHAnsi"/>
          <w:sz w:val="22"/>
          <w:lang w:val="en-IN" w:eastAsia="en-IN"/>
        </w:rPr>
        <w:t xml:space="preserve"> </w:t>
      </w:r>
      <w:r w:rsidR="00C71FF3" w:rsidRPr="002A7D30">
        <w:rPr>
          <w:rFonts w:asciiTheme="minorHAnsi" w:eastAsia="Times New Roman" w:hAnsiTheme="minorHAnsi" w:cstheme="minorHAnsi"/>
          <w:sz w:val="22"/>
          <w:lang w:val="en-IN" w:eastAsia="en-IN"/>
        </w:rPr>
        <w:t>Chapter</w:t>
      </w:r>
      <w:r w:rsidR="002A7D30" w:rsidRPr="002A7D30">
        <w:rPr>
          <w:rFonts w:asciiTheme="minorHAnsi" w:eastAsia="Times New Roman" w:hAnsiTheme="minorHAnsi" w:cstheme="minorHAnsi"/>
          <w:sz w:val="22"/>
          <w:lang w:val="en-IN" w:eastAsia="en-IN"/>
        </w:rPr>
        <w:t xml:space="preserve"> 25 and Chapter 28</w:t>
      </w:r>
      <w:r w:rsidR="003D2C18" w:rsidRPr="002A7D30">
        <w:rPr>
          <w:rFonts w:asciiTheme="minorHAnsi" w:eastAsia="Times New Roman" w:hAnsiTheme="minorHAnsi" w:cstheme="minorHAnsi"/>
          <w:sz w:val="22"/>
          <w:lang w:val="en-IN" w:eastAsia="en-IN"/>
        </w:rPr>
        <w:t>)</w:t>
      </w:r>
      <w:r w:rsidR="00C71FF3" w:rsidRPr="002A7D30">
        <w:rPr>
          <w:rFonts w:asciiTheme="minorHAnsi" w:eastAsia="Times New Roman" w:hAnsiTheme="minorHAnsi" w:cstheme="minorHAnsi"/>
          <w:sz w:val="22"/>
          <w:lang w:val="en-IN" w:eastAsia="en-IN"/>
        </w:rPr>
        <w:t>.</w:t>
      </w:r>
      <w:r w:rsidR="003D2C18" w:rsidRPr="002A7D30">
        <w:rPr>
          <w:rFonts w:asciiTheme="minorHAnsi" w:eastAsia="Times New Roman" w:hAnsiTheme="minorHAnsi" w:cstheme="minorHAnsi"/>
          <w:sz w:val="22"/>
          <w:lang w:val="en-IN" w:eastAsia="en-IN"/>
        </w:rPr>
        <w:t xml:space="preserve"> </w:t>
      </w:r>
      <w:r w:rsidR="00F84B59" w:rsidRPr="003D2C18">
        <w:rPr>
          <w:rFonts w:asciiTheme="minorHAnsi" w:eastAsia="Times New Roman" w:hAnsiTheme="minorHAnsi" w:cstheme="minorHAnsi"/>
          <w:sz w:val="22"/>
          <w:lang w:val="en-IN" w:eastAsia="en-IN"/>
        </w:rPr>
        <w:t xml:space="preserve">Poverty – and its common consequences such as malnutrition, homelessness, </w:t>
      </w:r>
      <w:r w:rsidR="00F84B59" w:rsidRPr="00F84B59">
        <w:rPr>
          <w:rFonts w:asciiTheme="minorHAnsi" w:eastAsia="Times New Roman" w:hAnsiTheme="minorHAnsi" w:cstheme="minorHAnsi"/>
          <w:sz w:val="22"/>
          <w:lang w:val="en-IN" w:eastAsia="en-IN"/>
        </w:rPr>
        <w:t>poor housing and destitution – is a major contributor to vulnerability.</w:t>
      </w:r>
      <w:r w:rsidR="00791076">
        <w:rPr>
          <w:rFonts w:asciiTheme="minorHAnsi" w:eastAsia="Times New Roman" w:hAnsiTheme="minorHAnsi" w:cstheme="minorHAnsi"/>
          <w:sz w:val="22"/>
          <w:lang w:val="en-IN" w:eastAsia="en-IN"/>
        </w:rPr>
        <w:t xml:space="preserve"> </w:t>
      </w:r>
    </w:p>
    <w:p w14:paraId="527F1BD9" w14:textId="01DEDE78" w:rsidR="00A66A08" w:rsidRPr="00083FE3" w:rsidRDefault="00791076" w:rsidP="009136E5">
      <w:pPr>
        <w:pStyle w:val="ListParagraph"/>
        <w:numPr>
          <w:ilvl w:val="0"/>
          <w:numId w:val="90"/>
        </w:numPr>
        <w:spacing w:before="0"/>
        <w:contextualSpacing w:val="0"/>
        <w:jc w:val="both"/>
        <w:rPr>
          <w:rFonts w:asciiTheme="minorHAnsi" w:eastAsia="Times New Roman" w:hAnsiTheme="minorHAnsi" w:cstheme="minorHAnsi"/>
          <w:sz w:val="22"/>
          <w:lang w:val="en-IN" w:eastAsia="en-IN"/>
        </w:rPr>
      </w:pPr>
      <w:r w:rsidRPr="00083FE3">
        <w:rPr>
          <w:rFonts w:asciiTheme="minorHAnsi" w:eastAsia="Times New Roman" w:hAnsiTheme="minorHAnsi" w:cstheme="minorHAnsi"/>
          <w:sz w:val="22"/>
          <w:lang w:val="en-IN" w:eastAsia="en-IN"/>
        </w:rPr>
        <w:t>In 2011, 65.5 million or 22.5% population lived in slums which are distributed among 2613 towns/cities.</w:t>
      </w:r>
      <w:r w:rsidR="007E394A" w:rsidRPr="00083FE3">
        <w:rPr>
          <w:rFonts w:asciiTheme="minorHAnsi" w:eastAsia="Times New Roman" w:hAnsiTheme="minorHAnsi" w:cstheme="minorHAnsi"/>
          <w:sz w:val="22"/>
          <w:lang w:val="en-IN" w:eastAsia="en-IN"/>
        </w:rPr>
        <w:t xml:space="preserve"> </w:t>
      </w:r>
      <w:r w:rsidR="00A66A08" w:rsidRPr="00083FE3">
        <w:rPr>
          <w:rFonts w:asciiTheme="minorHAnsi" w:eastAsia="Times New Roman" w:hAnsiTheme="minorHAnsi" w:cstheme="minorHAnsi"/>
          <w:sz w:val="22"/>
          <w:lang w:val="en-IN" w:eastAsia="en-IN"/>
        </w:rPr>
        <w:t>The slum areas also host the majority of migrants, and the health problems associated with poor housing and unsanitary environments prevail in these areas. Overcrowding, substandard housing, poor ventilation, poor sanitation, lack of access to safe food and water and poor nutrition- all facilitate the spread of infectious disease like TB</w:t>
      </w:r>
      <w:r w:rsidR="00083FE3" w:rsidRPr="00083FE3">
        <w:rPr>
          <w:rFonts w:asciiTheme="minorHAnsi" w:eastAsia="Times New Roman" w:hAnsiTheme="minorHAnsi" w:cstheme="minorHAnsi"/>
          <w:sz w:val="22"/>
          <w:lang w:val="en-IN" w:eastAsia="en-IN"/>
        </w:rPr>
        <w:t>.</w:t>
      </w:r>
      <w:r w:rsidR="00A66A08" w:rsidRPr="00083FE3">
        <w:rPr>
          <w:rFonts w:asciiTheme="minorHAnsi" w:eastAsia="Times New Roman" w:hAnsiTheme="minorHAnsi" w:cstheme="minorHAnsi"/>
          <w:sz w:val="22"/>
          <w:lang w:val="en-IN" w:eastAsia="en-IN"/>
        </w:rPr>
        <w:t xml:space="preserve"> Economic deprivation exacerbates health and other risk factors among slum dwellers including migrants. Unplanned urban development puts them at higher risk for disease associated with indoor and outdoor air pollution and road traffic injuries. Many of the risk factors mentioned above make people susceptible to TB disease</w:t>
      </w:r>
      <w:r w:rsidR="00083FE3" w:rsidRPr="00083FE3">
        <w:rPr>
          <w:rFonts w:asciiTheme="minorHAnsi" w:eastAsia="Times New Roman" w:hAnsiTheme="minorHAnsi" w:cstheme="minorHAnsi"/>
          <w:sz w:val="22"/>
          <w:lang w:val="en-IN" w:eastAsia="en-IN"/>
        </w:rPr>
        <w:t>. Several independent studies have assessed the burden of TB and other issues related to the access of TB services by people from slum settlements</w:t>
      </w:r>
      <w:r w:rsidR="00083FE3">
        <w:rPr>
          <w:rFonts w:asciiTheme="minorHAnsi" w:eastAsia="Times New Roman" w:hAnsiTheme="minorHAnsi" w:cstheme="minorHAnsi"/>
          <w:sz w:val="22"/>
          <w:lang w:val="en-IN" w:eastAsia="en-IN"/>
        </w:rPr>
        <w:t xml:space="preserve">. </w:t>
      </w:r>
      <w:r w:rsidR="00A66A08" w:rsidRPr="00083FE3">
        <w:rPr>
          <w:rFonts w:asciiTheme="minorHAnsi" w:eastAsia="Times New Roman" w:hAnsiTheme="minorHAnsi" w:cstheme="minorHAnsi"/>
          <w:sz w:val="22"/>
          <w:lang w:val="en-IN" w:eastAsia="en-IN"/>
        </w:rPr>
        <w:t xml:space="preserve"> </w:t>
      </w:r>
    </w:p>
    <w:p w14:paraId="1917569E" w14:textId="3544E12F" w:rsidR="00AD45E1" w:rsidRDefault="007E394A" w:rsidP="009136E5">
      <w:pPr>
        <w:pStyle w:val="ListParagraph"/>
        <w:numPr>
          <w:ilvl w:val="0"/>
          <w:numId w:val="90"/>
        </w:numPr>
        <w:spacing w:before="0"/>
        <w:contextualSpacing w:val="0"/>
        <w:jc w:val="both"/>
        <w:rPr>
          <w:rFonts w:asciiTheme="minorHAnsi" w:eastAsia="Times New Roman" w:hAnsiTheme="minorHAnsi" w:cstheme="minorHAnsi"/>
          <w:sz w:val="22"/>
          <w:lang w:val="en-IN" w:eastAsia="en-IN"/>
        </w:rPr>
      </w:pPr>
      <w:r w:rsidRPr="00A66A08">
        <w:rPr>
          <w:rFonts w:asciiTheme="minorHAnsi" w:eastAsia="Times New Roman" w:hAnsiTheme="minorHAnsi" w:cstheme="minorHAnsi"/>
          <w:sz w:val="22"/>
          <w:lang w:val="en-IN" w:eastAsia="en-IN"/>
        </w:rPr>
        <w:t>According to the 2011 census, the tribal population in India was 104 million, constituting 8.6 per cent of country's population. The tribal population primarily inhabits rural and remote areas and is among the most vulnerable and marginalized section of the society. Moreover, they lag behind all other social groups in various social, health and developmental indicators</w:t>
      </w:r>
      <w:r>
        <w:rPr>
          <w:rStyle w:val="FootnoteReference"/>
          <w:rFonts w:eastAsia="Times New Roman" w:cstheme="minorHAnsi"/>
          <w:lang w:val="en-IN" w:eastAsia="en-IN"/>
        </w:rPr>
        <w:footnoteReference w:id="17"/>
      </w:r>
      <w:r w:rsidRPr="00A66A08">
        <w:rPr>
          <w:rFonts w:asciiTheme="minorHAnsi" w:eastAsia="Times New Roman" w:hAnsiTheme="minorHAnsi" w:cstheme="minorHAnsi"/>
          <w:sz w:val="22"/>
          <w:lang w:val="en-IN" w:eastAsia="en-IN"/>
        </w:rPr>
        <w:t xml:space="preserve">. In 2011, 40.6 per cent tribals were below the poverty line. </w:t>
      </w:r>
      <w:r w:rsidR="00AD45E1" w:rsidRPr="00A66A08">
        <w:rPr>
          <w:rFonts w:asciiTheme="minorHAnsi" w:eastAsia="Times New Roman" w:hAnsiTheme="minorHAnsi" w:cstheme="minorHAnsi"/>
          <w:sz w:val="22"/>
          <w:lang w:val="en-IN" w:eastAsia="en-IN"/>
        </w:rPr>
        <w:t>Available evidence also indicates that the prevalence of tuberculosis (TB) is significantly higher among tribal populations; 703 per 100,000 compared to the national average (256 per 100,000)</w:t>
      </w:r>
      <w:r w:rsidR="00AD45E1">
        <w:rPr>
          <w:rStyle w:val="FootnoteReference"/>
          <w:rFonts w:eastAsia="Times New Roman" w:cstheme="minorHAnsi"/>
          <w:lang w:val="en-IN" w:eastAsia="en-IN"/>
        </w:rPr>
        <w:footnoteReference w:id="18"/>
      </w:r>
      <w:hyperlink r:id="rId21" w:anchor="ref18" w:history="1"/>
      <w:r w:rsidR="00AD45E1" w:rsidRPr="00A66A08">
        <w:rPr>
          <w:rFonts w:asciiTheme="minorHAnsi" w:eastAsia="Times New Roman" w:hAnsiTheme="minorHAnsi" w:cstheme="minorHAnsi"/>
          <w:sz w:val="22"/>
          <w:lang w:val="en-IN" w:eastAsia="en-IN"/>
        </w:rPr>
        <w:t xml:space="preserve">. </w:t>
      </w:r>
    </w:p>
    <w:p w14:paraId="182F9317" w14:textId="6D86CCEA" w:rsidR="000D5651" w:rsidRPr="000D5651" w:rsidRDefault="000D5651" w:rsidP="009136E5">
      <w:pPr>
        <w:pStyle w:val="ListParagraph"/>
        <w:numPr>
          <w:ilvl w:val="0"/>
          <w:numId w:val="90"/>
        </w:numPr>
        <w:spacing w:before="0"/>
        <w:contextualSpacing w:val="0"/>
        <w:jc w:val="both"/>
        <w:rPr>
          <w:rFonts w:asciiTheme="minorHAnsi" w:eastAsia="Times New Roman" w:hAnsiTheme="minorHAnsi" w:cstheme="minorHAnsi"/>
          <w:sz w:val="22"/>
          <w:lang w:val="en-IN" w:eastAsia="en-IN"/>
        </w:rPr>
      </w:pPr>
      <w:r w:rsidRPr="000D5651">
        <w:rPr>
          <w:rFonts w:asciiTheme="minorHAnsi" w:eastAsia="Times New Roman" w:hAnsiTheme="minorHAnsi" w:cstheme="minorHAnsi"/>
          <w:sz w:val="22"/>
          <w:lang w:val="en-IN" w:eastAsia="en-IN"/>
        </w:rPr>
        <w:lastRenderedPageBreak/>
        <w:t xml:space="preserve">India has significantly high number of mobile populations. From 2011 to 2016, the inter-state migration stood at 9 million people (Economic Survey of India 2017). As per Census 2011, the number of internal migrants in the country (accounting for inter- and intra-state movement) were 139 million. Some of the most vulnerable populations belong to this group. These include seasonal workers, homeless people, pavement dwellers, street children and those residing in urban slums. Health indicators are typically poorer in these groups owing to inherent vulnerabilities and stigma that these populations are exposed to. A significant section of them live in congregated, crowded settings with poor ventilation and sanitary conditions. Alarmingly high burden of TB, a higher lost-to-follow ups and mortality are critical observations in homeless and other migratory people, especially in large cities. Undernutrition, chronic addiction, and unhealthy living further accentuates their vulnerability to TB. Their access to health services and diagnosis of TB including treatment initiation if detected with TB is often hampered in the absence of valid identity documents and residence-proofs whereas their rapid migratory nature imposes key barrier to adherence to treatment. There is an urgent need to bring rapid systemic changes to make </w:t>
      </w:r>
      <w:r>
        <w:rPr>
          <w:rFonts w:asciiTheme="minorHAnsi" w:eastAsia="Times New Roman" w:hAnsiTheme="minorHAnsi" w:cstheme="minorHAnsi"/>
          <w:sz w:val="22"/>
          <w:lang w:val="en-IN" w:eastAsia="en-IN"/>
        </w:rPr>
        <w:t xml:space="preserve">health and </w:t>
      </w:r>
      <w:r w:rsidRPr="000D5651">
        <w:rPr>
          <w:rFonts w:asciiTheme="minorHAnsi" w:eastAsia="Times New Roman" w:hAnsiTheme="minorHAnsi" w:cstheme="minorHAnsi"/>
          <w:sz w:val="22"/>
          <w:lang w:val="en-IN" w:eastAsia="en-IN"/>
        </w:rPr>
        <w:t>TB services</w:t>
      </w:r>
      <w:r>
        <w:rPr>
          <w:rFonts w:asciiTheme="minorHAnsi" w:eastAsia="Times New Roman" w:hAnsiTheme="minorHAnsi" w:cstheme="minorHAnsi"/>
          <w:sz w:val="22"/>
          <w:lang w:val="en-IN" w:eastAsia="en-IN"/>
        </w:rPr>
        <w:t xml:space="preserve"> key population friendly</w:t>
      </w:r>
      <w:r w:rsidRPr="000D5651">
        <w:rPr>
          <w:rFonts w:asciiTheme="minorHAnsi" w:eastAsia="Times New Roman" w:hAnsiTheme="minorHAnsi" w:cstheme="minorHAnsi"/>
          <w:sz w:val="22"/>
          <w:lang w:val="en-IN" w:eastAsia="en-IN"/>
        </w:rPr>
        <w:t>.</w:t>
      </w:r>
    </w:p>
    <w:p w14:paraId="63F96AFD" w14:textId="1930E009" w:rsidR="004938A5" w:rsidRPr="00EC3830" w:rsidRDefault="004938A5" w:rsidP="00442A67">
      <w:pPr>
        <w:pStyle w:val="ListParagraph"/>
        <w:numPr>
          <w:ilvl w:val="1"/>
          <w:numId w:val="19"/>
        </w:numPr>
        <w:ind w:left="446" w:hanging="446"/>
        <w:contextualSpacing w:val="0"/>
        <w:jc w:val="both"/>
        <w:rPr>
          <w:rFonts w:asciiTheme="minorHAnsi" w:hAnsiTheme="minorHAnsi" w:cstheme="minorHAnsi"/>
          <w:b/>
          <w:color w:val="C86A07" w:themeColor="accent2" w:themeShade="BF"/>
          <w:sz w:val="28"/>
          <w:lang w:val="en"/>
        </w:rPr>
      </w:pPr>
      <w:r w:rsidRPr="00EC3830">
        <w:rPr>
          <w:rFonts w:asciiTheme="minorHAnsi" w:hAnsiTheme="minorHAnsi" w:cstheme="minorHAnsi"/>
          <w:b/>
          <w:color w:val="C86A07" w:themeColor="accent2" w:themeShade="BF"/>
          <w:sz w:val="28"/>
          <w:lang w:val="en"/>
        </w:rPr>
        <w:t>Health Systems in India</w:t>
      </w:r>
      <w:r w:rsidRPr="00EC3830">
        <w:rPr>
          <w:rFonts w:asciiTheme="minorHAnsi" w:hAnsiTheme="minorHAnsi" w:cstheme="minorHAnsi"/>
          <w:b/>
          <w:color w:val="C86A07" w:themeColor="accent2" w:themeShade="BF"/>
          <w:sz w:val="28"/>
          <w:lang w:val="en"/>
        </w:rPr>
        <w:tab/>
        <w:t xml:space="preserve"> </w:t>
      </w:r>
    </w:p>
    <w:p w14:paraId="309C8063" w14:textId="730EF538" w:rsidR="00826687" w:rsidRPr="00332F68" w:rsidRDefault="00826687" w:rsidP="009136E5">
      <w:pPr>
        <w:pStyle w:val="ListParagraph"/>
        <w:numPr>
          <w:ilvl w:val="0"/>
          <w:numId w:val="107"/>
        </w:numPr>
        <w:spacing w:before="0"/>
        <w:contextualSpacing w:val="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The constitution of India considers the “right to life” to be fundamental and obliges the government to ensure the “right to health” for all. To a significant extent, India’s health sector has been shaped by its federal structure and the federal–state divisions of responsibilities and financing. The states are responsible for organizing and delivering health services to their residents. The central government is responsible for international health treaties, medical education, and prevention of food adulteration, quality control in drug manufacturing, national disease control, and family planning programs. It also sets national health policy including the regulatory framework and supports the states.</w:t>
      </w:r>
      <w:r w:rsidR="00332F68" w:rsidRPr="00332F68">
        <w:rPr>
          <w:rFonts w:asciiTheme="minorHAnsi" w:eastAsia="Times New Roman" w:hAnsiTheme="minorHAnsi" w:cstheme="minorHAnsi"/>
          <w:sz w:val="22"/>
          <w:lang w:val="en-IN" w:eastAsia="en-IN"/>
        </w:rPr>
        <w:t xml:space="preserve"> </w:t>
      </w:r>
    </w:p>
    <w:p w14:paraId="09042A06" w14:textId="5E70C53E" w:rsidR="00FE472B" w:rsidRPr="00FE472B" w:rsidRDefault="00FE472B" w:rsidP="009136E5">
      <w:pPr>
        <w:pStyle w:val="ListParagraph"/>
        <w:numPr>
          <w:ilvl w:val="0"/>
          <w:numId w:val="107"/>
        </w:numPr>
        <w:jc w:val="both"/>
        <w:rPr>
          <w:rFonts w:asciiTheme="minorHAnsi" w:hAnsiTheme="minorHAnsi" w:cstheme="minorHAnsi"/>
          <w:sz w:val="22"/>
        </w:rPr>
      </w:pPr>
      <w:r w:rsidRPr="00FE472B">
        <w:rPr>
          <w:rFonts w:asciiTheme="minorHAnsi" w:hAnsiTheme="minorHAnsi" w:cstheme="minorHAnsi"/>
          <w:sz w:val="22"/>
        </w:rPr>
        <w:t xml:space="preserve">Healthcare is one of India's largest service sectors. Under the Indian constitution, health is a state subject and each state has its own and unique healthcare delivery system, enacted and determined on a state level, in which both public and private (for profit as well as non-profit) sectors operate, with the central government supporting with important and crucial role in formulating national policies being implemented through state and districts. The health systems in India have evolved based on the geographical dispersion of the population and in context of the specific needs of the rural and urban areas.  </w:t>
      </w:r>
    </w:p>
    <w:p w14:paraId="1B5960EE" w14:textId="77777777" w:rsidR="00D07299" w:rsidRPr="00332F68" w:rsidRDefault="00AC55EC" w:rsidP="009136E5">
      <w:pPr>
        <w:pStyle w:val="ListParagraph"/>
        <w:numPr>
          <w:ilvl w:val="0"/>
          <w:numId w:val="107"/>
        </w:numPr>
        <w:spacing w:before="0"/>
        <w:contextualSpacing w:val="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The Indian health system has had multiple</w:t>
      </w:r>
      <w:r w:rsidR="001363DD" w:rsidRPr="00332F68">
        <w:rPr>
          <w:rFonts w:asciiTheme="minorHAnsi" w:eastAsia="Times New Roman" w:hAnsiTheme="minorHAnsi" w:cstheme="minorHAnsi"/>
          <w:sz w:val="22"/>
          <w:lang w:val="en-IN" w:eastAsia="en-IN"/>
        </w:rPr>
        <w:t xml:space="preserve"> achievements in the last couple </w:t>
      </w:r>
      <w:r w:rsidR="001363DD" w:rsidRPr="00332F68">
        <w:rPr>
          <w:rFonts w:asciiTheme="minorHAnsi" w:eastAsia="Times New Roman" w:hAnsiTheme="minorHAnsi" w:cstheme="minorHAnsi"/>
          <w:bCs/>
          <w:sz w:val="22"/>
          <w:lang w:val="en-IN" w:eastAsia="en-IN"/>
        </w:rPr>
        <w:t>of</w:t>
      </w:r>
      <w:r w:rsidR="001363DD" w:rsidRPr="00332F68">
        <w:rPr>
          <w:rFonts w:asciiTheme="minorHAnsi" w:eastAsia="Times New Roman" w:hAnsiTheme="minorHAnsi" w:cstheme="minorHAnsi"/>
          <w:sz w:val="22"/>
          <w:lang w:val="en-IN" w:eastAsia="en-IN"/>
        </w:rPr>
        <w:t xml:space="preserve"> decades include elimination of polio, guinea worm disease, yaws and maternal and neonatal tetanus and also </w:t>
      </w:r>
      <w:r w:rsidR="006408E5" w:rsidRPr="00332F68">
        <w:rPr>
          <w:rFonts w:asciiTheme="minorHAnsi" w:eastAsia="Times New Roman" w:hAnsiTheme="minorHAnsi" w:cstheme="minorHAnsi"/>
          <w:sz w:val="22"/>
          <w:lang w:val="en-IN" w:eastAsia="en-IN"/>
        </w:rPr>
        <w:t xml:space="preserve">achieving </w:t>
      </w:r>
      <w:r w:rsidR="001363DD" w:rsidRPr="00332F68">
        <w:rPr>
          <w:rFonts w:asciiTheme="minorHAnsi" w:eastAsia="Times New Roman" w:hAnsiTheme="minorHAnsi" w:cstheme="minorHAnsi"/>
          <w:sz w:val="22"/>
          <w:lang w:val="en-IN" w:eastAsia="en-IN"/>
        </w:rPr>
        <w:t xml:space="preserve">the Millennium Development Goals in respect of the Maternal Mortality Ratio (MMR level of 130 against a target of 139) and almost succeeded in meeting the Under-5 child mortality target (U5 MR level of 43 against a target of 42). </w:t>
      </w:r>
    </w:p>
    <w:p w14:paraId="01FFC568" w14:textId="77777777" w:rsidR="00FE472B" w:rsidRPr="00FE472B" w:rsidRDefault="00D07299" w:rsidP="009136E5">
      <w:pPr>
        <w:pStyle w:val="ListParagraph"/>
        <w:numPr>
          <w:ilvl w:val="0"/>
          <w:numId w:val="107"/>
        </w:numPr>
        <w:contextualSpacing w:val="0"/>
        <w:jc w:val="both"/>
        <w:rPr>
          <w:rFonts w:asciiTheme="minorHAnsi" w:eastAsia="Times New Roman" w:hAnsiTheme="minorHAnsi" w:cstheme="minorHAnsi"/>
          <w:sz w:val="22"/>
          <w:lang w:val="en-IN" w:eastAsia="en-IN"/>
        </w:rPr>
      </w:pPr>
      <w:r w:rsidRPr="00FE472B">
        <w:rPr>
          <w:rFonts w:asciiTheme="minorHAnsi" w:eastAsia="Times New Roman" w:hAnsiTheme="minorHAnsi" w:cstheme="minorHAnsi"/>
          <w:sz w:val="22"/>
          <w:lang w:val="en-IN" w:eastAsia="en-IN"/>
        </w:rPr>
        <w:t xml:space="preserve">However, </w:t>
      </w:r>
      <w:r w:rsidR="00972B58" w:rsidRPr="00FE472B">
        <w:rPr>
          <w:rFonts w:asciiTheme="minorHAnsi" w:eastAsia="Times New Roman" w:hAnsiTheme="minorHAnsi" w:cstheme="minorHAnsi"/>
          <w:sz w:val="22"/>
          <w:lang w:val="en-IN" w:eastAsia="en-IN"/>
        </w:rPr>
        <w:t>India’s healthcare scenario remains less than ideal. It</w:t>
      </w:r>
      <w:r w:rsidRPr="00FE472B">
        <w:rPr>
          <w:rFonts w:asciiTheme="minorHAnsi" w:eastAsia="Times New Roman" w:hAnsiTheme="minorHAnsi" w:cstheme="minorHAnsi"/>
          <w:sz w:val="22"/>
          <w:lang w:val="en-IN" w:eastAsia="en-IN"/>
        </w:rPr>
        <w:t xml:space="preserve"> </w:t>
      </w:r>
      <w:r w:rsidR="00972B58" w:rsidRPr="00FE472B">
        <w:rPr>
          <w:rFonts w:asciiTheme="minorHAnsi" w:eastAsia="Times New Roman" w:hAnsiTheme="minorHAnsi" w:cstheme="minorHAnsi"/>
          <w:sz w:val="22"/>
          <w:lang w:val="en-IN" w:eastAsia="en-IN"/>
        </w:rPr>
        <w:t xml:space="preserve">is short by almost half of what the </w:t>
      </w:r>
      <w:r w:rsidRPr="00FE472B">
        <w:rPr>
          <w:rFonts w:asciiTheme="minorHAnsi" w:eastAsia="Times New Roman" w:hAnsiTheme="minorHAnsi" w:cstheme="minorHAnsi"/>
          <w:sz w:val="22"/>
          <w:lang w:val="en-IN" w:eastAsia="en-IN"/>
        </w:rPr>
        <w:t>WHO</w:t>
      </w:r>
      <w:r w:rsidR="00972B58" w:rsidRPr="00FE472B">
        <w:rPr>
          <w:rFonts w:asciiTheme="minorHAnsi" w:eastAsia="Times New Roman" w:hAnsiTheme="minorHAnsi" w:cstheme="minorHAnsi"/>
          <w:sz w:val="22"/>
          <w:lang w:val="en-IN" w:eastAsia="en-IN"/>
        </w:rPr>
        <w:t xml:space="preserve"> recommends as</w:t>
      </w:r>
      <w:r w:rsidRPr="00FE472B">
        <w:rPr>
          <w:rFonts w:asciiTheme="minorHAnsi" w:eastAsia="Times New Roman" w:hAnsiTheme="minorHAnsi" w:cstheme="minorHAnsi"/>
          <w:sz w:val="22"/>
          <w:lang w:val="en-IN" w:eastAsia="en-IN"/>
        </w:rPr>
        <w:t xml:space="preserve"> </w:t>
      </w:r>
      <w:r w:rsidR="00972B58" w:rsidRPr="00FE472B">
        <w:rPr>
          <w:rFonts w:asciiTheme="minorHAnsi" w:eastAsia="Times New Roman" w:hAnsiTheme="minorHAnsi" w:cstheme="minorHAnsi"/>
          <w:sz w:val="22"/>
          <w:lang w:val="en-IN" w:eastAsia="en-IN"/>
        </w:rPr>
        <w:t xml:space="preserve"> the optimal number of doctors, nurses,</w:t>
      </w:r>
      <w:r w:rsidRPr="00FE472B">
        <w:rPr>
          <w:rFonts w:asciiTheme="minorHAnsi" w:eastAsia="Times New Roman" w:hAnsiTheme="minorHAnsi" w:cstheme="minorHAnsi"/>
          <w:sz w:val="22"/>
          <w:lang w:val="en-IN" w:eastAsia="en-IN"/>
        </w:rPr>
        <w:t xml:space="preserve"> </w:t>
      </w:r>
      <w:r w:rsidR="00972B58" w:rsidRPr="00FE472B">
        <w:rPr>
          <w:rFonts w:asciiTheme="minorHAnsi" w:eastAsia="Times New Roman" w:hAnsiTheme="minorHAnsi" w:cstheme="minorHAnsi"/>
          <w:sz w:val="22"/>
          <w:lang w:val="en-IN" w:eastAsia="en-IN"/>
        </w:rPr>
        <w:t xml:space="preserve"> medical technicians and healthcare facilities required to serve the population. Under</w:t>
      </w:r>
      <w:r w:rsidRPr="00FE472B">
        <w:rPr>
          <w:rFonts w:asciiTheme="minorHAnsi" w:eastAsia="Times New Roman" w:hAnsiTheme="minorHAnsi" w:cstheme="minorHAnsi"/>
          <w:sz w:val="22"/>
          <w:lang w:val="en-IN" w:eastAsia="en-IN"/>
        </w:rPr>
        <w:t xml:space="preserve"> </w:t>
      </w:r>
      <w:r w:rsidR="00972B58" w:rsidRPr="00FE472B">
        <w:rPr>
          <w:rFonts w:asciiTheme="minorHAnsi" w:eastAsia="Times New Roman" w:hAnsiTheme="minorHAnsi" w:cstheme="minorHAnsi"/>
          <w:sz w:val="22"/>
          <w:lang w:val="en-IN" w:eastAsia="en-IN"/>
        </w:rPr>
        <w:t xml:space="preserve">excessive strain for decades, and </w:t>
      </w:r>
      <w:r w:rsidRPr="00FE472B">
        <w:rPr>
          <w:rFonts w:asciiTheme="minorHAnsi" w:eastAsia="Times New Roman" w:hAnsiTheme="minorHAnsi" w:cstheme="minorHAnsi"/>
          <w:sz w:val="22"/>
          <w:lang w:val="en-IN" w:eastAsia="en-IN"/>
        </w:rPr>
        <w:t>without sufficient</w:t>
      </w:r>
      <w:r w:rsidR="00972B58" w:rsidRPr="00FE472B">
        <w:rPr>
          <w:rFonts w:asciiTheme="minorHAnsi" w:eastAsia="Times New Roman" w:hAnsiTheme="minorHAnsi" w:cstheme="minorHAnsi"/>
          <w:sz w:val="22"/>
          <w:lang w:val="en-IN" w:eastAsia="en-IN"/>
        </w:rPr>
        <w:t xml:space="preserve"> budget, India’s health system is frail,</w:t>
      </w:r>
      <w:r w:rsidRPr="00FE472B">
        <w:rPr>
          <w:rFonts w:asciiTheme="minorHAnsi" w:eastAsia="Times New Roman" w:hAnsiTheme="minorHAnsi" w:cstheme="minorHAnsi"/>
          <w:sz w:val="22"/>
          <w:lang w:val="en-IN" w:eastAsia="en-IN"/>
        </w:rPr>
        <w:t xml:space="preserve"> </w:t>
      </w:r>
      <w:r w:rsidR="00972B58" w:rsidRPr="00FE472B">
        <w:rPr>
          <w:rFonts w:asciiTheme="minorHAnsi" w:eastAsia="Times New Roman" w:hAnsiTheme="minorHAnsi" w:cstheme="minorHAnsi"/>
          <w:sz w:val="22"/>
          <w:lang w:val="en-IN" w:eastAsia="en-IN"/>
        </w:rPr>
        <w:t>inadequate and of inconsistent quality</w:t>
      </w:r>
      <w:r w:rsidR="00FE472B" w:rsidRPr="00FE472B">
        <w:rPr>
          <w:rFonts w:asciiTheme="minorHAnsi" w:eastAsia="Times New Roman" w:hAnsiTheme="minorHAnsi" w:cstheme="minorHAnsi"/>
          <w:sz w:val="22"/>
          <w:lang w:val="en-IN" w:eastAsia="en-IN"/>
        </w:rPr>
        <w:t xml:space="preserve">, quality, particularly in the public sector. </w:t>
      </w:r>
    </w:p>
    <w:p w14:paraId="1C2D7F2F" w14:textId="1D153FD2" w:rsidR="001363DD" w:rsidRPr="00332F68" w:rsidRDefault="001363DD" w:rsidP="009136E5">
      <w:pPr>
        <w:pStyle w:val="ListParagraph"/>
        <w:numPr>
          <w:ilvl w:val="0"/>
          <w:numId w:val="107"/>
        </w:numPr>
        <w:spacing w:before="0"/>
        <w:contextualSpacing w:val="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Further, the double burden of disease – with a rising burden of non-communicable diseases in addition to the persistence of communicable diseases – stretches the system thin</w:t>
      </w:r>
      <w:r w:rsidR="006408E5" w:rsidRPr="00332F68">
        <w:rPr>
          <w:rFonts w:asciiTheme="minorHAnsi" w:eastAsia="Times New Roman" w:hAnsiTheme="minorHAnsi" w:cstheme="minorHAnsi"/>
          <w:sz w:val="22"/>
          <w:lang w:val="en-IN" w:eastAsia="en-IN"/>
        </w:rPr>
        <w:t>.</w:t>
      </w:r>
      <w:r w:rsidRPr="00332F68">
        <w:rPr>
          <w:rFonts w:asciiTheme="minorHAnsi" w:eastAsia="Times New Roman" w:hAnsiTheme="minorHAnsi" w:cstheme="minorHAnsi"/>
          <w:sz w:val="22"/>
          <w:lang w:val="en-IN" w:eastAsia="en-IN"/>
        </w:rPr>
        <w:t xml:space="preserve"> </w:t>
      </w:r>
      <w:r w:rsidR="00E4063F" w:rsidRPr="00332F68">
        <w:rPr>
          <w:rFonts w:asciiTheme="minorHAnsi" w:eastAsia="Times New Roman" w:hAnsiTheme="minorHAnsi" w:cstheme="minorHAnsi"/>
          <w:sz w:val="22"/>
          <w:lang w:val="en-IN" w:eastAsia="en-IN"/>
        </w:rPr>
        <w:t xml:space="preserve">The disease burden due to communicable, maternal, neonatal, and nutritional diseases, as measured using Disability-adjusted life years (DALYs), dropped from 61 per cent to 33 per cent between 1990 and 2016. In the same period, disease burden from non-communicable diseases increased from 30 per cent to 55 per cent. The epidemiological transition, however, varies widely among Indian </w:t>
      </w:r>
      <w:r w:rsidR="00E4063F" w:rsidRPr="00332F68">
        <w:rPr>
          <w:rFonts w:asciiTheme="minorHAnsi" w:eastAsia="Times New Roman" w:hAnsiTheme="minorHAnsi" w:cstheme="minorHAnsi"/>
          <w:sz w:val="22"/>
          <w:lang w:val="en-IN" w:eastAsia="en-IN"/>
        </w:rPr>
        <w:lastRenderedPageBreak/>
        <w:t>states: 48% to 75% for non-communicable diseases, 14% to 43% for infectious and associated diseases, and 9% to 14% for injuries</w:t>
      </w:r>
      <w:r w:rsidR="00E4063F" w:rsidRPr="00332F68">
        <w:rPr>
          <w:rStyle w:val="FootnoteReference"/>
          <w:rFonts w:eastAsia="Times New Roman" w:cstheme="minorHAnsi"/>
          <w:lang w:val="en-IN" w:eastAsia="en-IN"/>
        </w:rPr>
        <w:footnoteReference w:id="19"/>
      </w:r>
      <w:r w:rsidR="00E4063F" w:rsidRPr="00332F68">
        <w:rPr>
          <w:rFonts w:asciiTheme="minorHAnsi" w:eastAsia="Times New Roman" w:hAnsiTheme="minorHAnsi" w:cstheme="minorHAnsi"/>
          <w:sz w:val="22"/>
          <w:lang w:val="en-IN" w:eastAsia="en-IN"/>
        </w:rPr>
        <w:t>.</w:t>
      </w:r>
    </w:p>
    <w:p w14:paraId="630D120A" w14:textId="6E0A2597" w:rsidR="001363DD" w:rsidRPr="00C76A3E" w:rsidRDefault="001363DD" w:rsidP="009136E5">
      <w:pPr>
        <w:pStyle w:val="ListParagraph"/>
        <w:numPr>
          <w:ilvl w:val="0"/>
          <w:numId w:val="107"/>
        </w:numPr>
        <w:spacing w:before="0"/>
        <w:contextualSpacing w:val="0"/>
        <w:jc w:val="both"/>
        <w:rPr>
          <w:rFonts w:asciiTheme="minorHAnsi" w:hAnsiTheme="minorHAnsi" w:cstheme="minorHAnsi"/>
          <w:sz w:val="22"/>
        </w:rPr>
      </w:pPr>
      <w:r w:rsidRPr="00332F68">
        <w:rPr>
          <w:rFonts w:asciiTheme="minorHAnsi" w:eastAsia="Times New Roman" w:hAnsiTheme="minorHAnsi" w:cstheme="minorHAnsi"/>
          <w:sz w:val="22"/>
          <w:lang w:val="en-IN" w:eastAsia="en-IN"/>
        </w:rPr>
        <w:t>Currently</w:t>
      </w:r>
      <w:r w:rsidRPr="00332F68">
        <w:rPr>
          <w:rFonts w:asciiTheme="minorHAnsi" w:hAnsiTheme="minorHAnsi" w:cstheme="minorHAnsi"/>
          <w:sz w:val="22"/>
        </w:rPr>
        <w:t xml:space="preserve"> the Government (Union and the States put together) spends roughly 1.13 per cent of GDP on health. As a result, 62 per cent of healthcare spending is financed by households through out-of-pocket expenditure at the point of care</w:t>
      </w:r>
      <w:r w:rsidR="00B003BA">
        <w:rPr>
          <w:rStyle w:val="FootnoteReference"/>
          <w:rFonts w:cstheme="minorHAnsi"/>
        </w:rPr>
        <w:footnoteReference w:id="20"/>
      </w:r>
      <w:r w:rsidRPr="00332F68">
        <w:rPr>
          <w:rFonts w:asciiTheme="minorHAnsi" w:hAnsiTheme="minorHAnsi" w:cstheme="minorHAnsi"/>
          <w:sz w:val="22"/>
        </w:rPr>
        <w:t>.</w:t>
      </w:r>
      <w:r w:rsidRPr="00332F68">
        <w:rPr>
          <w:sz w:val="22"/>
        </w:rPr>
        <w:t xml:space="preserve"> </w:t>
      </w:r>
      <w:r w:rsidRPr="00C76A3E">
        <w:rPr>
          <w:rFonts w:asciiTheme="minorHAnsi" w:hAnsiTheme="minorHAnsi" w:cstheme="minorHAnsi"/>
          <w:sz w:val="22"/>
        </w:rPr>
        <w:t>The Government of India is planning to increase public health spending to 2.5 per cent of the country's GDP by 2025.</w:t>
      </w:r>
      <w:r w:rsidR="00C76A3E">
        <w:rPr>
          <w:rStyle w:val="FootnoteReference"/>
          <w:rFonts w:cstheme="minorHAnsi"/>
        </w:rPr>
        <w:footnoteReference w:id="21"/>
      </w:r>
    </w:p>
    <w:p w14:paraId="6E1644AA" w14:textId="111D21E2" w:rsidR="00FA6D44" w:rsidRDefault="00DA5D79" w:rsidP="00442A67">
      <w:pPr>
        <w:pStyle w:val="ListParagraph"/>
        <w:numPr>
          <w:ilvl w:val="1"/>
          <w:numId w:val="19"/>
        </w:numPr>
        <w:ind w:left="446" w:hanging="446"/>
        <w:contextualSpacing w:val="0"/>
        <w:jc w:val="both"/>
        <w:rPr>
          <w:rFonts w:asciiTheme="minorHAnsi" w:hAnsiTheme="minorHAnsi" w:cstheme="minorHAnsi"/>
          <w:b/>
          <w:color w:val="C86A07" w:themeColor="accent2" w:themeShade="BF"/>
          <w:sz w:val="28"/>
          <w:lang w:val="en"/>
        </w:rPr>
      </w:pPr>
      <w:r w:rsidRPr="0038614E">
        <w:rPr>
          <w:rFonts w:asciiTheme="minorHAnsi" w:hAnsiTheme="minorHAnsi" w:cstheme="minorHAnsi"/>
          <w:b/>
          <w:color w:val="C86A07" w:themeColor="accent2" w:themeShade="BF"/>
          <w:sz w:val="28"/>
          <w:lang w:val="en"/>
        </w:rPr>
        <w:t>Indian healthcare delivery system - public and private.</w:t>
      </w:r>
      <w:r w:rsidR="00896880" w:rsidRPr="0038614E">
        <w:rPr>
          <w:rFonts w:asciiTheme="minorHAnsi" w:hAnsiTheme="minorHAnsi" w:cstheme="minorHAnsi"/>
          <w:b/>
          <w:color w:val="C86A07" w:themeColor="accent2" w:themeShade="BF"/>
          <w:sz w:val="28"/>
          <w:lang w:val="en"/>
        </w:rPr>
        <w:t xml:space="preserve">  </w:t>
      </w:r>
    </w:p>
    <w:p w14:paraId="65ACCDCC" w14:textId="4841C101" w:rsidR="00A14BAF" w:rsidRDefault="0032010A" w:rsidP="0032010A">
      <w:pPr>
        <w:spacing w:before="0"/>
        <w:jc w:val="both"/>
        <w:rPr>
          <w:rFonts w:asciiTheme="minorHAnsi" w:hAnsiTheme="minorHAnsi" w:cstheme="minorHAnsi"/>
          <w:sz w:val="22"/>
        </w:rPr>
      </w:pPr>
      <w:r w:rsidRPr="0032010A">
        <w:rPr>
          <w:rFonts w:asciiTheme="minorHAnsi" w:hAnsiTheme="minorHAnsi" w:cstheme="minorHAnsi"/>
          <w:sz w:val="22"/>
        </w:rPr>
        <w:t>India has a mixed health-care system, inclusive of public and private health-care service providers. However, most of the private health-care providers are concentrated in urban India, providing secondary and tertiary care health-care services. The public health-care infrastructure in rural areas has been developed as a three-tier system based on population norms</w:t>
      </w:r>
      <w:r>
        <w:rPr>
          <w:rFonts w:asciiTheme="minorHAnsi" w:hAnsiTheme="minorHAnsi" w:cstheme="minorHAnsi"/>
          <w:sz w:val="22"/>
        </w:rPr>
        <w:t xml:space="preserve">. </w:t>
      </w:r>
    </w:p>
    <w:p w14:paraId="1D961EEE" w14:textId="29252399" w:rsidR="00506840" w:rsidRPr="0032010A" w:rsidRDefault="009042C2" w:rsidP="009042C2">
      <w:pPr>
        <w:spacing w:before="0" w:after="0"/>
        <w:jc w:val="both"/>
        <w:rPr>
          <w:rFonts w:asciiTheme="minorHAnsi" w:hAnsiTheme="minorHAnsi" w:cstheme="minorHAnsi"/>
          <w:sz w:val="22"/>
        </w:rPr>
      </w:pPr>
      <w:r w:rsidRPr="00A14BAF">
        <w:rPr>
          <w:noProof/>
          <w:lang w:val="en-IN" w:eastAsia="en-IN"/>
        </w:rPr>
        <w:drawing>
          <wp:anchor distT="0" distB="0" distL="114300" distR="114300" simplePos="0" relativeHeight="251653120" behindDoc="0" locked="0" layoutInCell="1" allowOverlap="1" wp14:anchorId="5F679D05" wp14:editId="23D0DD2F">
            <wp:simplePos x="0" y="0"/>
            <wp:positionH relativeFrom="column">
              <wp:posOffset>-28575</wp:posOffset>
            </wp:positionH>
            <wp:positionV relativeFrom="paragraph">
              <wp:posOffset>1000125</wp:posOffset>
            </wp:positionV>
            <wp:extent cx="3019425" cy="2809328"/>
            <wp:effectExtent l="0" t="0" r="0" b="0"/>
            <wp:wrapThrough wrapText="bothSides">
              <wp:wrapPolygon edited="0">
                <wp:start x="0" y="0"/>
                <wp:lineTo x="0" y="21385"/>
                <wp:lineTo x="21396" y="21385"/>
                <wp:lineTo x="21396"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19425" cy="2809328"/>
                    </a:xfrm>
                    <a:prstGeom prst="rect">
                      <a:avLst/>
                    </a:prstGeom>
                  </pic:spPr>
                </pic:pic>
              </a:graphicData>
            </a:graphic>
          </wp:anchor>
        </w:drawing>
      </w:r>
      <w:r w:rsidR="0032010A" w:rsidRPr="0032010A">
        <w:rPr>
          <w:rFonts w:asciiTheme="minorHAnsi" w:hAnsiTheme="minorHAnsi" w:cstheme="minorHAnsi"/>
          <w:b/>
          <w:sz w:val="22"/>
        </w:rPr>
        <w:t>A sub-center</w:t>
      </w:r>
      <w:r w:rsidR="0032010A" w:rsidRPr="0032010A">
        <w:rPr>
          <w:rFonts w:asciiTheme="minorHAnsi" w:hAnsiTheme="minorHAnsi" w:cstheme="minorHAnsi"/>
          <w:sz w:val="22"/>
        </w:rPr>
        <w:t xml:space="preserve"> (SC) is established in a plain area with a population of 5000 people and in hilly/difficult to reach/tribal areas with a population of 3000, and it is the most peripheral and first contact point between the primary health-care system and the community.</w:t>
      </w:r>
      <w:r w:rsidR="0032010A">
        <w:rPr>
          <w:rFonts w:asciiTheme="minorHAnsi" w:hAnsiTheme="minorHAnsi" w:cstheme="minorHAnsi"/>
          <w:sz w:val="22"/>
        </w:rPr>
        <w:t xml:space="preserve"> </w:t>
      </w:r>
      <w:r w:rsidR="0032010A" w:rsidRPr="0032010A">
        <w:rPr>
          <w:rFonts w:asciiTheme="minorHAnsi" w:hAnsiTheme="minorHAnsi" w:cstheme="minorHAnsi"/>
          <w:sz w:val="22"/>
        </w:rPr>
        <w:t>SCs are assigned tasks relating to interpersonal communication in order to bring about behavioral change and provide services in relation to maternal and child health, family welfare, nutrition, immunization, diarrhea control and control of communicable diseases programs</w:t>
      </w:r>
      <w:r w:rsidR="0032010A">
        <w:rPr>
          <w:rFonts w:asciiTheme="minorHAnsi" w:hAnsiTheme="minorHAnsi" w:cstheme="minorHAnsi"/>
          <w:sz w:val="22"/>
        </w:rPr>
        <w:t xml:space="preserve">. </w:t>
      </w:r>
      <w:r w:rsidR="0032010A" w:rsidRPr="0032010A">
        <w:rPr>
          <w:rFonts w:asciiTheme="minorHAnsi" w:hAnsiTheme="minorHAnsi" w:cstheme="minorHAnsi"/>
          <w:b/>
          <w:sz w:val="22"/>
        </w:rPr>
        <w:t>A primary health center (PHC)</w:t>
      </w:r>
      <w:r w:rsidR="0032010A" w:rsidRPr="0032010A">
        <w:rPr>
          <w:rFonts w:asciiTheme="minorHAnsi" w:hAnsiTheme="minorHAnsi" w:cstheme="minorHAnsi"/>
          <w:sz w:val="22"/>
        </w:rPr>
        <w:t xml:space="preserve"> is established in a plain area with a population of 30 000 people and in hilly/difficult to reach/tribal areas with a population of 20 000, and is the first contact point between the village community and the medical officer. PHCs were envisaged to provide integrated curative and preventive health care to the rural population with emphasis on the preventive and promotive aspects of health care.</w:t>
      </w:r>
      <w:r w:rsidR="00506840">
        <w:rPr>
          <w:rFonts w:asciiTheme="minorHAnsi" w:hAnsiTheme="minorHAnsi" w:cstheme="minorHAnsi"/>
          <w:sz w:val="22"/>
        </w:rPr>
        <w:t xml:space="preserve"> </w:t>
      </w:r>
      <w:r w:rsidR="00506840" w:rsidRPr="00506840">
        <w:rPr>
          <w:rFonts w:asciiTheme="minorHAnsi" w:hAnsiTheme="minorHAnsi" w:cstheme="minorHAnsi"/>
          <w:b/>
          <w:sz w:val="22"/>
        </w:rPr>
        <w:t>Community health centers</w:t>
      </w:r>
      <w:r w:rsidR="00506840" w:rsidRPr="00506840">
        <w:rPr>
          <w:rFonts w:asciiTheme="minorHAnsi" w:hAnsiTheme="minorHAnsi" w:cstheme="minorHAnsi"/>
          <w:sz w:val="22"/>
        </w:rPr>
        <w:t xml:space="preserve"> (CHCs) are established and maintained by the State Government under the MNP/BMS program in an area with a population of 120 000 people and in hilly/difficult to reach/tribal areas with a population of 80 000.</w:t>
      </w:r>
      <w:r w:rsidR="00506840">
        <w:rPr>
          <w:rFonts w:asciiTheme="minorHAnsi" w:hAnsiTheme="minorHAnsi" w:cstheme="minorHAnsi"/>
          <w:sz w:val="22"/>
        </w:rPr>
        <w:t xml:space="preserve"> </w:t>
      </w:r>
      <w:r w:rsidR="00506840" w:rsidRPr="00506840">
        <w:rPr>
          <w:rFonts w:asciiTheme="minorHAnsi" w:hAnsiTheme="minorHAnsi" w:cstheme="minorHAnsi"/>
          <w:sz w:val="22"/>
        </w:rPr>
        <w:t>It serves as a referral center for PHCs within the block and also provides facilities for obstetric care and specialist consultations.</w:t>
      </w:r>
      <w:r w:rsidR="00506840">
        <w:rPr>
          <w:rFonts w:asciiTheme="minorHAnsi" w:hAnsiTheme="minorHAnsi" w:cstheme="minorHAnsi"/>
          <w:sz w:val="22"/>
        </w:rPr>
        <w:t xml:space="preserve"> </w:t>
      </w:r>
      <w:r w:rsidR="00506840" w:rsidRPr="00506840">
        <w:rPr>
          <w:rFonts w:asciiTheme="minorHAnsi" w:hAnsiTheme="minorHAnsi" w:cstheme="minorHAnsi"/>
          <w:sz w:val="22"/>
        </w:rPr>
        <w:t>An existing facility (</w:t>
      </w:r>
      <w:r w:rsidR="00506840" w:rsidRPr="00506840">
        <w:rPr>
          <w:rFonts w:asciiTheme="minorHAnsi" w:hAnsiTheme="minorHAnsi" w:cstheme="minorHAnsi"/>
          <w:b/>
          <w:sz w:val="22"/>
        </w:rPr>
        <w:t>district hospital, sub-divisional hospital, CHC</w:t>
      </w:r>
      <w:r w:rsidR="00506840" w:rsidRPr="00506840">
        <w:rPr>
          <w:rFonts w:asciiTheme="minorHAnsi" w:hAnsiTheme="minorHAnsi" w:cstheme="minorHAnsi"/>
          <w:sz w:val="22"/>
        </w:rPr>
        <w:t>) can be declared a fully operational</w:t>
      </w:r>
      <w:r w:rsidR="00506840" w:rsidRPr="00506840">
        <w:rPr>
          <w:rFonts w:asciiTheme="minorHAnsi" w:hAnsiTheme="minorHAnsi" w:cstheme="minorHAnsi"/>
          <w:b/>
          <w:sz w:val="22"/>
        </w:rPr>
        <w:t xml:space="preserve"> first referral unit (FRU)</w:t>
      </w:r>
      <w:r w:rsidR="00506840" w:rsidRPr="00506840">
        <w:rPr>
          <w:rFonts w:asciiTheme="minorHAnsi" w:hAnsiTheme="minorHAnsi" w:cstheme="minorHAnsi"/>
          <w:sz w:val="22"/>
        </w:rPr>
        <w:t xml:space="preserve"> only if it is equipped to provide round-the-clock services for emergency obstetric and newborn care, in addition to all emergencies that any hospital is required to provide.</w:t>
      </w:r>
    </w:p>
    <w:p w14:paraId="10CE1F27" w14:textId="77777777" w:rsidR="00506840" w:rsidRPr="00532200" w:rsidRDefault="00506840" w:rsidP="009136E5">
      <w:pPr>
        <w:pStyle w:val="ListParagraph"/>
        <w:numPr>
          <w:ilvl w:val="0"/>
          <w:numId w:val="106"/>
        </w:numPr>
        <w:spacing w:before="0"/>
        <w:jc w:val="both"/>
        <w:rPr>
          <w:rFonts w:asciiTheme="minorHAnsi" w:eastAsia="Times New Roman" w:hAnsiTheme="minorHAnsi" w:cstheme="minorHAnsi"/>
          <w:b/>
          <w:sz w:val="22"/>
          <w:lang w:val="en-IN" w:eastAsia="en-IN"/>
        </w:rPr>
      </w:pPr>
      <w:r w:rsidRPr="00532200">
        <w:rPr>
          <w:rFonts w:asciiTheme="minorHAnsi" w:eastAsia="Times New Roman" w:hAnsiTheme="minorHAnsi" w:cstheme="minorHAnsi"/>
          <w:b/>
          <w:sz w:val="22"/>
          <w:lang w:val="en-IN" w:eastAsia="en-IN"/>
        </w:rPr>
        <w:t>Healthcare is provided by five major sectors in India</w:t>
      </w:r>
    </w:p>
    <w:p w14:paraId="4E8DDF94" w14:textId="77777777" w:rsidR="00506840" w:rsidRPr="00332F68" w:rsidRDefault="00506840" w:rsidP="009136E5">
      <w:pPr>
        <w:pStyle w:val="ListParagraph"/>
        <w:numPr>
          <w:ilvl w:val="1"/>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Public Health Sector</w:t>
      </w:r>
    </w:p>
    <w:p w14:paraId="33C70463" w14:textId="77777777" w:rsidR="00506840" w:rsidRPr="00332F68" w:rsidRDefault="00506840" w:rsidP="009136E5">
      <w:pPr>
        <w:pStyle w:val="ListParagraph"/>
        <w:numPr>
          <w:ilvl w:val="2"/>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Primary health care- PHC’s and sub-centres</w:t>
      </w:r>
    </w:p>
    <w:p w14:paraId="750018B6" w14:textId="77777777" w:rsidR="00506840" w:rsidRPr="00332F68" w:rsidRDefault="00506840" w:rsidP="009136E5">
      <w:pPr>
        <w:pStyle w:val="ListParagraph"/>
        <w:numPr>
          <w:ilvl w:val="2"/>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lastRenderedPageBreak/>
        <w:t>Secondary and Tertiary health care – CHC’s, Rural hospitals, district hospitals, speciality hospitals and teaching hospitals</w:t>
      </w:r>
    </w:p>
    <w:p w14:paraId="1FC0FAA6" w14:textId="77777777" w:rsidR="00506840" w:rsidRPr="00332F68" w:rsidRDefault="00506840" w:rsidP="009136E5">
      <w:pPr>
        <w:pStyle w:val="ListParagraph"/>
        <w:numPr>
          <w:ilvl w:val="2"/>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Health insurance schemes providing healthcare – ESI, CGHS</w:t>
      </w:r>
    </w:p>
    <w:p w14:paraId="495C87F3" w14:textId="77841EE3" w:rsidR="00506840" w:rsidRPr="00332F68" w:rsidRDefault="00506840" w:rsidP="009136E5">
      <w:pPr>
        <w:pStyle w:val="ListParagraph"/>
        <w:numPr>
          <w:ilvl w:val="2"/>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 xml:space="preserve">Other agencies: </w:t>
      </w:r>
      <w:r w:rsidR="00AD14E0">
        <w:rPr>
          <w:rFonts w:asciiTheme="minorHAnsi" w:eastAsia="Times New Roman" w:hAnsiTheme="minorHAnsi" w:cstheme="minorHAnsi"/>
          <w:sz w:val="22"/>
          <w:lang w:val="en-IN" w:eastAsia="en-IN"/>
        </w:rPr>
        <w:t>D</w:t>
      </w:r>
      <w:r w:rsidRPr="00332F68">
        <w:rPr>
          <w:rFonts w:asciiTheme="minorHAnsi" w:eastAsia="Times New Roman" w:hAnsiTheme="minorHAnsi" w:cstheme="minorHAnsi"/>
          <w:sz w:val="22"/>
          <w:lang w:val="en-IN" w:eastAsia="en-IN"/>
        </w:rPr>
        <w:t xml:space="preserve">efence services, </w:t>
      </w:r>
      <w:r w:rsidR="00AD14E0">
        <w:rPr>
          <w:rFonts w:asciiTheme="minorHAnsi" w:eastAsia="Times New Roman" w:hAnsiTheme="minorHAnsi" w:cstheme="minorHAnsi"/>
          <w:sz w:val="22"/>
          <w:lang w:val="en-IN" w:eastAsia="en-IN"/>
        </w:rPr>
        <w:t>R</w:t>
      </w:r>
      <w:r w:rsidRPr="00332F68">
        <w:rPr>
          <w:rFonts w:asciiTheme="minorHAnsi" w:eastAsia="Times New Roman" w:hAnsiTheme="minorHAnsi" w:cstheme="minorHAnsi"/>
          <w:sz w:val="22"/>
          <w:lang w:val="en-IN" w:eastAsia="en-IN"/>
        </w:rPr>
        <w:t>ailways</w:t>
      </w:r>
      <w:r w:rsidR="00AD14E0">
        <w:rPr>
          <w:rFonts w:asciiTheme="minorHAnsi" w:eastAsia="Times New Roman" w:hAnsiTheme="minorHAnsi" w:cstheme="minorHAnsi"/>
          <w:sz w:val="22"/>
          <w:lang w:val="en-IN" w:eastAsia="en-IN"/>
        </w:rPr>
        <w:t>, Public sector Units</w:t>
      </w:r>
    </w:p>
    <w:p w14:paraId="7DD8405A" w14:textId="77777777" w:rsidR="00506840" w:rsidRPr="00332F68" w:rsidRDefault="00506840" w:rsidP="009136E5">
      <w:pPr>
        <w:pStyle w:val="ListParagraph"/>
        <w:numPr>
          <w:ilvl w:val="1"/>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Private sector</w:t>
      </w:r>
    </w:p>
    <w:p w14:paraId="6C29BD0C" w14:textId="77777777" w:rsidR="00506840" w:rsidRPr="00332F68" w:rsidRDefault="00506840" w:rsidP="009136E5">
      <w:pPr>
        <w:pStyle w:val="ListParagraph"/>
        <w:numPr>
          <w:ilvl w:val="2"/>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P</w:t>
      </w:r>
      <w:r>
        <w:rPr>
          <w:rFonts w:asciiTheme="minorHAnsi" w:eastAsia="Times New Roman" w:hAnsiTheme="minorHAnsi" w:cstheme="minorHAnsi"/>
          <w:sz w:val="22"/>
          <w:lang w:val="en-IN" w:eastAsia="en-IN"/>
        </w:rPr>
        <w:t>ri</w:t>
      </w:r>
      <w:r w:rsidRPr="00332F68">
        <w:rPr>
          <w:rFonts w:asciiTheme="minorHAnsi" w:eastAsia="Times New Roman" w:hAnsiTheme="minorHAnsi" w:cstheme="minorHAnsi"/>
          <w:sz w:val="22"/>
          <w:lang w:val="en-IN" w:eastAsia="en-IN"/>
        </w:rPr>
        <w:t>vate hospitals, nursing homes, polyclinics etc.</w:t>
      </w:r>
    </w:p>
    <w:p w14:paraId="1846550C" w14:textId="77777777" w:rsidR="00506840" w:rsidRPr="00332F68" w:rsidRDefault="00506840" w:rsidP="009136E5">
      <w:pPr>
        <w:pStyle w:val="ListParagraph"/>
        <w:numPr>
          <w:ilvl w:val="2"/>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General practitioners</w:t>
      </w:r>
    </w:p>
    <w:p w14:paraId="5D395F2F" w14:textId="77777777" w:rsidR="00506840" w:rsidRPr="00332F68" w:rsidRDefault="00506840" w:rsidP="009136E5">
      <w:pPr>
        <w:pStyle w:val="ListParagraph"/>
        <w:numPr>
          <w:ilvl w:val="1"/>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Indigenous systems of medicine</w:t>
      </w:r>
    </w:p>
    <w:p w14:paraId="7D058641" w14:textId="77777777" w:rsidR="00506840" w:rsidRPr="00332F68" w:rsidRDefault="00506840" w:rsidP="009136E5">
      <w:pPr>
        <w:pStyle w:val="ListParagraph"/>
        <w:numPr>
          <w:ilvl w:val="2"/>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Ayurveda, Unani, Homeopathy etc.</w:t>
      </w:r>
    </w:p>
    <w:p w14:paraId="57FC794D" w14:textId="77777777" w:rsidR="00506840" w:rsidRPr="00332F68" w:rsidRDefault="00506840" w:rsidP="009136E5">
      <w:pPr>
        <w:pStyle w:val="ListParagraph"/>
        <w:numPr>
          <w:ilvl w:val="1"/>
          <w:numId w:val="106"/>
        </w:numPr>
        <w:spacing w:before="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Voluntary health agencies</w:t>
      </w:r>
    </w:p>
    <w:p w14:paraId="0BC66B66" w14:textId="59ADC045" w:rsidR="00506840" w:rsidRDefault="00506840" w:rsidP="009136E5">
      <w:pPr>
        <w:pStyle w:val="ListParagraph"/>
        <w:numPr>
          <w:ilvl w:val="1"/>
          <w:numId w:val="106"/>
        </w:numPr>
        <w:spacing w:before="0"/>
        <w:contextualSpacing w:val="0"/>
        <w:jc w:val="both"/>
        <w:rPr>
          <w:rFonts w:asciiTheme="minorHAnsi" w:eastAsia="Times New Roman" w:hAnsiTheme="minorHAnsi" w:cstheme="minorHAnsi"/>
          <w:sz w:val="22"/>
          <w:lang w:val="en-IN" w:eastAsia="en-IN"/>
        </w:rPr>
      </w:pPr>
      <w:r w:rsidRPr="00332F68">
        <w:rPr>
          <w:rFonts w:asciiTheme="minorHAnsi" w:eastAsia="Times New Roman" w:hAnsiTheme="minorHAnsi" w:cstheme="minorHAnsi"/>
          <w:sz w:val="22"/>
          <w:lang w:val="en-IN" w:eastAsia="en-IN"/>
        </w:rPr>
        <w:t>National health programs</w:t>
      </w:r>
      <w:r w:rsidR="0085017B">
        <w:rPr>
          <w:rFonts w:asciiTheme="minorHAnsi" w:eastAsia="Times New Roman" w:hAnsiTheme="minorHAnsi" w:cstheme="minorHAnsi"/>
          <w:sz w:val="22"/>
          <w:lang w:val="en-IN" w:eastAsia="en-IN"/>
        </w:rPr>
        <w:t xml:space="preserve"> </w:t>
      </w:r>
    </w:p>
    <w:p w14:paraId="13E0E977" w14:textId="19CBFC4D" w:rsidR="0027785B" w:rsidRDefault="0085017B" w:rsidP="0085017B">
      <w:pPr>
        <w:pStyle w:val="ListParagraph"/>
        <w:ind w:left="446"/>
        <w:contextualSpacing w:val="0"/>
        <w:rPr>
          <w:rFonts w:asciiTheme="minorHAnsi" w:hAnsiTheme="minorHAnsi" w:cstheme="minorHAnsi"/>
          <w:b/>
          <w:color w:val="C86A07" w:themeColor="accent2" w:themeShade="BF"/>
          <w:sz w:val="28"/>
          <w:lang w:val="en"/>
        </w:rPr>
      </w:pPr>
      <w:r w:rsidRPr="008A2F82">
        <w:rPr>
          <w:rFonts w:asciiTheme="minorHAnsi" w:eastAsia="Times New Roman" w:hAnsiTheme="minorHAnsi" w:cstheme="minorHAnsi"/>
          <w:b/>
          <w:lang w:val="en" w:eastAsia="en-IN"/>
        </w:rPr>
        <w:t xml:space="preserve">Figure 1:  </w:t>
      </w:r>
      <w:r w:rsidR="005A45E2" w:rsidRPr="008A2F82">
        <w:rPr>
          <w:rFonts w:asciiTheme="minorHAnsi" w:eastAsia="Times New Roman" w:hAnsiTheme="minorHAnsi" w:cstheme="minorHAnsi"/>
          <w:b/>
          <w:lang w:val="en" w:eastAsia="en-IN"/>
        </w:rPr>
        <w:t>Indian Healthcare system</w:t>
      </w:r>
      <w:r w:rsidRPr="008A2F82">
        <w:rPr>
          <w:rFonts w:asciiTheme="minorHAnsi" w:eastAsia="Times New Roman" w:hAnsiTheme="minorHAnsi" w:cstheme="minorHAnsi"/>
          <w:b/>
          <w:lang w:val="en" w:eastAsia="en-IN"/>
        </w:rPr>
        <w:t xml:space="preserve"> </w:t>
      </w:r>
      <w:r w:rsidR="0027785B" w:rsidRPr="0027785B">
        <w:rPr>
          <w:noProof/>
          <w:lang w:val="en-IN" w:eastAsia="en-IN"/>
        </w:rPr>
        <w:drawing>
          <wp:inline distT="0" distB="0" distL="0" distR="0" wp14:anchorId="7FEB1252" wp14:editId="1EC21989">
            <wp:extent cx="5732145" cy="4525010"/>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525010"/>
                    </a:xfrm>
                    <a:prstGeom prst="rect">
                      <a:avLst/>
                    </a:prstGeom>
                  </pic:spPr>
                </pic:pic>
              </a:graphicData>
            </a:graphic>
          </wp:inline>
        </w:drawing>
      </w:r>
    </w:p>
    <w:p w14:paraId="00656B64" w14:textId="304F5D8A" w:rsidR="001505B0" w:rsidRPr="00FA6D44" w:rsidRDefault="00DA5D79" w:rsidP="009136E5">
      <w:pPr>
        <w:pStyle w:val="ListParagraph"/>
        <w:numPr>
          <w:ilvl w:val="0"/>
          <w:numId w:val="104"/>
        </w:numPr>
        <w:spacing w:before="0"/>
        <w:contextualSpacing w:val="0"/>
        <w:jc w:val="both"/>
        <w:rPr>
          <w:rFonts w:asciiTheme="minorHAnsi" w:hAnsiTheme="minorHAnsi" w:cstheme="minorHAnsi"/>
          <w:sz w:val="22"/>
        </w:rPr>
      </w:pPr>
      <w:r w:rsidRPr="00FA6D44">
        <w:rPr>
          <w:rFonts w:asciiTheme="minorHAnsi" w:hAnsiTheme="minorHAnsi" w:cstheme="minorHAnsi"/>
          <w:b/>
          <w:sz w:val="22"/>
        </w:rPr>
        <w:t>Public health care system</w:t>
      </w:r>
      <w:r w:rsidR="00671D24" w:rsidRPr="00FA6D44">
        <w:rPr>
          <w:rFonts w:asciiTheme="minorHAnsi" w:hAnsiTheme="minorHAnsi" w:cstheme="minorHAnsi"/>
          <w:b/>
          <w:sz w:val="22"/>
        </w:rPr>
        <w:t>:</w:t>
      </w:r>
      <w:r w:rsidR="00671D24" w:rsidRPr="00FA6D44">
        <w:rPr>
          <w:rFonts w:asciiTheme="minorHAnsi" w:hAnsiTheme="minorHAnsi" w:cstheme="minorHAnsi"/>
          <w:sz w:val="22"/>
        </w:rPr>
        <w:t xml:space="preserve"> </w:t>
      </w:r>
      <w:r w:rsidR="001505B0" w:rsidRPr="00FA6D44">
        <w:rPr>
          <w:rFonts w:asciiTheme="minorHAnsi" w:hAnsiTheme="minorHAnsi" w:cstheme="minorHAnsi"/>
          <w:sz w:val="22"/>
        </w:rPr>
        <w:t xml:space="preserve">The </w:t>
      </w:r>
      <w:r w:rsidR="001505B0" w:rsidRPr="009042C2">
        <w:rPr>
          <w:rFonts w:asciiTheme="minorHAnsi" w:hAnsiTheme="minorHAnsi" w:cstheme="minorHAnsi"/>
          <w:b/>
          <w:sz w:val="22"/>
        </w:rPr>
        <w:t>National Health Mission (NHM)</w:t>
      </w:r>
      <w:r w:rsidR="001505B0" w:rsidRPr="00FA6D44">
        <w:rPr>
          <w:rFonts w:asciiTheme="minorHAnsi" w:hAnsiTheme="minorHAnsi" w:cstheme="minorHAnsi"/>
          <w:sz w:val="22"/>
        </w:rPr>
        <w:t xml:space="preserve"> encompasses two Sub-Missions, the National Rural Health Mission (NRHM) and the National Urban Health Mission (NUHM). Earlier known only as NRHM, the Mission was launched on 12th April 2005, to provide accessible, affordable and quality health care to the rural population, especially the vulnerable groups. The main programmatic components include Health system strengthening in rural and urban areas, Reproductive Maternal-Neonatal-Child and Adolescent Health (RMNCH+A) and Communicable and Non-Communicable Diseases. The NHM envisages achievement of universal access to equitable, affordable </w:t>
      </w:r>
      <w:r w:rsidR="00AF41B5">
        <w:rPr>
          <w:rFonts w:asciiTheme="minorHAnsi" w:hAnsiTheme="minorHAnsi" w:cstheme="minorHAnsi"/>
          <w:sz w:val="22"/>
        </w:rPr>
        <w:t>and</w:t>
      </w:r>
      <w:r w:rsidR="001505B0" w:rsidRPr="00FA6D44">
        <w:rPr>
          <w:rFonts w:asciiTheme="minorHAnsi" w:hAnsiTheme="minorHAnsi" w:cstheme="minorHAnsi"/>
          <w:sz w:val="22"/>
        </w:rPr>
        <w:t xml:space="preserve"> quality healthcare services that are accountable and responsive to people’s needs.</w:t>
      </w:r>
      <w:r w:rsidR="00BA121D">
        <w:rPr>
          <w:rFonts w:asciiTheme="minorHAnsi" w:hAnsiTheme="minorHAnsi" w:cstheme="minorHAnsi"/>
          <w:sz w:val="22"/>
        </w:rPr>
        <w:t xml:space="preserve"> </w:t>
      </w:r>
    </w:p>
    <w:p w14:paraId="745A979A" w14:textId="6BB37F30" w:rsidR="001505B0" w:rsidRPr="0038614E" w:rsidRDefault="001505B0" w:rsidP="009136E5">
      <w:pPr>
        <w:pStyle w:val="ListParagraph"/>
        <w:numPr>
          <w:ilvl w:val="0"/>
          <w:numId w:val="105"/>
        </w:numPr>
        <w:tabs>
          <w:tab w:val="left" w:pos="5760"/>
        </w:tabs>
        <w:spacing w:before="0" w:after="0"/>
        <w:ind w:left="360"/>
        <w:jc w:val="both"/>
        <w:rPr>
          <w:rFonts w:asciiTheme="minorHAnsi" w:hAnsiTheme="minorHAnsi" w:cstheme="minorHAnsi"/>
          <w:sz w:val="22"/>
        </w:rPr>
      </w:pPr>
      <w:r w:rsidRPr="0038614E">
        <w:rPr>
          <w:rFonts w:asciiTheme="minorHAnsi" w:hAnsiTheme="minorHAnsi" w:cstheme="minorHAnsi"/>
          <w:b/>
          <w:sz w:val="22"/>
        </w:rPr>
        <w:t>National Rural Health Mission (NRHM):</w:t>
      </w:r>
      <w:r w:rsidRPr="0038614E">
        <w:rPr>
          <w:rFonts w:asciiTheme="minorHAnsi" w:hAnsiTheme="minorHAnsi" w:cstheme="minorHAnsi"/>
          <w:sz w:val="22"/>
        </w:rPr>
        <w:t xml:space="preserve"> NRHM seeks to provide quality healthcare to the rural population, especially the vulnerable groups. Under the NRHM, the Empowered Action Group </w:t>
      </w:r>
      <w:r w:rsidRPr="0038614E">
        <w:rPr>
          <w:rFonts w:asciiTheme="minorHAnsi" w:hAnsiTheme="minorHAnsi" w:cstheme="minorHAnsi"/>
          <w:sz w:val="22"/>
        </w:rPr>
        <w:lastRenderedPageBreak/>
        <w:t>(EAG) States as well a</w:t>
      </w:r>
      <w:r w:rsidR="00AD0CE3">
        <w:rPr>
          <w:rFonts w:asciiTheme="minorHAnsi" w:hAnsiTheme="minorHAnsi" w:cstheme="minorHAnsi"/>
          <w:sz w:val="22"/>
        </w:rPr>
        <w:t>s North Eastern States, Jammu,</w:t>
      </w:r>
      <w:r w:rsidRPr="0038614E">
        <w:rPr>
          <w:rFonts w:asciiTheme="minorHAnsi" w:hAnsiTheme="minorHAnsi" w:cstheme="minorHAnsi"/>
          <w:sz w:val="22"/>
        </w:rPr>
        <w:t xml:space="preserve"> Kashmir</w:t>
      </w:r>
      <w:r w:rsidR="003032D8">
        <w:rPr>
          <w:rFonts w:asciiTheme="minorHAnsi" w:hAnsiTheme="minorHAnsi" w:cstheme="minorHAnsi"/>
          <w:sz w:val="22"/>
        </w:rPr>
        <w:t xml:space="preserve">, </w:t>
      </w:r>
      <w:r w:rsidR="003032D8" w:rsidRPr="0038614E">
        <w:rPr>
          <w:rFonts w:asciiTheme="minorHAnsi" w:hAnsiTheme="minorHAnsi" w:cstheme="minorHAnsi"/>
          <w:sz w:val="22"/>
        </w:rPr>
        <w:t>and</w:t>
      </w:r>
      <w:r w:rsidRPr="0038614E">
        <w:rPr>
          <w:rFonts w:asciiTheme="minorHAnsi" w:hAnsiTheme="minorHAnsi" w:cstheme="minorHAnsi"/>
          <w:sz w:val="22"/>
        </w:rPr>
        <w:t xml:space="preserve"> Himachal Pradesh have been given special focus. The thrust of the mission is on establishing a fully functional, community owned, decentralized health delivery system with inter-sectoral convergence at all levels, to ensure simultaneous action on a wide range of determinants of health such as water, sanitation, education, nutrition, social and gender equality.</w:t>
      </w:r>
      <w:r w:rsidR="00FA6D44" w:rsidRPr="0038614E">
        <w:rPr>
          <w:rFonts w:asciiTheme="minorHAnsi" w:hAnsiTheme="minorHAnsi" w:cstheme="minorHAnsi"/>
          <w:sz w:val="22"/>
        </w:rPr>
        <w:t xml:space="preserve"> </w:t>
      </w:r>
    </w:p>
    <w:p w14:paraId="67065DA4" w14:textId="428C5418" w:rsidR="00FA6D44" w:rsidRPr="001505B0" w:rsidRDefault="00FA6D44" w:rsidP="00BA121D">
      <w:pPr>
        <w:tabs>
          <w:tab w:val="left" w:pos="5760"/>
        </w:tabs>
        <w:spacing w:before="0" w:after="0"/>
        <w:ind w:left="360"/>
        <w:jc w:val="both"/>
        <w:rPr>
          <w:rFonts w:asciiTheme="minorHAnsi" w:hAnsiTheme="minorHAnsi" w:cstheme="minorHAnsi"/>
          <w:sz w:val="22"/>
        </w:rPr>
      </w:pPr>
      <w:r w:rsidRPr="001505B0">
        <w:rPr>
          <w:rFonts w:asciiTheme="minorHAnsi" w:hAnsiTheme="minorHAnsi" w:cstheme="minorHAnsi"/>
          <w:sz w:val="22"/>
        </w:rPr>
        <w:t>Major Initiatives under NRHM include the provision of Accredited Social Health Activists (ASHAs), other human resource support, and untied grants; establishment of Rogi Kalyan Samiti/Hospital Management Society</w:t>
      </w:r>
      <w:r w:rsidR="00AD0CE3">
        <w:rPr>
          <w:rFonts w:asciiTheme="minorHAnsi" w:hAnsiTheme="minorHAnsi" w:cstheme="minorHAnsi"/>
          <w:sz w:val="22"/>
        </w:rPr>
        <w:t>/Hospital Development Society</w:t>
      </w:r>
      <w:r w:rsidRPr="001505B0">
        <w:rPr>
          <w:rFonts w:asciiTheme="minorHAnsi" w:hAnsiTheme="minorHAnsi" w:cstheme="minorHAnsi"/>
          <w:sz w:val="22"/>
        </w:rPr>
        <w:t xml:space="preserve">, Village Health Sanitation and Nutrition Committee (VHSNC), Janani Suraksha Yojana (JSY), Janani Shishu Suraksha Karyakram (JSSK), Facility Based Newborn Care, National Mobile Medical Units (NMMUs), National Ambulance Services (NAS), Launch of National Quality Assurance Framework for Health facilities, Kayakalp, Free Drugs Service Initiative, Free Diagnostics Service Initiative and Bio Medical Equipment Maintenance. </w:t>
      </w:r>
    </w:p>
    <w:p w14:paraId="1D940624" w14:textId="2502A993" w:rsidR="001505B0" w:rsidRPr="001505B0" w:rsidRDefault="001505B0" w:rsidP="009136E5">
      <w:pPr>
        <w:pStyle w:val="ListParagraph"/>
        <w:numPr>
          <w:ilvl w:val="0"/>
          <w:numId w:val="105"/>
        </w:numPr>
        <w:tabs>
          <w:tab w:val="left" w:pos="5760"/>
        </w:tabs>
        <w:spacing w:before="0" w:after="0"/>
        <w:ind w:left="360"/>
        <w:jc w:val="both"/>
        <w:rPr>
          <w:rFonts w:asciiTheme="minorHAnsi" w:hAnsiTheme="minorHAnsi" w:cstheme="minorHAnsi"/>
          <w:sz w:val="22"/>
        </w:rPr>
      </w:pPr>
      <w:r w:rsidRPr="001505B0">
        <w:rPr>
          <w:rFonts w:asciiTheme="minorHAnsi" w:hAnsiTheme="minorHAnsi" w:cstheme="minorHAnsi"/>
          <w:b/>
          <w:sz w:val="22"/>
        </w:rPr>
        <w:t>National Urban Health Mission (NUHM):</w:t>
      </w:r>
      <w:r w:rsidRPr="001505B0">
        <w:rPr>
          <w:rFonts w:asciiTheme="minorHAnsi" w:hAnsiTheme="minorHAnsi" w:cstheme="minorHAnsi"/>
          <w:sz w:val="22"/>
        </w:rPr>
        <w:t xml:space="preserve"> NUHM seeks to improve the health status of the urban population particularly urban poor and other vulnerable sections by facilitating their access to quality primary healthcare. NUHM covers all State capitals, district headquarters and other cities/towns with a population of 50,000 and above (as per census 2011) in a phased manner</w:t>
      </w:r>
      <w:r w:rsidR="00AD0CE3">
        <w:rPr>
          <w:rFonts w:asciiTheme="minorHAnsi" w:hAnsiTheme="minorHAnsi" w:cstheme="minorHAnsi"/>
          <w:sz w:val="22"/>
        </w:rPr>
        <w:t xml:space="preserve">. </w:t>
      </w:r>
      <w:r w:rsidR="00AD0CE3" w:rsidRPr="00AD0CE3">
        <w:rPr>
          <w:rFonts w:asciiTheme="minorHAnsi" w:hAnsiTheme="minorHAnsi" w:cstheme="minorHAnsi"/>
          <w:sz w:val="22"/>
        </w:rPr>
        <w:t>Mahila Arogya Samitis (MAS)</w:t>
      </w:r>
      <w:r w:rsidR="00AD0CE3">
        <w:rPr>
          <w:rFonts w:asciiTheme="minorHAnsi" w:hAnsiTheme="minorHAnsi" w:cstheme="minorHAnsi"/>
          <w:sz w:val="22"/>
        </w:rPr>
        <w:t xml:space="preserve"> </w:t>
      </w:r>
      <w:r w:rsidR="00B67D1B">
        <w:rPr>
          <w:rFonts w:asciiTheme="minorHAnsi" w:hAnsiTheme="minorHAnsi" w:cstheme="minorHAnsi"/>
          <w:sz w:val="22"/>
        </w:rPr>
        <w:t xml:space="preserve">play a crucial role </w:t>
      </w:r>
      <w:r w:rsidR="00B67D1B" w:rsidRPr="00B67D1B">
        <w:rPr>
          <w:rFonts w:asciiTheme="minorHAnsi" w:hAnsiTheme="minorHAnsi" w:cstheme="minorHAnsi"/>
          <w:sz w:val="22"/>
        </w:rPr>
        <w:t>for health and hygiene, behaviour change promotion and facilitating community risk pooling mechanism in their coverage area</w:t>
      </w:r>
      <w:r w:rsidRPr="001505B0">
        <w:rPr>
          <w:rFonts w:asciiTheme="minorHAnsi" w:hAnsiTheme="minorHAnsi" w:cstheme="minorHAnsi"/>
          <w:sz w:val="22"/>
        </w:rPr>
        <w:t xml:space="preserve">. Cities and towns with population below 50,000 continue be covered under NRHM. </w:t>
      </w:r>
    </w:p>
    <w:p w14:paraId="793F5D1D" w14:textId="7D982977" w:rsidR="001505B0" w:rsidRDefault="001505B0" w:rsidP="009136E5">
      <w:pPr>
        <w:pStyle w:val="ListParagraph"/>
        <w:numPr>
          <w:ilvl w:val="0"/>
          <w:numId w:val="105"/>
        </w:numPr>
        <w:tabs>
          <w:tab w:val="left" w:pos="5760"/>
        </w:tabs>
        <w:spacing w:before="0"/>
        <w:ind w:left="360"/>
        <w:contextualSpacing w:val="0"/>
        <w:jc w:val="both"/>
        <w:rPr>
          <w:rFonts w:asciiTheme="minorHAnsi" w:hAnsiTheme="minorHAnsi" w:cstheme="minorHAnsi"/>
          <w:sz w:val="22"/>
        </w:rPr>
      </w:pPr>
      <w:r w:rsidRPr="00FA6D44">
        <w:rPr>
          <w:rFonts w:asciiTheme="minorHAnsi" w:hAnsiTheme="minorHAnsi" w:cstheme="minorHAnsi"/>
          <w:b/>
          <w:sz w:val="22"/>
        </w:rPr>
        <w:t xml:space="preserve">Funding support by NHM: </w:t>
      </w:r>
      <w:r w:rsidRPr="001505B0">
        <w:rPr>
          <w:rFonts w:asciiTheme="minorHAnsi" w:hAnsiTheme="minorHAnsi" w:cstheme="minorHAnsi"/>
          <w:sz w:val="22"/>
        </w:rPr>
        <w:t xml:space="preserve">The National Health Mission (NHM) is a major instrument of financing and support to the States to strengthen public health systems and healthcare delivery. This financing to the States are based on the State’s Programme Implementation Plan (PIP). </w:t>
      </w:r>
    </w:p>
    <w:p w14:paraId="44E7F2AF" w14:textId="0529EF79" w:rsidR="00B84F35" w:rsidRPr="00B84F35" w:rsidRDefault="00DA5D79" w:rsidP="009136E5">
      <w:pPr>
        <w:pStyle w:val="ListParagraph"/>
        <w:numPr>
          <w:ilvl w:val="0"/>
          <w:numId w:val="104"/>
        </w:numPr>
        <w:spacing w:before="0"/>
        <w:contextualSpacing w:val="0"/>
        <w:jc w:val="both"/>
        <w:rPr>
          <w:rFonts w:asciiTheme="minorHAnsi" w:hAnsiTheme="minorHAnsi" w:cstheme="minorHAnsi"/>
          <w:sz w:val="22"/>
        </w:rPr>
      </w:pPr>
      <w:r w:rsidRPr="008717E3">
        <w:rPr>
          <w:rFonts w:asciiTheme="minorHAnsi" w:hAnsiTheme="minorHAnsi" w:cstheme="minorHAnsi"/>
          <w:b/>
          <w:sz w:val="22"/>
        </w:rPr>
        <w:t>Private healthcare system:</w:t>
      </w:r>
      <w:r w:rsidRPr="00FA6D44">
        <w:rPr>
          <w:rFonts w:asciiTheme="minorHAnsi" w:hAnsiTheme="minorHAnsi" w:cstheme="minorHAnsi"/>
          <w:sz w:val="22"/>
        </w:rPr>
        <w:t xml:space="preserve"> </w:t>
      </w:r>
      <w:r w:rsidR="00ED1749" w:rsidRPr="00FA6D44">
        <w:rPr>
          <w:rFonts w:asciiTheme="minorHAnsi" w:hAnsiTheme="minorHAnsi" w:cstheme="minorHAnsi"/>
          <w:sz w:val="22"/>
        </w:rPr>
        <w:t>Private h</w:t>
      </w:r>
      <w:r w:rsidRPr="00FA6D44">
        <w:rPr>
          <w:rFonts w:asciiTheme="minorHAnsi" w:hAnsiTheme="minorHAnsi" w:cstheme="minorHAnsi"/>
          <w:sz w:val="22"/>
        </w:rPr>
        <w:t>ealthcare</w:t>
      </w:r>
      <w:r w:rsidR="00ED1749" w:rsidRPr="00FA6D44">
        <w:rPr>
          <w:rFonts w:asciiTheme="minorHAnsi" w:hAnsiTheme="minorHAnsi" w:cstheme="minorHAnsi"/>
          <w:sz w:val="22"/>
        </w:rPr>
        <w:t xml:space="preserve"> sector</w:t>
      </w:r>
      <w:r w:rsidRPr="00FA6D44">
        <w:rPr>
          <w:rFonts w:asciiTheme="minorHAnsi" w:hAnsiTheme="minorHAnsi" w:cstheme="minorHAnsi"/>
          <w:sz w:val="22"/>
        </w:rPr>
        <w:t xml:space="preserve"> has become one of India’s largest sectors - both in terms of revenue and employment.</w:t>
      </w:r>
      <w:r w:rsidR="00ED1749" w:rsidRPr="00FA6D44">
        <w:rPr>
          <w:rFonts w:asciiTheme="minorHAnsi" w:hAnsiTheme="minorHAnsi" w:cstheme="minorHAnsi"/>
          <w:sz w:val="22"/>
        </w:rPr>
        <w:t xml:space="preserve"> It </w:t>
      </w:r>
      <w:r w:rsidRPr="00FA6D44">
        <w:rPr>
          <w:rFonts w:asciiTheme="minorHAnsi" w:hAnsiTheme="minorHAnsi" w:cstheme="minorHAnsi"/>
          <w:sz w:val="22"/>
        </w:rPr>
        <w:t>comprises hospitals, medical devices, clinical trials, outsourcing, telemedicine, medical tourism, health insurance and medical equipment. The Indian</w:t>
      </w:r>
      <w:r w:rsidR="00ED1749" w:rsidRPr="00FA6D44">
        <w:rPr>
          <w:rFonts w:asciiTheme="minorHAnsi" w:hAnsiTheme="minorHAnsi" w:cstheme="minorHAnsi"/>
          <w:sz w:val="22"/>
        </w:rPr>
        <w:t xml:space="preserve"> private</w:t>
      </w:r>
      <w:r w:rsidRPr="00FA6D44">
        <w:rPr>
          <w:rFonts w:asciiTheme="minorHAnsi" w:hAnsiTheme="minorHAnsi" w:cstheme="minorHAnsi"/>
          <w:sz w:val="22"/>
        </w:rPr>
        <w:t xml:space="preserve"> healthcare sector is growing at a brisk pace due to its strengthening coverage, services and increasing expenditure by public as well private players. The private sector provides majority of secondary,</w:t>
      </w:r>
      <w:r w:rsidR="00F5698C">
        <w:rPr>
          <w:rFonts w:asciiTheme="minorHAnsi" w:hAnsiTheme="minorHAnsi" w:cstheme="minorHAnsi"/>
          <w:sz w:val="22"/>
        </w:rPr>
        <w:t xml:space="preserve"> and</w:t>
      </w:r>
      <w:r w:rsidRPr="00FA6D44">
        <w:rPr>
          <w:rFonts w:asciiTheme="minorHAnsi" w:hAnsiTheme="minorHAnsi" w:cstheme="minorHAnsi"/>
          <w:sz w:val="22"/>
        </w:rPr>
        <w:t xml:space="preserve"> tertiary care institutions with a major concentration in metros, tier I and tier II cities. </w:t>
      </w:r>
      <w:r w:rsidR="00A62BAC" w:rsidRPr="00FA6D44">
        <w:rPr>
          <w:rFonts w:asciiTheme="minorHAnsi" w:hAnsiTheme="minorHAnsi" w:cstheme="minorHAnsi"/>
          <w:sz w:val="22"/>
        </w:rPr>
        <w:t xml:space="preserve"> </w:t>
      </w:r>
      <w:r w:rsidR="00011CB3" w:rsidRPr="00FA6D44">
        <w:rPr>
          <w:rFonts w:asciiTheme="minorHAnsi" w:hAnsiTheme="minorHAnsi" w:cstheme="minorHAnsi"/>
          <w:sz w:val="22"/>
        </w:rPr>
        <w:t xml:space="preserve">The </w:t>
      </w:r>
      <w:r w:rsidR="0050507C">
        <w:rPr>
          <w:rFonts w:asciiTheme="minorHAnsi" w:hAnsiTheme="minorHAnsi" w:cstheme="minorHAnsi"/>
          <w:sz w:val="22"/>
        </w:rPr>
        <w:t>NTEP</w:t>
      </w:r>
      <w:r w:rsidR="00ED1749" w:rsidRPr="00FA6D44">
        <w:rPr>
          <w:rFonts w:asciiTheme="minorHAnsi" w:hAnsiTheme="minorHAnsi" w:cstheme="minorHAnsi"/>
          <w:sz w:val="22"/>
        </w:rPr>
        <w:t xml:space="preserve"> has </w:t>
      </w:r>
      <w:r w:rsidR="00616A20" w:rsidRPr="00FA6D44">
        <w:rPr>
          <w:rFonts w:asciiTheme="minorHAnsi" w:hAnsiTheme="minorHAnsi" w:cstheme="minorHAnsi"/>
          <w:sz w:val="22"/>
        </w:rPr>
        <w:t xml:space="preserve"> </w:t>
      </w:r>
      <w:r w:rsidR="00616A20" w:rsidRPr="00616A20">
        <w:t xml:space="preserve"> </w:t>
      </w:r>
      <w:r w:rsidR="00ED1749" w:rsidRPr="00FA6D44">
        <w:rPr>
          <w:rFonts w:asciiTheme="minorHAnsi" w:hAnsiTheme="minorHAnsi" w:cstheme="minorHAnsi"/>
          <w:sz w:val="22"/>
        </w:rPr>
        <w:t xml:space="preserve">leveraged the private sector over the last decade to </w:t>
      </w:r>
      <w:r w:rsidR="00ED1749" w:rsidRPr="00FA6D44">
        <w:rPr>
          <w:rFonts w:asciiTheme="minorHAnsi" w:hAnsiTheme="minorHAnsi" w:cstheme="minorHAnsi"/>
          <w:sz w:val="22"/>
          <w:lang w:val="en-IN"/>
        </w:rPr>
        <w:t>ensure that TB patients in the private sector receive timely diagnosis, good quality treatment, and protection from high out-of-pocket expenditure</w:t>
      </w:r>
      <w:r w:rsidR="00ED1749" w:rsidRPr="00FA6D44">
        <w:rPr>
          <w:rFonts w:asciiTheme="minorHAnsi" w:hAnsiTheme="minorHAnsi" w:cstheme="minorHAnsi"/>
          <w:sz w:val="22"/>
        </w:rPr>
        <w:t xml:space="preserve">. </w:t>
      </w:r>
    </w:p>
    <w:p w14:paraId="3B09FECA" w14:textId="2EF5B17B" w:rsidR="005D6B9E" w:rsidRPr="0085017B" w:rsidRDefault="0050507C" w:rsidP="00442A67">
      <w:pPr>
        <w:pStyle w:val="ListParagraph"/>
        <w:numPr>
          <w:ilvl w:val="1"/>
          <w:numId w:val="19"/>
        </w:numPr>
        <w:ind w:left="446" w:hanging="446"/>
        <w:contextualSpacing w:val="0"/>
        <w:rPr>
          <w:rFonts w:asciiTheme="minorHAnsi" w:hAnsiTheme="minorHAnsi" w:cstheme="minorHAnsi"/>
          <w:sz w:val="22"/>
        </w:rPr>
      </w:pPr>
      <w:r w:rsidRPr="005D6B9E">
        <w:rPr>
          <w:rFonts w:asciiTheme="minorHAnsi" w:hAnsiTheme="minorHAnsi" w:cstheme="minorHAnsi"/>
          <w:b/>
          <w:color w:val="C86A07" w:themeColor="accent2" w:themeShade="BF"/>
          <w:sz w:val="28"/>
          <w:lang w:val="en"/>
        </w:rPr>
        <w:t>NTEP</w:t>
      </w:r>
      <w:r w:rsidR="00B31607" w:rsidRPr="005D6B9E">
        <w:rPr>
          <w:rFonts w:asciiTheme="minorHAnsi" w:hAnsiTheme="minorHAnsi" w:cstheme="minorHAnsi"/>
          <w:b/>
          <w:color w:val="C86A07" w:themeColor="accent2" w:themeShade="BF"/>
          <w:sz w:val="28"/>
          <w:lang w:val="en"/>
        </w:rPr>
        <w:t xml:space="preserve"> implementation arrangements </w:t>
      </w:r>
    </w:p>
    <w:p w14:paraId="37455C0E" w14:textId="540D94E3" w:rsidR="0085017B" w:rsidRPr="008A2F82" w:rsidRDefault="0085017B" w:rsidP="007B1F32">
      <w:pPr>
        <w:pStyle w:val="ListParagraph"/>
        <w:spacing w:before="0" w:after="0"/>
        <w:ind w:left="0"/>
        <w:contextualSpacing w:val="0"/>
        <w:rPr>
          <w:rFonts w:asciiTheme="minorHAnsi" w:hAnsiTheme="minorHAnsi" w:cstheme="minorHAnsi"/>
        </w:rPr>
      </w:pPr>
      <w:r w:rsidRPr="008A2F82">
        <w:rPr>
          <w:rFonts w:asciiTheme="minorHAnsi" w:eastAsia="Times New Roman" w:hAnsiTheme="minorHAnsi" w:cstheme="minorHAnsi"/>
          <w:b/>
          <w:lang w:val="en" w:eastAsia="en-IN"/>
        </w:rPr>
        <w:t xml:space="preserve">Figure </w:t>
      </w:r>
      <w:r w:rsidR="005A45E2" w:rsidRPr="008A2F82">
        <w:rPr>
          <w:rFonts w:asciiTheme="minorHAnsi" w:eastAsia="Times New Roman" w:hAnsiTheme="minorHAnsi" w:cstheme="minorHAnsi"/>
          <w:b/>
          <w:lang w:val="en" w:eastAsia="en-IN"/>
        </w:rPr>
        <w:t>2</w:t>
      </w:r>
      <w:r w:rsidRPr="008A2F82">
        <w:rPr>
          <w:rFonts w:asciiTheme="minorHAnsi" w:eastAsia="Times New Roman" w:hAnsiTheme="minorHAnsi" w:cstheme="minorHAnsi"/>
          <w:b/>
          <w:lang w:val="en" w:eastAsia="en-IN"/>
        </w:rPr>
        <w:t xml:space="preserve">: </w:t>
      </w:r>
      <w:r w:rsidR="005A45E2" w:rsidRPr="008A2F82">
        <w:rPr>
          <w:rFonts w:asciiTheme="minorHAnsi" w:eastAsia="Times New Roman" w:hAnsiTheme="minorHAnsi" w:cstheme="minorHAnsi"/>
          <w:b/>
          <w:lang w:val="en" w:eastAsia="en-IN"/>
        </w:rPr>
        <w:t>NTEP implementation arrangements</w:t>
      </w:r>
    </w:p>
    <w:p w14:paraId="40707771" w14:textId="22A69646" w:rsidR="00D14481" w:rsidRPr="00F45FA0" w:rsidRDefault="005C2153" w:rsidP="007B1F32">
      <w:pPr>
        <w:spacing w:before="0" w:after="0"/>
        <w:jc w:val="both"/>
        <w:rPr>
          <w:rFonts w:asciiTheme="minorHAnsi" w:hAnsiTheme="minorHAnsi" w:cstheme="minorHAnsi"/>
          <w:sz w:val="22"/>
        </w:rPr>
      </w:pPr>
      <w:r w:rsidRPr="005C2153">
        <w:rPr>
          <w:noProof/>
          <w:lang w:val="en-IN" w:eastAsia="en-IN"/>
        </w:rPr>
        <w:drawing>
          <wp:anchor distT="0" distB="0" distL="114300" distR="114300" simplePos="0" relativeHeight="251662848" behindDoc="1" locked="0" layoutInCell="1" allowOverlap="1" wp14:anchorId="52CA2CB3" wp14:editId="175A5EDC">
            <wp:simplePos x="0" y="0"/>
            <wp:positionH relativeFrom="column">
              <wp:posOffset>28575</wp:posOffset>
            </wp:positionH>
            <wp:positionV relativeFrom="paragraph">
              <wp:posOffset>81280</wp:posOffset>
            </wp:positionV>
            <wp:extent cx="2877820" cy="2771775"/>
            <wp:effectExtent l="0" t="0" r="0" b="9525"/>
            <wp:wrapThrough wrapText="bothSides">
              <wp:wrapPolygon edited="0">
                <wp:start x="0" y="0"/>
                <wp:lineTo x="0" y="21526"/>
                <wp:lineTo x="21447" y="21526"/>
                <wp:lineTo x="21447"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77820" cy="2771775"/>
                    </a:xfrm>
                    <a:prstGeom prst="rect">
                      <a:avLst/>
                    </a:prstGeom>
                  </pic:spPr>
                </pic:pic>
              </a:graphicData>
            </a:graphic>
          </wp:anchor>
        </w:drawing>
      </w:r>
      <w:r w:rsidR="00A648A4" w:rsidRPr="00B84F35">
        <w:rPr>
          <w:rFonts w:asciiTheme="minorHAnsi" w:hAnsiTheme="minorHAnsi" w:cstheme="minorHAnsi"/>
          <w:b/>
          <w:sz w:val="22"/>
        </w:rPr>
        <w:t xml:space="preserve">National TB </w:t>
      </w:r>
      <w:r w:rsidR="00B84F35">
        <w:rPr>
          <w:rFonts w:asciiTheme="minorHAnsi" w:hAnsiTheme="minorHAnsi" w:cstheme="minorHAnsi"/>
          <w:b/>
          <w:sz w:val="22"/>
        </w:rPr>
        <w:t>Elimination</w:t>
      </w:r>
      <w:r w:rsidR="00A648A4" w:rsidRPr="00B84F35">
        <w:rPr>
          <w:rFonts w:asciiTheme="minorHAnsi" w:hAnsiTheme="minorHAnsi" w:cstheme="minorHAnsi"/>
          <w:b/>
          <w:sz w:val="22"/>
        </w:rPr>
        <w:t xml:space="preserve"> Programme</w:t>
      </w:r>
      <w:r w:rsidR="00A648A4" w:rsidRPr="00F45FA0">
        <w:rPr>
          <w:rFonts w:asciiTheme="minorHAnsi" w:hAnsiTheme="minorHAnsi" w:cstheme="minorHAnsi"/>
          <w:sz w:val="22"/>
        </w:rPr>
        <w:t xml:space="preserve"> is a Centrally Sponsored Scheme being implemented under the aegis of National Health Mission with resource sharing between the State Governments and the Central Government. It is managed by the Central TB Division (CTD), the technical arm of the Ministry of Health and Family Welfare (MoH&amp;FW). </w:t>
      </w:r>
      <w:r w:rsidR="00F45FA0" w:rsidRPr="00F45FA0">
        <w:rPr>
          <w:rFonts w:asciiTheme="minorHAnsi" w:hAnsiTheme="minorHAnsi" w:cstheme="minorHAnsi"/>
          <w:sz w:val="22"/>
        </w:rPr>
        <w:t xml:space="preserve">The CTD is assisted by </w:t>
      </w:r>
      <w:r w:rsidR="00EC7D31">
        <w:rPr>
          <w:rFonts w:asciiTheme="minorHAnsi" w:hAnsiTheme="minorHAnsi" w:cstheme="minorHAnsi"/>
          <w:sz w:val="22"/>
        </w:rPr>
        <w:t>six</w:t>
      </w:r>
      <w:r w:rsidR="00F45FA0" w:rsidRPr="00F45FA0">
        <w:rPr>
          <w:rFonts w:asciiTheme="minorHAnsi" w:hAnsiTheme="minorHAnsi" w:cstheme="minorHAnsi"/>
          <w:sz w:val="22"/>
        </w:rPr>
        <w:t xml:space="preserve"> national level institutes, namely the National TB Institute in Bengaluru, the National Institute of TB and Respiratory Disease in New Delhi, the National Institute of Research in Tuberculosis in Chennai and the JALMA Institute of Leprosy and other Mycobacterial Diseases, Agra</w:t>
      </w:r>
      <w:r w:rsidR="00EC7D31">
        <w:rPr>
          <w:rFonts w:asciiTheme="minorHAnsi" w:hAnsiTheme="minorHAnsi" w:cstheme="minorHAnsi"/>
          <w:sz w:val="22"/>
        </w:rPr>
        <w:t xml:space="preserve">, BMHRC, Bhopal, </w:t>
      </w:r>
      <w:r w:rsidR="00EC7D31">
        <w:rPr>
          <w:rFonts w:asciiTheme="minorHAnsi" w:hAnsiTheme="minorHAnsi" w:cstheme="minorHAnsi"/>
          <w:sz w:val="22"/>
        </w:rPr>
        <w:lastRenderedPageBreak/>
        <w:t>and RMRC, Bhubaneshwar</w:t>
      </w:r>
      <w:r w:rsidR="00F45FA0" w:rsidRPr="00F45FA0">
        <w:rPr>
          <w:rFonts w:asciiTheme="minorHAnsi" w:hAnsiTheme="minorHAnsi" w:cstheme="minorHAnsi"/>
          <w:sz w:val="22"/>
        </w:rPr>
        <w:t xml:space="preserve">. </w:t>
      </w:r>
      <w:r w:rsidR="00A648A4" w:rsidRPr="00F45FA0">
        <w:rPr>
          <w:rFonts w:asciiTheme="minorHAnsi" w:hAnsiTheme="minorHAnsi" w:cstheme="minorHAnsi"/>
          <w:sz w:val="22"/>
        </w:rPr>
        <w:t xml:space="preserve">Fourteen committees have been constituted at national level to provide technical guidance for programme implementation. </w:t>
      </w:r>
    </w:p>
    <w:p w14:paraId="48223405" w14:textId="61B457CE" w:rsidR="00284E4C" w:rsidRPr="00446A96" w:rsidRDefault="00284E4C" w:rsidP="009136E5">
      <w:pPr>
        <w:pStyle w:val="ListParagraph"/>
        <w:numPr>
          <w:ilvl w:val="0"/>
          <w:numId w:val="89"/>
        </w:numPr>
        <w:spacing w:before="0"/>
        <w:contextualSpacing w:val="0"/>
        <w:jc w:val="both"/>
        <w:rPr>
          <w:rFonts w:asciiTheme="minorHAnsi" w:hAnsiTheme="minorHAnsi" w:cstheme="minorHAnsi"/>
          <w:sz w:val="22"/>
        </w:rPr>
      </w:pPr>
      <w:r w:rsidRPr="00B84F35">
        <w:rPr>
          <w:rFonts w:asciiTheme="minorHAnsi" w:hAnsiTheme="minorHAnsi" w:cstheme="minorHAnsi"/>
          <w:b/>
          <w:sz w:val="22"/>
        </w:rPr>
        <w:t>At the State level,</w:t>
      </w:r>
      <w:r w:rsidRPr="00284E4C">
        <w:rPr>
          <w:rFonts w:asciiTheme="minorHAnsi" w:hAnsiTheme="minorHAnsi" w:cstheme="minorHAnsi"/>
          <w:sz w:val="22"/>
        </w:rPr>
        <w:t xml:space="preserve"> State Health Secretary and MD-NHM are responsible for programme implementation in the State where in the planning, training, supervising and monitoring of the programme in their respective states is as per the guidelines of the State Health Society and CTD. State TB Training and Demonstration Centre (STDC) supports the State TB Cell in most of the larger states. State Drug Store (SDS) has been established for the effective management of anti-TB drug logistics. </w:t>
      </w:r>
      <w:r w:rsidR="00AE670F" w:rsidRPr="00284E4C">
        <w:rPr>
          <w:rFonts w:asciiTheme="minorHAnsi" w:hAnsiTheme="minorHAnsi" w:cstheme="minorHAnsi"/>
          <w:sz w:val="22"/>
          <w:lang w:val="en-IN"/>
        </w:rPr>
        <w:t>The</w:t>
      </w:r>
      <w:r w:rsidRPr="00284E4C">
        <w:rPr>
          <w:rFonts w:asciiTheme="minorHAnsi" w:hAnsiTheme="minorHAnsi" w:cstheme="minorHAnsi"/>
          <w:sz w:val="22"/>
          <w:lang w:val="en-IN"/>
        </w:rPr>
        <w:t xml:space="preserve"> STDC is supported by the State TB Forums for community engagement, State level PMDT committee for implementation guidance and review of PMDT,</w:t>
      </w:r>
      <w:r w:rsidR="00D2220C">
        <w:rPr>
          <w:rFonts w:asciiTheme="minorHAnsi" w:hAnsiTheme="minorHAnsi" w:cstheme="minorHAnsi"/>
          <w:sz w:val="22"/>
          <w:lang w:val="en-IN"/>
        </w:rPr>
        <w:t xml:space="preserve"> </w:t>
      </w:r>
      <w:r w:rsidRPr="00284E4C">
        <w:rPr>
          <w:rFonts w:asciiTheme="minorHAnsi" w:hAnsiTheme="minorHAnsi" w:cstheme="minorHAnsi"/>
          <w:sz w:val="22"/>
          <w:lang w:val="en-IN"/>
        </w:rPr>
        <w:t>State level</w:t>
      </w:r>
      <w:r w:rsidR="00D93633">
        <w:rPr>
          <w:rFonts w:asciiTheme="minorHAnsi" w:hAnsiTheme="minorHAnsi" w:cstheme="minorHAnsi"/>
          <w:sz w:val="22"/>
          <w:lang w:val="en-IN"/>
        </w:rPr>
        <w:t xml:space="preserve"> TB comorbidity coordination committee and </w:t>
      </w:r>
      <w:r w:rsidRPr="00284E4C">
        <w:rPr>
          <w:rFonts w:asciiTheme="minorHAnsi" w:hAnsiTheme="minorHAnsi" w:cstheme="minorHAnsi"/>
          <w:sz w:val="22"/>
          <w:lang w:val="en-IN"/>
        </w:rPr>
        <w:t>Technical Working Group for HIVTB for smooth TB</w:t>
      </w:r>
      <w:r w:rsidR="00D93633">
        <w:rPr>
          <w:rFonts w:asciiTheme="minorHAnsi" w:hAnsiTheme="minorHAnsi" w:cstheme="minorHAnsi"/>
          <w:sz w:val="22"/>
          <w:lang w:val="en-IN"/>
        </w:rPr>
        <w:t>- comorbidity</w:t>
      </w:r>
      <w:r w:rsidRPr="00284E4C">
        <w:rPr>
          <w:rFonts w:asciiTheme="minorHAnsi" w:hAnsiTheme="minorHAnsi" w:cstheme="minorHAnsi"/>
          <w:sz w:val="22"/>
          <w:lang w:val="en-IN"/>
        </w:rPr>
        <w:t xml:space="preserve"> coordination. Nodal Drug Resistant TB centres are established for management of drug resistant TB with newer drugs, adverse drug reactions and as referral unit.</w:t>
      </w:r>
      <w:r w:rsidR="00446A96">
        <w:rPr>
          <w:rFonts w:asciiTheme="minorHAnsi" w:hAnsiTheme="minorHAnsi" w:cstheme="minorHAnsi"/>
          <w:sz w:val="22"/>
          <w:lang w:val="en-IN"/>
        </w:rPr>
        <w:t xml:space="preserve"> </w:t>
      </w:r>
    </w:p>
    <w:p w14:paraId="4DB4AC41" w14:textId="0BEFD750" w:rsidR="00446A96" w:rsidRDefault="00446A96" w:rsidP="009136E5">
      <w:pPr>
        <w:pStyle w:val="ListParagraph"/>
        <w:numPr>
          <w:ilvl w:val="0"/>
          <w:numId w:val="89"/>
        </w:numPr>
        <w:spacing w:before="0"/>
        <w:contextualSpacing w:val="0"/>
        <w:jc w:val="both"/>
        <w:rPr>
          <w:rFonts w:asciiTheme="minorHAnsi" w:hAnsiTheme="minorHAnsi" w:cstheme="minorHAnsi"/>
          <w:sz w:val="22"/>
        </w:rPr>
      </w:pPr>
      <w:r w:rsidRPr="00B84F35">
        <w:rPr>
          <w:rFonts w:asciiTheme="minorHAnsi" w:hAnsiTheme="minorHAnsi" w:cstheme="minorHAnsi"/>
          <w:b/>
          <w:sz w:val="22"/>
        </w:rPr>
        <w:t>The district</w:t>
      </w:r>
      <w:r w:rsidRPr="00446A96">
        <w:rPr>
          <w:rFonts w:asciiTheme="minorHAnsi" w:hAnsiTheme="minorHAnsi" w:cstheme="minorHAnsi"/>
          <w:sz w:val="22"/>
        </w:rPr>
        <w:t xml:space="preserve"> is the key level for the management of the primary health care services. The District Tuberculosis Centre</w:t>
      </w:r>
      <w:r>
        <w:rPr>
          <w:rFonts w:asciiTheme="minorHAnsi" w:hAnsiTheme="minorHAnsi" w:cstheme="minorHAnsi"/>
          <w:sz w:val="22"/>
        </w:rPr>
        <w:t xml:space="preserve"> </w:t>
      </w:r>
      <w:r w:rsidRPr="00446A96">
        <w:rPr>
          <w:rFonts w:asciiTheme="minorHAnsi" w:hAnsiTheme="minorHAnsi" w:cstheme="minorHAnsi"/>
          <w:sz w:val="22"/>
        </w:rPr>
        <w:t>(DTC) is the nodal point for all TB control</w:t>
      </w:r>
      <w:r>
        <w:rPr>
          <w:rFonts w:asciiTheme="minorHAnsi" w:hAnsiTheme="minorHAnsi" w:cstheme="minorHAnsi"/>
          <w:sz w:val="22"/>
        </w:rPr>
        <w:t xml:space="preserve"> activities in the district and has the</w:t>
      </w:r>
      <w:r w:rsidRPr="00446A96">
        <w:rPr>
          <w:rFonts w:asciiTheme="minorHAnsi" w:hAnsiTheme="minorHAnsi" w:cstheme="minorHAnsi"/>
          <w:sz w:val="22"/>
        </w:rPr>
        <w:t xml:space="preserve"> overall responsibility</w:t>
      </w:r>
      <w:r>
        <w:rPr>
          <w:rFonts w:asciiTheme="minorHAnsi" w:hAnsiTheme="minorHAnsi" w:cstheme="minorHAnsi"/>
          <w:sz w:val="22"/>
        </w:rPr>
        <w:t xml:space="preserve"> </w:t>
      </w:r>
      <w:r w:rsidRPr="00446A96">
        <w:rPr>
          <w:rFonts w:asciiTheme="minorHAnsi" w:hAnsiTheme="minorHAnsi" w:cstheme="minorHAnsi"/>
          <w:sz w:val="22"/>
        </w:rPr>
        <w:t xml:space="preserve">of management of </w:t>
      </w:r>
      <w:r w:rsidR="007B135B">
        <w:rPr>
          <w:rFonts w:asciiTheme="minorHAnsi" w:hAnsiTheme="minorHAnsi" w:cstheme="minorHAnsi"/>
          <w:sz w:val="22"/>
        </w:rPr>
        <w:t>NTEP</w:t>
      </w:r>
      <w:r w:rsidRPr="00446A96">
        <w:rPr>
          <w:rFonts w:asciiTheme="minorHAnsi" w:hAnsiTheme="minorHAnsi" w:cstheme="minorHAnsi"/>
          <w:sz w:val="22"/>
        </w:rPr>
        <w:t xml:space="preserve"> at the district level</w:t>
      </w:r>
      <w:r>
        <w:rPr>
          <w:rFonts w:asciiTheme="minorHAnsi" w:hAnsiTheme="minorHAnsi" w:cstheme="minorHAnsi"/>
          <w:sz w:val="22"/>
        </w:rPr>
        <w:t xml:space="preserve"> </w:t>
      </w:r>
      <w:r w:rsidRPr="00446A96">
        <w:rPr>
          <w:rFonts w:asciiTheme="minorHAnsi" w:hAnsiTheme="minorHAnsi" w:cstheme="minorHAnsi"/>
          <w:sz w:val="22"/>
        </w:rPr>
        <w:t>as per the programme guidelines and the</w:t>
      </w:r>
      <w:r>
        <w:rPr>
          <w:rFonts w:asciiTheme="minorHAnsi" w:hAnsiTheme="minorHAnsi" w:cstheme="minorHAnsi"/>
          <w:sz w:val="22"/>
        </w:rPr>
        <w:t xml:space="preserve"> </w:t>
      </w:r>
      <w:r w:rsidRPr="00446A96">
        <w:rPr>
          <w:rFonts w:asciiTheme="minorHAnsi" w:hAnsiTheme="minorHAnsi" w:cstheme="minorHAnsi"/>
          <w:sz w:val="22"/>
        </w:rPr>
        <w:t>guidance of the District Health Society.</w:t>
      </w:r>
      <w:r>
        <w:rPr>
          <w:rFonts w:asciiTheme="minorHAnsi" w:hAnsiTheme="minorHAnsi" w:cstheme="minorHAnsi"/>
          <w:sz w:val="22"/>
        </w:rPr>
        <w:t xml:space="preserve"> </w:t>
      </w:r>
      <w:r w:rsidR="00D93633">
        <w:rPr>
          <w:rFonts w:asciiTheme="minorHAnsi" w:hAnsiTheme="minorHAnsi" w:cstheme="minorHAnsi"/>
          <w:sz w:val="22"/>
          <w:lang w:val="en-IN"/>
        </w:rPr>
        <w:t xml:space="preserve">District level TB comorbidity </w:t>
      </w:r>
      <w:r w:rsidR="00D93633" w:rsidRPr="00376C25">
        <w:rPr>
          <w:rFonts w:asciiTheme="minorHAnsi" w:hAnsiTheme="minorHAnsi" w:cstheme="minorHAnsi"/>
          <w:sz w:val="22"/>
        </w:rPr>
        <w:t xml:space="preserve">coordination committee is in-place </w:t>
      </w:r>
      <w:r w:rsidR="00376C25" w:rsidRPr="00376C25">
        <w:rPr>
          <w:rFonts w:asciiTheme="minorHAnsi" w:hAnsiTheme="minorHAnsi" w:cstheme="minorHAnsi"/>
          <w:sz w:val="22"/>
        </w:rPr>
        <w:t>for smooth</w:t>
      </w:r>
      <w:r w:rsidR="00D93633" w:rsidRPr="00376C25">
        <w:rPr>
          <w:rFonts w:asciiTheme="minorHAnsi" w:hAnsiTheme="minorHAnsi" w:cstheme="minorHAnsi"/>
          <w:sz w:val="22"/>
        </w:rPr>
        <w:t xml:space="preserve"> TB comorbidity coordination. </w:t>
      </w:r>
    </w:p>
    <w:p w14:paraId="0F3EA689" w14:textId="6EF9961D" w:rsidR="001B2E9C" w:rsidRPr="001B2E9C" w:rsidRDefault="00D51427" w:rsidP="009136E5">
      <w:pPr>
        <w:pStyle w:val="ListParagraph"/>
        <w:numPr>
          <w:ilvl w:val="0"/>
          <w:numId w:val="89"/>
        </w:numPr>
        <w:spacing w:before="0"/>
        <w:contextualSpacing w:val="0"/>
        <w:jc w:val="both"/>
        <w:rPr>
          <w:rFonts w:asciiTheme="minorHAnsi" w:hAnsiTheme="minorHAnsi" w:cstheme="minorHAnsi"/>
          <w:sz w:val="22"/>
        </w:rPr>
      </w:pPr>
      <w:r w:rsidRPr="001B2E9C">
        <w:rPr>
          <w:rFonts w:asciiTheme="minorHAnsi" w:hAnsiTheme="minorHAnsi" w:cstheme="minorHAnsi"/>
          <w:b/>
          <w:sz w:val="22"/>
        </w:rPr>
        <w:t>At the s</w:t>
      </w:r>
      <w:r w:rsidR="00CD5499" w:rsidRPr="001B2E9C">
        <w:rPr>
          <w:rFonts w:asciiTheme="minorHAnsi" w:hAnsiTheme="minorHAnsi" w:cstheme="minorHAnsi"/>
          <w:b/>
          <w:sz w:val="22"/>
        </w:rPr>
        <w:t>ub-district level</w:t>
      </w:r>
      <w:r w:rsidRPr="001B2E9C">
        <w:rPr>
          <w:rFonts w:asciiTheme="minorHAnsi" w:hAnsiTheme="minorHAnsi" w:cstheme="minorHAnsi"/>
          <w:sz w:val="22"/>
        </w:rPr>
        <w:t xml:space="preserve"> End TB activities are implemented through a Tuberculosis Unit (</w:t>
      </w:r>
      <w:r w:rsidR="00CD5499" w:rsidRPr="001B2E9C">
        <w:rPr>
          <w:rFonts w:asciiTheme="minorHAnsi" w:hAnsiTheme="minorHAnsi" w:cstheme="minorHAnsi"/>
          <w:sz w:val="22"/>
        </w:rPr>
        <w:t>TU</w:t>
      </w:r>
      <w:r w:rsidRPr="001B2E9C">
        <w:rPr>
          <w:rFonts w:asciiTheme="minorHAnsi" w:hAnsiTheme="minorHAnsi" w:cstheme="minorHAnsi"/>
          <w:sz w:val="22"/>
        </w:rPr>
        <w:t>) which</w:t>
      </w:r>
      <w:r w:rsidR="00CD5499" w:rsidRPr="001B2E9C">
        <w:rPr>
          <w:rFonts w:asciiTheme="minorHAnsi" w:hAnsiTheme="minorHAnsi" w:cstheme="minorHAnsi"/>
          <w:sz w:val="22"/>
        </w:rPr>
        <w:t xml:space="preserve"> consists of a designated Medical Officer-Tuberculosis Control (MO-TC) supported by two full-time </w:t>
      </w:r>
      <w:r w:rsidR="007B135B" w:rsidRPr="001B2E9C">
        <w:rPr>
          <w:rFonts w:asciiTheme="minorHAnsi" w:hAnsiTheme="minorHAnsi" w:cstheme="minorHAnsi"/>
          <w:sz w:val="22"/>
        </w:rPr>
        <w:t>NTEP</w:t>
      </w:r>
      <w:r w:rsidR="00CD5499" w:rsidRPr="001B2E9C">
        <w:rPr>
          <w:rFonts w:asciiTheme="minorHAnsi" w:hAnsiTheme="minorHAnsi" w:cstheme="minorHAnsi"/>
          <w:sz w:val="22"/>
        </w:rPr>
        <w:t xml:space="preserve"> contractual supervisory staff exclusively for tuberculosis work - a Senior TB Treatment Supervisor (STS) and a Senior TB Laboratory Supervisor (STLS). The TU is generally aligned with the administrative blocks in the district</w:t>
      </w:r>
      <w:r w:rsidR="001B2E9C" w:rsidRPr="001B2E9C">
        <w:rPr>
          <w:rFonts w:asciiTheme="minorHAnsi" w:hAnsiTheme="minorHAnsi" w:cstheme="minorHAnsi"/>
          <w:sz w:val="22"/>
        </w:rPr>
        <w:t xml:space="preserve"> with 1 STS /TU at NHM block or urban area ( approx. pop 1.5-2.5 l) and </w:t>
      </w:r>
      <w:r w:rsidR="001B2E9C">
        <w:rPr>
          <w:rFonts w:asciiTheme="minorHAnsi" w:hAnsiTheme="minorHAnsi" w:cstheme="minorHAnsi"/>
          <w:sz w:val="22"/>
        </w:rPr>
        <w:t>1 STLS /5 lac</w:t>
      </w:r>
      <w:r w:rsidR="001B2E9C" w:rsidRPr="001B2E9C">
        <w:rPr>
          <w:rFonts w:asciiTheme="minorHAnsi" w:hAnsiTheme="minorHAnsi" w:cstheme="minorHAnsi"/>
          <w:sz w:val="22"/>
        </w:rPr>
        <w:t xml:space="preserve"> population (~ 5 DMCs)</w:t>
      </w:r>
      <w:r w:rsidR="00517CE5">
        <w:rPr>
          <w:rFonts w:asciiTheme="minorHAnsi" w:hAnsiTheme="minorHAnsi" w:cstheme="minorHAnsi"/>
          <w:sz w:val="22"/>
        </w:rPr>
        <w:t>.</w:t>
      </w:r>
    </w:p>
    <w:p w14:paraId="0675254E" w14:textId="54AB4639" w:rsidR="0016003E" w:rsidRPr="0016003E" w:rsidRDefault="0016003E" w:rsidP="009136E5">
      <w:pPr>
        <w:pStyle w:val="ListParagraph"/>
        <w:numPr>
          <w:ilvl w:val="0"/>
          <w:numId w:val="89"/>
        </w:numPr>
        <w:spacing w:before="0"/>
        <w:contextualSpacing w:val="0"/>
        <w:jc w:val="both"/>
        <w:rPr>
          <w:rFonts w:asciiTheme="minorHAnsi" w:hAnsiTheme="minorHAnsi" w:cstheme="minorHAnsi"/>
          <w:sz w:val="22"/>
        </w:rPr>
      </w:pPr>
      <w:r w:rsidRPr="00B84F35">
        <w:rPr>
          <w:rFonts w:asciiTheme="minorHAnsi" w:hAnsiTheme="minorHAnsi" w:cstheme="minorHAnsi"/>
          <w:b/>
          <w:sz w:val="22"/>
        </w:rPr>
        <w:t>Peripheral Health Level:</w:t>
      </w:r>
      <w:r w:rsidRPr="0016003E">
        <w:rPr>
          <w:rFonts w:asciiTheme="minorHAnsi" w:hAnsiTheme="minorHAnsi" w:cstheme="minorHAnsi"/>
          <w:sz w:val="22"/>
        </w:rPr>
        <w:t xml:space="preserve"> For the purpose of </w:t>
      </w:r>
      <w:r w:rsidR="007B135B">
        <w:rPr>
          <w:rFonts w:asciiTheme="minorHAnsi" w:hAnsiTheme="minorHAnsi" w:cstheme="minorHAnsi"/>
          <w:sz w:val="22"/>
        </w:rPr>
        <w:t>NTEP</w:t>
      </w:r>
      <w:r w:rsidRPr="0016003E">
        <w:rPr>
          <w:rFonts w:asciiTheme="minorHAnsi" w:hAnsiTheme="minorHAnsi" w:cstheme="minorHAnsi"/>
          <w:sz w:val="22"/>
        </w:rPr>
        <w:t xml:space="preserve">, a Peripheral Health Institution (PHI) is a health facility which is manned by at least a medical officer. At this level there are public or private (including NGO supported) dispensaries, PHCs, CHCs, referral hospitals, major hospitals, specialty clinics or hospitals, medical colleges. Some of these PHIs may also serve as a </w:t>
      </w:r>
      <w:r w:rsidR="00D2220C">
        <w:rPr>
          <w:rFonts w:asciiTheme="minorHAnsi" w:hAnsiTheme="minorHAnsi" w:cstheme="minorHAnsi"/>
          <w:sz w:val="22"/>
        </w:rPr>
        <w:t xml:space="preserve">Tuberculosis Diagnostic Centers (TDCs), previously called </w:t>
      </w:r>
      <w:r w:rsidRPr="0016003E">
        <w:rPr>
          <w:rFonts w:asciiTheme="minorHAnsi" w:hAnsiTheme="minorHAnsi" w:cstheme="minorHAnsi"/>
          <w:sz w:val="22"/>
        </w:rPr>
        <w:t>Designated Microscopy Centre (DMC)</w:t>
      </w:r>
      <w:r w:rsidR="00D2220C">
        <w:rPr>
          <w:rFonts w:asciiTheme="minorHAnsi" w:hAnsiTheme="minorHAnsi" w:cstheme="minorHAnsi"/>
          <w:sz w:val="22"/>
        </w:rPr>
        <w:t xml:space="preserve">, </w:t>
      </w:r>
      <w:r w:rsidRPr="0016003E">
        <w:rPr>
          <w:rFonts w:asciiTheme="minorHAnsi" w:hAnsiTheme="minorHAnsi" w:cstheme="minorHAnsi"/>
          <w:sz w:val="22"/>
        </w:rPr>
        <w:t>which is</w:t>
      </w:r>
      <w:r w:rsidR="00D2220C">
        <w:rPr>
          <w:rFonts w:asciiTheme="minorHAnsi" w:hAnsiTheme="minorHAnsi" w:cstheme="minorHAnsi"/>
          <w:sz w:val="22"/>
        </w:rPr>
        <w:t xml:space="preserve"> the</w:t>
      </w:r>
      <w:r w:rsidRPr="0016003E">
        <w:rPr>
          <w:rFonts w:asciiTheme="minorHAnsi" w:hAnsiTheme="minorHAnsi" w:cstheme="minorHAnsi"/>
          <w:sz w:val="22"/>
        </w:rPr>
        <w:t xml:space="preserve"> most peripheral level laboratory in the </w:t>
      </w:r>
      <w:r w:rsidR="007B135B">
        <w:rPr>
          <w:rFonts w:asciiTheme="minorHAnsi" w:hAnsiTheme="minorHAnsi" w:cstheme="minorHAnsi"/>
          <w:sz w:val="22"/>
        </w:rPr>
        <w:t>NTEP</w:t>
      </w:r>
      <w:r w:rsidRPr="0016003E">
        <w:rPr>
          <w:rFonts w:asciiTheme="minorHAnsi" w:hAnsiTheme="minorHAnsi" w:cstheme="minorHAnsi"/>
          <w:sz w:val="22"/>
        </w:rPr>
        <w:t xml:space="preserve"> structure. Through these </w:t>
      </w:r>
      <w:r w:rsidR="00D2220C">
        <w:rPr>
          <w:rFonts w:asciiTheme="minorHAnsi" w:hAnsiTheme="minorHAnsi" w:cstheme="minorHAnsi"/>
          <w:sz w:val="22"/>
        </w:rPr>
        <w:t xml:space="preserve">TDCs, </w:t>
      </w:r>
      <w:r w:rsidR="00D2220C" w:rsidRPr="0016003E">
        <w:rPr>
          <w:rFonts w:asciiTheme="minorHAnsi" w:hAnsiTheme="minorHAnsi" w:cstheme="minorHAnsi"/>
          <w:sz w:val="22"/>
        </w:rPr>
        <w:t>tuberculosis</w:t>
      </w:r>
      <w:r w:rsidRPr="0016003E">
        <w:rPr>
          <w:rFonts w:asciiTheme="minorHAnsi" w:hAnsiTheme="minorHAnsi" w:cstheme="minorHAnsi"/>
          <w:sz w:val="22"/>
        </w:rPr>
        <w:t xml:space="preserve"> case-finding activities take place. Treatment may be initiated at the PHIs and in some instances (such as drug resistant TB) where initiation is at higher levels, the treatment of the patients may continue at PHI level. For establishment of a </w:t>
      </w:r>
      <w:r w:rsidR="00263335">
        <w:rPr>
          <w:rFonts w:asciiTheme="minorHAnsi" w:hAnsiTheme="minorHAnsi" w:cstheme="minorHAnsi"/>
          <w:sz w:val="22"/>
        </w:rPr>
        <w:t>TDC</w:t>
      </w:r>
      <w:r w:rsidRPr="0016003E">
        <w:rPr>
          <w:rFonts w:asciiTheme="minorHAnsi" w:hAnsiTheme="minorHAnsi" w:cstheme="minorHAnsi"/>
          <w:sz w:val="22"/>
        </w:rPr>
        <w:t xml:space="preserve"> in the lab of a PHC, it must have adequate physical infrastructure, binocular microscope and a trained LT.</w:t>
      </w:r>
      <w:r w:rsidR="00D93633">
        <w:rPr>
          <w:rFonts w:asciiTheme="minorHAnsi" w:hAnsiTheme="minorHAnsi" w:cstheme="minorHAnsi"/>
          <w:sz w:val="22"/>
        </w:rPr>
        <w:t xml:space="preserve"> </w:t>
      </w:r>
    </w:p>
    <w:p w14:paraId="2F77D739" w14:textId="10997EFF" w:rsidR="0016003E" w:rsidRDefault="0016003E" w:rsidP="009136E5">
      <w:pPr>
        <w:pStyle w:val="ListParagraph"/>
        <w:numPr>
          <w:ilvl w:val="0"/>
          <w:numId w:val="89"/>
        </w:numPr>
        <w:spacing w:before="0"/>
        <w:contextualSpacing w:val="0"/>
        <w:jc w:val="both"/>
        <w:rPr>
          <w:rFonts w:asciiTheme="minorHAnsi" w:hAnsiTheme="minorHAnsi" w:cstheme="minorHAnsi"/>
          <w:sz w:val="22"/>
        </w:rPr>
      </w:pPr>
      <w:r w:rsidRPr="00B84F35">
        <w:rPr>
          <w:rFonts w:asciiTheme="minorHAnsi" w:hAnsiTheme="minorHAnsi" w:cstheme="minorHAnsi"/>
          <w:b/>
          <w:sz w:val="22"/>
        </w:rPr>
        <w:t xml:space="preserve">Health </w:t>
      </w:r>
      <w:r w:rsidR="00AF41B5">
        <w:rPr>
          <w:rFonts w:asciiTheme="minorHAnsi" w:hAnsiTheme="minorHAnsi" w:cstheme="minorHAnsi"/>
          <w:b/>
          <w:sz w:val="22"/>
        </w:rPr>
        <w:t>and</w:t>
      </w:r>
      <w:r w:rsidRPr="00B84F35">
        <w:rPr>
          <w:rFonts w:asciiTheme="minorHAnsi" w:hAnsiTheme="minorHAnsi" w:cstheme="minorHAnsi"/>
          <w:b/>
          <w:sz w:val="22"/>
        </w:rPr>
        <w:t xml:space="preserve"> Wellness Centres (HWCs):</w:t>
      </w:r>
      <w:r w:rsidRPr="0016003E">
        <w:rPr>
          <w:rFonts w:asciiTheme="minorHAnsi" w:hAnsiTheme="minorHAnsi" w:cstheme="minorHAnsi"/>
          <w:sz w:val="22"/>
        </w:rPr>
        <w:t xml:space="preserve"> Under Ayushman Bharat, around 1</w:t>
      </w:r>
      <w:r w:rsidR="00693FC5" w:rsidRPr="0016003E">
        <w:rPr>
          <w:rFonts w:asciiTheme="minorHAnsi" w:hAnsiTheme="minorHAnsi" w:cstheme="minorHAnsi"/>
          <w:sz w:val="22"/>
        </w:rPr>
        <w:t>, 50,000</w:t>
      </w:r>
      <w:r w:rsidRPr="0016003E">
        <w:rPr>
          <w:rFonts w:asciiTheme="minorHAnsi" w:hAnsiTheme="minorHAnsi" w:cstheme="minorHAnsi"/>
          <w:sz w:val="22"/>
        </w:rPr>
        <w:t xml:space="preserve"> existing Sub- Health Centres (SHCs) and Primary Health Centres (PHCs) are being transformed to Health </w:t>
      </w:r>
      <w:r w:rsidR="00AF41B5">
        <w:rPr>
          <w:rFonts w:asciiTheme="minorHAnsi" w:hAnsiTheme="minorHAnsi" w:cstheme="minorHAnsi"/>
          <w:sz w:val="22"/>
        </w:rPr>
        <w:t>and</w:t>
      </w:r>
      <w:r w:rsidRPr="0016003E">
        <w:rPr>
          <w:rFonts w:asciiTheme="minorHAnsi" w:hAnsiTheme="minorHAnsi" w:cstheme="minorHAnsi"/>
          <w:sz w:val="22"/>
        </w:rPr>
        <w:t xml:space="preserve"> Wellness Centres (HWCs) to deliver Comprehensive Primary Health Care (CPHC), that is universal and free to users, with a focus on wellness and the delivery of an expanded range of services close to the community. The wide range of services provided at these Health and Wellness Centres will encompass maternal and child health services, communicable and non-communicable diseases, services for the elderly and palliative care including free essential drugs and diagnostic services. For the treatment of tuberculosis it will serve as the last level of healthcare facility for continuation of treatment and for receiving ancillary drugs</w:t>
      </w:r>
      <w:r>
        <w:rPr>
          <w:rFonts w:asciiTheme="minorHAnsi" w:hAnsiTheme="minorHAnsi" w:cstheme="minorHAnsi"/>
          <w:sz w:val="22"/>
        </w:rPr>
        <w:t xml:space="preserve"> to support TB treatment.</w:t>
      </w:r>
    </w:p>
    <w:p w14:paraId="047E7DAA" w14:textId="65669675" w:rsidR="0016003E" w:rsidRDefault="0016003E" w:rsidP="009136E5">
      <w:pPr>
        <w:pStyle w:val="ListParagraph"/>
        <w:numPr>
          <w:ilvl w:val="0"/>
          <w:numId w:val="89"/>
        </w:numPr>
        <w:spacing w:before="0"/>
        <w:contextualSpacing w:val="0"/>
        <w:jc w:val="both"/>
        <w:rPr>
          <w:rFonts w:asciiTheme="minorHAnsi" w:hAnsiTheme="minorHAnsi" w:cstheme="minorHAnsi"/>
          <w:sz w:val="22"/>
        </w:rPr>
      </w:pPr>
      <w:r w:rsidRPr="0050507C">
        <w:rPr>
          <w:rFonts w:asciiTheme="minorHAnsi" w:hAnsiTheme="minorHAnsi" w:cstheme="minorHAnsi"/>
          <w:b/>
          <w:sz w:val="22"/>
        </w:rPr>
        <w:t xml:space="preserve">Program Implementation Plan </w:t>
      </w:r>
      <w:r w:rsidR="00AF41B5">
        <w:rPr>
          <w:rFonts w:asciiTheme="minorHAnsi" w:hAnsiTheme="minorHAnsi" w:cstheme="minorHAnsi"/>
          <w:b/>
          <w:sz w:val="22"/>
        </w:rPr>
        <w:t>and</w:t>
      </w:r>
      <w:r w:rsidRPr="0050507C">
        <w:rPr>
          <w:rFonts w:asciiTheme="minorHAnsi" w:hAnsiTheme="minorHAnsi" w:cstheme="minorHAnsi"/>
          <w:b/>
          <w:sz w:val="22"/>
        </w:rPr>
        <w:t xml:space="preserve"> Planning Process: </w:t>
      </w:r>
      <w:r w:rsidRPr="0016003E">
        <w:rPr>
          <w:rFonts w:asciiTheme="minorHAnsi" w:hAnsiTheme="minorHAnsi" w:cstheme="minorHAnsi"/>
          <w:sz w:val="22"/>
        </w:rPr>
        <w:t xml:space="preserve">As with other components of NHM, financial support to </w:t>
      </w:r>
      <w:r w:rsidR="007B135B">
        <w:rPr>
          <w:rFonts w:asciiTheme="minorHAnsi" w:hAnsiTheme="minorHAnsi" w:cstheme="minorHAnsi"/>
          <w:sz w:val="22"/>
        </w:rPr>
        <w:t>NTEP</w:t>
      </w:r>
      <w:r w:rsidRPr="0016003E">
        <w:rPr>
          <w:rFonts w:asciiTheme="minorHAnsi" w:hAnsiTheme="minorHAnsi" w:cstheme="minorHAnsi"/>
          <w:sz w:val="22"/>
        </w:rPr>
        <w:t xml:space="preserve"> is provided through the Program Implementation Plan (PIP) mechanism of the National Health Mission. </w:t>
      </w:r>
      <w:r w:rsidR="007B135B">
        <w:rPr>
          <w:rFonts w:asciiTheme="minorHAnsi" w:hAnsiTheme="minorHAnsi" w:cstheme="minorHAnsi"/>
          <w:sz w:val="22"/>
        </w:rPr>
        <w:t>NTEP</w:t>
      </w:r>
      <w:r w:rsidRPr="0016003E">
        <w:rPr>
          <w:rFonts w:asciiTheme="minorHAnsi" w:hAnsiTheme="minorHAnsi" w:cstheme="minorHAnsi"/>
          <w:sz w:val="22"/>
        </w:rPr>
        <w:t xml:space="preserve"> / NHM follow a Bottom-Up approach for planning and budgeting. The process begins at the district level by </w:t>
      </w:r>
      <w:r w:rsidR="007B135B">
        <w:rPr>
          <w:rFonts w:asciiTheme="minorHAnsi" w:hAnsiTheme="minorHAnsi" w:cstheme="minorHAnsi"/>
          <w:sz w:val="22"/>
        </w:rPr>
        <w:t>NTEP</w:t>
      </w:r>
      <w:r w:rsidRPr="0016003E">
        <w:rPr>
          <w:rFonts w:asciiTheme="minorHAnsi" w:hAnsiTheme="minorHAnsi" w:cstheme="minorHAnsi"/>
          <w:sz w:val="22"/>
        </w:rPr>
        <w:t xml:space="preserve"> preparing the district PIP at the District TB Centre (DTC) which gets incorporated into the integrated District Health Action Plan (IDHAP) which is further sent to the state level to form the State PIP. The PIP </w:t>
      </w:r>
      <w:r w:rsidRPr="0016003E">
        <w:rPr>
          <w:rFonts w:asciiTheme="minorHAnsi" w:hAnsiTheme="minorHAnsi" w:cstheme="minorHAnsi"/>
          <w:sz w:val="22"/>
        </w:rPr>
        <w:lastRenderedPageBreak/>
        <w:t xml:space="preserve">indicates the physical targets and budgetary estimates in accordance with the approved pattern of assistance under the NHM. This </w:t>
      </w:r>
      <w:r w:rsidR="00D66B88">
        <w:rPr>
          <w:rFonts w:asciiTheme="minorHAnsi" w:hAnsiTheme="minorHAnsi" w:cstheme="minorHAnsi"/>
          <w:sz w:val="22"/>
        </w:rPr>
        <w:t>will</w:t>
      </w:r>
      <w:r w:rsidRPr="0016003E">
        <w:rPr>
          <w:rFonts w:asciiTheme="minorHAnsi" w:hAnsiTheme="minorHAnsi" w:cstheme="minorHAnsi"/>
          <w:sz w:val="22"/>
        </w:rPr>
        <w:t xml:space="preserve"> cover all aspects of activities required to be carried out under </w:t>
      </w:r>
      <w:r w:rsidR="007B135B">
        <w:rPr>
          <w:rFonts w:asciiTheme="minorHAnsi" w:hAnsiTheme="minorHAnsi" w:cstheme="minorHAnsi"/>
          <w:sz w:val="22"/>
        </w:rPr>
        <w:t>NTEP</w:t>
      </w:r>
      <w:r w:rsidRPr="0016003E">
        <w:rPr>
          <w:rFonts w:asciiTheme="minorHAnsi" w:hAnsiTheme="minorHAnsi" w:cstheme="minorHAnsi"/>
          <w:sz w:val="22"/>
        </w:rPr>
        <w:t xml:space="preserve"> in one financial year. The State PIPs are approved by the Union Secretary of Health </w:t>
      </w:r>
      <w:r w:rsidR="00AF41B5">
        <w:rPr>
          <w:rFonts w:asciiTheme="minorHAnsi" w:hAnsiTheme="minorHAnsi" w:cstheme="minorHAnsi"/>
          <w:sz w:val="22"/>
        </w:rPr>
        <w:t>and</w:t>
      </w:r>
      <w:r w:rsidRPr="0016003E">
        <w:rPr>
          <w:rFonts w:asciiTheme="minorHAnsi" w:hAnsiTheme="minorHAnsi" w:cstheme="minorHAnsi"/>
          <w:sz w:val="22"/>
        </w:rPr>
        <w:t xml:space="preserve"> Family Welfare, as Chairperson of the EPC, based on appraisal by the National Programme Coordination Committee (NPCC) which is chaired by the Mission Director and includes representatives of the State, Technical and Programme divisions of the MoHFW, other Departments and Ministries, as required. The approved Record of Proceeding (ROP) includes Central as well as State share, and includes cash as well as commodity component. The preparation of the PIP follows a standardized template specified by the NHM.</w:t>
      </w:r>
      <w:r w:rsidR="0050507C">
        <w:rPr>
          <w:rFonts w:asciiTheme="minorHAnsi" w:hAnsiTheme="minorHAnsi" w:cstheme="minorHAnsi"/>
          <w:sz w:val="22"/>
        </w:rPr>
        <w:t xml:space="preserve"> </w:t>
      </w:r>
    </w:p>
    <w:p w14:paraId="063EE8CE" w14:textId="5CEB1DAD" w:rsidR="0050507C" w:rsidRDefault="0050507C" w:rsidP="009136E5">
      <w:pPr>
        <w:pStyle w:val="ListParagraph"/>
        <w:numPr>
          <w:ilvl w:val="0"/>
          <w:numId w:val="89"/>
        </w:numPr>
        <w:spacing w:before="0"/>
        <w:contextualSpacing w:val="0"/>
        <w:jc w:val="both"/>
        <w:rPr>
          <w:rFonts w:asciiTheme="minorHAnsi" w:hAnsiTheme="minorHAnsi" w:cstheme="minorHAnsi"/>
          <w:sz w:val="22"/>
        </w:rPr>
      </w:pPr>
      <w:r w:rsidRPr="0029540B">
        <w:rPr>
          <w:rFonts w:asciiTheme="minorHAnsi" w:hAnsiTheme="minorHAnsi" w:cstheme="minorHAnsi"/>
          <w:b/>
          <w:sz w:val="22"/>
        </w:rPr>
        <w:t>Collaborative activities with other NHM Components:</w:t>
      </w:r>
      <w:r w:rsidRPr="0050507C">
        <w:rPr>
          <w:rFonts w:asciiTheme="minorHAnsi" w:hAnsiTheme="minorHAnsi" w:cstheme="minorHAnsi"/>
          <w:sz w:val="22"/>
        </w:rPr>
        <w:t xml:space="preserve"> </w:t>
      </w:r>
      <w:r w:rsidR="007B135B">
        <w:rPr>
          <w:rFonts w:asciiTheme="minorHAnsi" w:hAnsiTheme="minorHAnsi" w:cstheme="minorHAnsi"/>
          <w:sz w:val="22"/>
        </w:rPr>
        <w:t>NTEP</w:t>
      </w:r>
      <w:r w:rsidRPr="0050507C">
        <w:rPr>
          <w:rFonts w:asciiTheme="minorHAnsi" w:hAnsiTheme="minorHAnsi" w:cstheme="minorHAnsi"/>
          <w:sz w:val="22"/>
        </w:rPr>
        <w:t xml:space="preserve"> works in collaboration with other Programmes such as the National AIDS Control Organization (NACO) and the National Programme for Prevention and Control of Cancer, Diabetes, Cardiovascular diseases and Stroke (NPCDCS). Bi-directional screening for HIV and Tuberculosis, along with testing for Diabetes Mellitus is offered for all TB patients. Testing for co-morbidities is part of the bouquet of services provided to patients being treated under </w:t>
      </w:r>
      <w:r w:rsidR="007B135B">
        <w:rPr>
          <w:rFonts w:asciiTheme="minorHAnsi" w:hAnsiTheme="minorHAnsi" w:cstheme="minorHAnsi"/>
          <w:sz w:val="22"/>
        </w:rPr>
        <w:t>NTEP</w:t>
      </w:r>
      <w:r w:rsidRPr="0050507C">
        <w:rPr>
          <w:rFonts w:asciiTheme="minorHAnsi" w:hAnsiTheme="minorHAnsi" w:cstheme="minorHAnsi"/>
          <w:sz w:val="22"/>
        </w:rPr>
        <w:t xml:space="preserve">, in order to provide comprehensive care and support. </w:t>
      </w:r>
    </w:p>
    <w:p w14:paraId="0D65424B" w14:textId="5F0E946F" w:rsidR="0050507C" w:rsidRDefault="007B135B" w:rsidP="00517CE5">
      <w:pPr>
        <w:pStyle w:val="ListParagraph"/>
        <w:spacing w:before="0"/>
        <w:ind w:left="360"/>
        <w:contextualSpacing w:val="0"/>
        <w:jc w:val="both"/>
        <w:rPr>
          <w:rFonts w:asciiTheme="minorHAnsi" w:hAnsiTheme="minorHAnsi" w:cstheme="minorHAnsi"/>
          <w:sz w:val="22"/>
        </w:rPr>
      </w:pPr>
      <w:r>
        <w:rPr>
          <w:rFonts w:asciiTheme="minorHAnsi" w:hAnsiTheme="minorHAnsi" w:cstheme="minorHAnsi"/>
          <w:sz w:val="22"/>
        </w:rPr>
        <w:t>NTEP</w:t>
      </w:r>
      <w:r w:rsidR="0050507C" w:rsidRPr="0050507C">
        <w:rPr>
          <w:rFonts w:asciiTheme="minorHAnsi" w:hAnsiTheme="minorHAnsi" w:cstheme="minorHAnsi"/>
          <w:sz w:val="22"/>
        </w:rPr>
        <w:t xml:space="preserve"> adopts the Health Systems Approach of the NHM, as per which the entire health system machinery works together to achieve common goals of improved health, better responsiveness and better financial protection to the patients. Human resources and infrastructure of the general health system and also of medical colleges are utilized to achieve maximum utility. For example, many drug-resistant TB treatment centres are situated in medical colleges, with medical college staff and infrastructure playing crucial role in the treatment of drug-resistant TB. Likewise, laboratory technicians from the general health system pool are re-appropriated for work under </w:t>
      </w:r>
      <w:r>
        <w:rPr>
          <w:rFonts w:asciiTheme="minorHAnsi" w:hAnsiTheme="minorHAnsi" w:cstheme="minorHAnsi"/>
          <w:sz w:val="22"/>
        </w:rPr>
        <w:t>NTEP</w:t>
      </w:r>
      <w:r w:rsidR="0050507C" w:rsidRPr="0050507C">
        <w:rPr>
          <w:rFonts w:asciiTheme="minorHAnsi" w:hAnsiTheme="minorHAnsi" w:cstheme="minorHAnsi"/>
          <w:sz w:val="22"/>
        </w:rPr>
        <w:t xml:space="preserve">; a single counsellor in some low work-load districts/ blocks provides counselling support across various disease programmes, including Tuberculosis. </w:t>
      </w:r>
      <w:r w:rsidR="004E303B">
        <w:rPr>
          <w:rFonts w:asciiTheme="minorHAnsi" w:hAnsiTheme="minorHAnsi" w:cstheme="minorHAnsi"/>
          <w:sz w:val="22"/>
        </w:rPr>
        <w:t>Additional aspects are discussed in greater details</w:t>
      </w:r>
      <w:r w:rsidR="00B222A7">
        <w:rPr>
          <w:rFonts w:asciiTheme="minorHAnsi" w:hAnsiTheme="minorHAnsi" w:cstheme="minorHAnsi"/>
          <w:sz w:val="22"/>
        </w:rPr>
        <w:t xml:space="preserve"> in </w:t>
      </w:r>
      <w:r w:rsidR="00B222A7" w:rsidRPr="00B222A7">
        <w:rPr>
          <w:rFonts w:asciiTheme="minorHAnsi" w:hAnsiTheme="minorHAnsi" w:cstheme="minorHAnsi"/>
          <w:sz w:val="22"/>
        </w:rPr>
        <w:t>Chapter 12</w:t>
      </w:r>
      <w:r w:rsidR="00B222A7">
        <w:rPr>
          <w:rFonts w:asciiTheme="minorHAnsi" w:hAnsiTheme="minorHAnsi" w:cstheme="minorHAnsi"/>
          <w:sz w:val="22"/>
        </w:rPr>
        <w:t>.</w:t>
      </w:r>
      <w:r w:rsidR="0050507C" w:rsidRPr="0050507C">
        <w:rPr>
          <w:rFonts w:asciiTheme="minorHAnsi" w:hAnsiTheme="minorHAnsi" w:cstheme="minorHAnsi"/>
          <w:sz w:val="22"/>
        </w:rPr>
        <w:t xml:space="preserve">  </w:t>
      </w:r>
    </w:p>
    <w:p w14:paraId="103B2422" w14:textId="77777777" w:rsidR="00FF27B0" w:rsidRPr="00FF27B0" w:rsidRDefault="00FF27B0" w:rsidP="00442A67">
      <w:pPr>
        <w:pStyle w:val="ListParagraph"/>
        <w:numPr>
          <w:ilvl w:val="1"/>
          <w:numId w:val="19"/>
        </w:numPr>
        <w:ind w:left="446" w:hanging="446"/>
        <w:contextualSpacing w:val="0"/>
        <w:rPr>
          <w:rFonts w:asciiTheme="minorHAnsi" w:hAnsiTheme="minorHAnsi" w:cstheme="minorHAnsi"/>
          <w:b/>
          <w:color w:val="C86A07" w:themeColor="accent2" w:themeShade="BF"/>
          <w:sz w:val="28"/>
          <w:lang w:val="en"/>
        </w:rPr>
      </w:pPr>
      <w:r w:rsidRPr="00FF27B0">
        <w:rPr>
          <w:rFonts w:asciiTheme="minorHAnsi" w:hAnsiTheme="minorHAnsi" w:cstheme="minorHAnsi"/>
          <w:b/>
          <w:color w:val="C86A07" w:themeColor="accent2" w:themeShade="BF"/>
          <w:sz w:val="28"/>
          <w:lang w:val="en"/>
        </w:rPr>
        <w:t>Community Processes for Health</w:t>
      </w:r>
    </w:p>
    <w:p w14:paraId="55DEB03D" w14:textId="77777777" w:rsidR="00E34F06" w:rsidRDefault="00FF27B0" w:rsidP="00FF27B0">
      <w:pPr>
        <w:pStyle w:val="ListParagraph"/>
        <w:spacing w:before="0"/>
        <w:ind w:left="360"/>
        <w:contextualSpacing w:val="0"/>
        <w:jc w:val="both"/>
        <w:rPr>
          <w:rFonts w:asciiTheme="minorHAnsi" w:hAnsiTheme="minorHAnsi" w:cstheme="minorHAnsi"/>
          <w:sz w:val="22"/>
        </w:rPr>
      </w:pPr>
      <w:r w:rsidRPr="00FF27B0">
        <w:rPr>
          <w:rFonts w:asciiTheme="minorHAnsi" w:hAnsiTheme="minorHAnsi" w:cstheme="minorHAnsi"/>
          <w:sz w:val="22"/>
        </w:rPr>
        <w:t xml:space="preserve">The term ‘community participation’ was included in the </w:t>
      </w:r>
      <w:r w:rsidRPr="00E34F06">
        <w:rPr>
          <w:rFonts w:asciiTheme="minorHAnsi" w:hAnsiTheme="minorHAnsi" w:cstheme="minorHAnsi"/>
          <w:b/>
          <w:sz w:val="22"/>
        </w:rPr>
        <w:t>Alma Ata declaration of 1978</w:t>
      </w:r>
      <w:r w:rsidRPr="00FF27B0">
        <w:rPr>
          <w:rFonts w:asciiTheme="minorHAnsi" w:hAnsiTheme="minorHAnsi" w:cstheme="minorHAnsi"/>
          <w:sz w:val="22"/>
        </w:rPr>
        <w:t xml:space="preserve"> as one of the key principles of the “Health </w:t>
      </w:r>
      <w:r w:rsidR="00E035BF" w:rsidRPr="00FF27B0">
        <w:rPr>
          <w:rFonts w:asciiTheme="minorHAnsi" w:hAnsiTheme="minorHAnsi" w:cstheme="minorHAnsi"/>
          <w:sz w:val="22"/>
        </w:rPr>
        <w:t>for</w:t>
      </w:r>
      <w:r w:rsidRPr="00FF27B0">
        <w:rPr>
          <w:rFonts w:asciiTheme="minorHAnsi" w:hAnsiTheme="minorHAnsi" w:cstheme="minorHAnsi"/>
          <w:sz w:val="22"/>
        </w:rPr>
        <w:t xml:space="preserve"> All” movement. It was envisaged as the participation of community in the planning, organization, co-operation and control of primary health care, making fullest use of local, national and other available resources. It necessitated collective action by community which is sufficiently empowered to take leadership in health matters. </w:t>
      </w:r>
    </w:p>
    <w:p w14:paraId="5C6066D2" w14:textId="6919E248" w:rsidR="00E34F06" w:rsidRDefault="00E34F06" w:rsidP="00E34F06">
      <w:pPr>
        <w:pStyle w:val="ListParagraph"/>
        <w:spacing w:before="0"/>
        <w:ind w:left="360"/>
        <w:contextualSpacing w:val="0"/>
        <w:jc w:val="both"/>
        <w:rPr>
          <w:rFonts w:asciiTheme="minorHAnsi" w:hAnsiTheme="minorHAnsi" w:cstheme="minorHAnsi"/>
          <w:sz w:val="22"/>
        </w:rPr>
      </w:pPr>
      <w:r w:rsidRPr="00E34F06">
        <w:rPr>
          <w:rFonts w:asciiTheme="minorHAnsi" w:hAnsiTheme="minorHAnsi" w:cstheme="minorHAnsi"/>
          <w:b/>
          <w:sz w:val="22"/>
        </w:rPr>
        <w:t>In October 2018, 120 countries renewed the commitment to comprehensive primary health care for all with the Astana declaration.</w:t>
      </w:r>
      <w:r w:rsidRPr="00E34F06">
        <w:rPr>
          <w:rFonts w:asciiTheme="minorHAnsi" w:hAnsiTheme="minorHAnsi" w:cstheme="minorHAnsi"/>
          <w:sz w:val="22"/>
        </w:rPr>
        <w:t xml:space="preserve"> The new primary health care declaration affirms the “commitment to the fundamental right of every human being to the enjoyment of the highest attainable standard of health without distinction of any kind”, and reaffirms the commitment to the Alma-Ata core principles.</w:t>
      </w:r>
      <w:r>
        <w:rPr>
          <w:rFonts w:asciiTheme="minorHAnsi" w:hAnsiTheme="minorHAnsi" w:cstheme="minorHAnsi"/>
          <w:sz w:val="22"/>
        </w:rPr>
        <w:t xml:space="preserve"> </w:t>
      </w:r>
      <w:r w:rsidRPr="00E34F06">
        <w:rPr>
          <w:rFonts w:asciiTheme="minorHAnsi" w:hAnsiTheme="minorHAnsi" w:cstheme="minorHAnsi"/>
          <w:sz w:val="22"/>
        </w:rPr>
        <w:t>Astana incorporates ‘universal health coverage’ that is at the centre of the health related Sustai</w:t>
      </w:r>
      <w:r>
        <w:rPr>
          <w:rFonts w:asciiTheme="minorHAnsi" w:hAnsiTheme="minorHAnsi" w:cstheme="minorHAnsi"/>
          <w:sz w:val="22"/>
        </w:rPr>
        <w:t>nable Development Goal (SDG) 3</w:t>
      </w:r>
      <w:r>
        <w:rPr>
          <w:rStyle w:val="FootnoteReference"/>
          <w:rFonts w:cstheme="minorHAnsi"/>
        </w:rPr>
        <w:footnoteReference w:id="22"/>
      </w:r>
      <w:r w:rsidRPr="00E34F06">
        <w:rPr>
          <w:rFonts w:asciiTheme="minorHAnsi" w:hAnsiTheme="minorHAnsi" w:cstheme="minorHAnsi"/>
          <w:sz w:val="22"/>
        </w:rPr>
        <w:t>. The 2015 SDGs that succeeded the MDGs can provide impetus to the Alma Ata and Astana principles through other SDGs such as ‘equity’</w:t>
      </w:r>
      <w:r>
        <w:rPr>
          <w:rFonts w:asciiTheme="minorHAnsi" w:hAnsiTheme="minorHAnsi" w:cstheme="minorHAnsi"/>
          <w:sz w:val="22"/>
        </w:rPr>
        <w:t xml:space="preserve"> </w:t>
      </w:r>
      <w:r w:rsidRPr="00E34F06">
        <w:rPr>
          <w:rFonts w:asciiTheme="minorHAnsi" w:hAnsiTheme="minorHAnsi" w:cstheme="minorHAnsi"/>
          <w:sz w:val="22"/>
        </w:rPr>
        <w:t>(SDG 10), ‘community participation’ (SDG 6) and ‘intersectoral collaboration’ (SDG 17), while evidence shows that countries that reorient their health systems towards primary care are better placed to achieve almost all of the SDGs, including SDG 1 – ‘end poverty’</w:t>
      </w:r>
      <w:r>
        <w:rPr>
          <w:rFonts w:asciiTheme="minorHAnsi" w:hAnsiTheme="minorHAnsi" w:cstheme="minorHAnsi"/>
          <w:sz w:val="22"/>
        </w:rPr>
        <w:t>.</w:t>
      </w:r>
      <w:r>
        <w:rPr>
          <w:rStyle w:val="FootnoteReference"/>
          <w:rFonts w:cstheme="minorHAnsi"/>
        </w:rPr>
        <w:footnoteReference w:id="23"/>
      </w:r>
      <w:r>
        <w:rPr>
          <w:rFonts w:asciiTheme="minorHAnsi" w:hAnsiTheme="minorHAnsi" w:cstheme="minorHAnsi"/>
          <w:sz w:val="22"/>
        </w:rPr>
        <w:t xml:space="preserve"> </w:t>
      </w:r>
      <w:r>
        <w:rPr>
          <w:rStyle w:val="FootnoteReference"/>
          <w:rFonts w:cstheme="minorHAnsi"/>
        </w:rPr>
        <w:footnoteReference w:id="24"/>
      </w:r>
    </w:p>
    <w:p w14:paraId="47E5F8DA" w14:textId="5B1C0108" w:rsidR="00FF27B0" w:rsidRPr="00FF27B0" w:rsidRDefault="00FF27B0" w:rsidP="00FF27B0">
      <w:pPr>
        <w:pStyle w:val="ListParagraph"/>
        <w:spacing w:before="0"/>
        <w:ind w:left="360"/>
        <w:contextualSpacing w:val="0"/>
        <w:jc w:val="both"/>
        <w:rPr>
          <w:rFonts w:asciiTheme="minorHAnsi" w:hAnsiTheme="minorHAnsi" w:cstheme="minorHAnsi"/>
          <w:sz w:val="22"/>
        </w:rPr>
      </w:pPr>
      <w:r w:rsidRPr="00FF27B0">
        <w:rPr>
          <w:rFonts w:asciiTheme="minorHAnsi" w:hAnsiTheme="minorHAnsi" w:cstheme="minorHAnsi"/>
          <w:sz w:val="22"/>
        </w:rPr>
        <w:lastRenderedPageBreak/>
        <w:t xml:space="preserve">Over the past 15 years, National Health Mission has put in place certain systems and community processes in this regard. Over </w:t>
      </w:r>
      <w:r w:rsidR="00E035BF">
        <w:rPr>
          <w:rFonts w:asciiTheme="minorHAnsi" w:hAnsiTheme="minorHAnsi" w:cstheme="minorHAnsi"/>
          <w:sz w:val="22"/>
        </w:rPr>
        <w:t>10 lakhs (one million)</w:t>
      </w:r>
      <w:r w:rsidRPr="00FF27B0">
        <w:rPr>
          <w:rFonts w:asciiTheme="minorHAnsi" w:hAnsiTheme="minorHAnsi" w:cstheme="minorHAnsi"/>
          <w:sz w:val="22"/>
        </w:rPr>
        <w:t xml:space="preserve"> ASHAs act as the link between community and health care system in both rural and urban areas, while 5.5 lakhs Village Health, Sanitation and Nutrition Committees (VHSNCs) and 80,000 Mahila Arogya Samitis (MASs) serve as mechanism for promoting community participation in planning and implementation of health programs, in rural and urban areas, respectively. Role of ASHA in improving maternal and child health outcomes and in reducing incidence of communicable diseases like Malaria is well documented. However, the success of VHSNCs in building community level collective action, has been mixed</w:t>
      </w:r>
      <w:r w:rsidR="00E035BF">
        <w:rPr>
          <w:rFonts w:asciiTheme="minorHAnsi" w:hAnsiTheme="minorHAnsi" w:cstheme="minorHAnsi"/>
          <w:sz w:val="22"/>
        </w:rPr>
        <w:t xml:space="preserve"> </w:t>
      </w:r>
      <w:r w:rsidRPr="00FF27B0">
        <w:rPr>
          <w:rFonts w:asciiTheme="minorHAnsi" w:hAnsiTheme="minorHAnsi" w:cstheme="minorHAnsi"/>
          <w:sz w:val="22"/>
        </w:rPr>
        <w:t xml:space="preserve">and special campaign </w:t>
      </w:r>
      <w:r w:rsidR="00E035BF">
        <w:rPr>
          <w:rFonts w:asciiTheme="minorHAnsi" w:hAnsiTheme="minorHAnsi" w:cstheme="minorHAnsi"/>
          <w:sz w:val="22"/>
        </w:rPr>
        <w:t>(</w:t>
      </w:r>
      <w:r w:rsidRPr="00FF27B0">
        <w:rPr>
          <w:rFonts w:asciiTheme="minorHAnsi" w:hAnsiTheme="minorHAnsi" w:cstheme="minorHAnsi"/>
          <w:sz w:val="22"/>
        </w:rPr>
        <w:t xml:space="preserve">VISHWAS) has been designed to build a collective initiative at community level. </w:t>
      </w:r>
    </w:p>
    <w:p w14:paraId="5C88AE7E" w14:textId="77777777" w:rsidR="00FF27B0" w:rsidRPr="00FF27B0" w:rsidRDefault="00FF27B0" w:rsidP="00FF27B0">
      <w:pPr>
        <w:pStyle w:val="ListParagraph"/>
        <w:spacing w:before="0"/>
        <w:ind w:left="360"/>
        <w:contextualSpacing w:val="0"/>
        <w:jc w:val="both"/>
        <w:rPr>
          <w:rFonts w:asciiTheme="minorHAnsi" w:hAnsiTheme="minorHAnsi" w:cstheme="minorHAnsi"/>
          <w:sz w:val="22"/>
        </w:rPr>
      </w:pPr>
      <w:r w:rsidRPr="00FF27B0">
        <w:rPr>
          <w:rFonts w:asciiTheme="minorHAnsi" w:hAnsiTheme="minorHAnsi" w:cstheme="minorHAnsi"/>
          <w:sz w:val="22"/>
        </w:rPr>
        <w:t xml:space="preserve">The community processes for health also rely on the existing community level functionaries such as Anganwadi workers and Tribal Volunteers. In many States, Anganwadi workers are directly involved with ASHAs and ANM in convening the Village Health &amp; Nutrition Days and VHSNCs. Further, community organizations promoted through other government initiatives such as Self- Help Groups are leveraged in states like Kerala and Gujarat for improving awareness and health seeking behavior in the community. </w:t>
      </w:r>
    </w:p>
    <w:p w14:paraId="029AF5D0" w14:textId="54A43CEA" w:rsidR="00FF27B0" w:rsidRPr="00FF27B0" w:rsidRDefault="00FF27B0" w:rsidP="00FF27B0">
      <w:pPr>
        <w:pStyle w:val="ListParagraph"/>
        <w:spacing w:before="0"/>
        <w:ind w:left="360"/>
        <w:contextualSpacing w:val="0"/>
        <w:jc w:val="both"/>
        <w:rPr>
          <w:rFonts w:asciiTheme="minorHAnsi" w:hAnsiTheme="minorHAnsi" w:cstheme="minorHAnsi"/>
          <w:sz w:val="22"/>
        </w:rPr>
      </w:pPr>
      <w:r w:rsidRPr="00FF27B0">
        <w:rPr>
          <w:rFonts w:asciiTheme="minorHAnsi" w:hAnsiTheme="minorHAnsi" w:cstheme="minorHAnsi"/>
          <w:sz w:val="22"/>
        </w:rPr>
        <w:t>While, the model of community processes under NHM revolves around the general village/urban slum population, the National AIDS</w:t>
      </w:r>
      <w:r w:rsidR="00EC7D31">
        <w:rPr>
          <w:rFonts w:asciiTheme="minorHAnsi" w:hAnsiTheme="minorHAnsi" w:cstheme="minorHAnsi"/>
          <w:sz w:val="22"/>
        </w:rPr>
        <w:t xml:space="preserve"> and STI</w:t>
      </w:r>
      <w:r w:rsidRPr="00FF27B0">
        <w:rPr>
          <w:rFonts w:asciiTheme="minorHAnsi" w:hAnsiTheme="minorHAnsi" w:cstheme="minorHAnsi"/>
          <w:sz w:val="22"/>
        </w:rPr>
        <w:t xml:space="preserve"> Control Programme demonstrated effectiveness of peer led interventions and mechanisms through the Targeted Interventions for HIV prevention among key populations and care &amp; support interventions among People Living with HIV. Reaching out to the key population through their peers and empowering the key populations to actively participate in various facets of the programme have helped the country in reducing burden of HIV infection and in promoting well-being of PLHIV. Similar initiatives are also being promoted under the TB programme through engaging with TB affected communities. Peer Support Groups, another peer led intervention, found helpful in HIV settings, is also being implemented in care and management of Communicable diseases like TB and in NCDs. </w:t>
      </w:r>
    </w:p>
    <w:p w14:paraId="0DD4DE78" w14:textId="45424A52" w:rsidR="00FF27B0" w:rsidRPr="00FF27B0" w:rsidRDefault="00FF27B0" w:rsidP="00FF27B0">
      <w:pPr>
        <w:pStyle w:val="ListParagraph"/>
        <w:spacing w:before="0"/>
        <w:ind w:left="360"/>
        <w:contextualSpacing w:val="0"/>
        <w:jc w:val="both"/>
        <w:rPr>
          <w:rFonts w:asciiTheme="minorHAnsi" w:hAnsiTheme="minorHAnsi" w:cstheme="minorHAnsi"/>
          <w:sz w:val="22"/>
        </w:rPr>
      </w:pPr>
      <w:r w:rsidRPr="00FF27B0">
        <w:rPr>
          <w:rFonts w:asciiTheme="minorHAnsi" w:hAnsiTheme="minorHAnsi" w:cstheme="minorHAnsi"/>
          <w:sz w:val="22"/>
        </w:rPr>
        <w:t xml:space="preserve">The TB Programme proposes to leverage and build on the existing mechanisms and processes in the field for wider community action and mass movement by civil society for ending TB. Taking lessons from the NACP, it will also </w:t>
      </w:r>
      <w:r w:rsidR="00AD14E0">
        <w:rPr>
          <w:rFonts w:asciiTheme="minorHAnsi" w:hAnsiTheme="minorHAnsi" w:cstheme="minorHAnsi"/>
          <w:sz w:val="22"/>
        </w:rPr>
        <w:t xml:space="preserve">further </w:t>
      </w:r>
      <w:r w:rsidRPr="00FF27B0">
        <w:rPr>
          <w:rFonts w:asciiTheme="minorHAnsi" w:hAnsiTheme="minorHAnsi" w:cstheme="minorHAnsi"/>
          <w:sz w:val="22"/>
        </w:rPr>
        <w:t xml:space="preserve">strengthen its engagement with key populations affected </w:t>
      </w:r>
      <w:r w:rsidR="00AD14E0">
        <w:rPr>
          <w:rFonts w:asciiTheme="minorHAnsi" w:hAnsiTheme="minorHAnsi" w:cstheme="minorHAnsi"/>
          <w:sz w:val="22"/>
        </w:rPr>
        <w:t xml:space="preserve">with </w:t>
      </w:r>
      <w:r w:rsidRPr="00FF27B0">
        <w:rPr>
          <w:rFonts w:asciiTheme="minorHAnsi" w:hAnsiTheme="minorHAnsi" w:cstheme="minorHAnsi"/>
          <w:sz w:val="22"/>
        </w:rPr>
        <w:t xml:space="preserve">TB, including TB survivors, for a rights-based, community driven response to TB. </w:t>
      </w:r>
    </w:p>
    <w:p w14:paraId="3E0CE85E" w14:textId="77777777" w:rsidR="00FF27B0" w:rsidRPr="0050507C" w:rsidRDefault="00FF27B0" w:rsidP="00517CE5">
      <w:pPr>
        <w:pStyle w:val="ListParagraph"/>
        <w:spacing w:before="0"/>
        <w:ind w:left="360"/>
        <w:contextualSpacing w:val="0"/>
        <w:jc w:val="both"/>
        <w:rPr>
          <w:rFonts w:asciiTheme="minorHAnsi" w:hAnsiTheme="minorHAnsi" w:cstheme="minorHAnsi"/>
          <w:sz w:val="22"/>
        </w:rPr>
      </w:pPr>
    </w:p>
    <w:p w14:paraId="25B804ED" w14:textId="77777777" w:rsidR="00594E21" w:rsidRDefault="00594E21" w:rsidP="00594E21">
      <w:pPr>
        <w:spacing w:before="0" w:after="0"/>
        <w:jc w:val="both"/>
        <w:rPr>
          <w:rFonts w:asciiTheme="minorHAnsi" w:hAnsiTheme="minorHAnsi" w:cstheme="minorHAnsi"/>
          <w:sz w:val="22"/>
        </w:rPr>
      </w:pPr>
    </w:p>
    <w:p w14:paraId="38383471" w14:textId="77777777" w:rsidR="001619DF" w:rsidRDefault="001619DF">
      <w:pPr>
        <w:spacing w:before="0" w:after="0"/>
        <w:rPr>
          <w:rFonts w:asciiTheme="minorHAnsi" w:hAnsiTheme="minorHAnsi" w:cstheme="minorHAnsi"/>
          <w:b/>
          <w:snapToGrid w:val="0"/>
          <w:sz w:val="36"/>
        </w:rPr>
      </w:pPr>
      <w:bookmarkStart w:id="16" w:name="_Toc472976150"/>
      <w:bookmarkStart w:id="17" w:name="_Toc474783477"/>
      <w:bookmarkStart w:id="18" w:name="_Toc475081593"/>
      <w:bookmarkStart w:id="19" w:name="_Toc476680427"/>
      <w:bookmarkStart w:id="20" w:name="_Toc476681683"/>
      <w:bookmarkStart w:id="21" w:name="_Toc476682931"/>
      <w:bookmarkStart w:id="22" w:name="_Toc2777245"/>
      <w:r>
        <w:rPr>
          <w:rFonts w:asciiTheme="minorHAnsi" w:hAnsiTheme="minorHAnsi" w:cstheme="minorHAnsi"/>
          <w:b/>
          <w:snapToGrid w:val="0"/>
          <w:sz w:val="36"/>
        </w:rPr>
        <w:br w:type="page"/>
      </w:r>
    </w:p>
    <w:p w14:paraId="6EAD9F5F" w14:textId="54FAE536" w:rsidR="00D938B0" w:rsidRPr="007F0FDB" w:rsidRDefault="00D938B0" w:rsidP="00663C3B">
      <w:pPr>
        <w:spacing w:before="0" w:after="0"/>
        <w:jc w:val="right"/>
        <w:rPr>
          <w:rFonts w:asciiTheme="minorHAnsi" w:hAnsiTheme="minorHAnsi" w:cstheme="minorHAnsi"/>
          <w:b/>
          <w:snapToGrid w:val="0"/>
          <w:sz w:val="36"/>
        </w:rPr>
      </w:pPr>
      <w:r w:rsidRPr="007F0FDB">
        <w:rPr>
          <w:rFonts w:asciiTheme="minorHAnsi" w:hAnsiTheme="minorHAnsi" w:cstheme="minorHAnsi"/>
          <w:b/>
          <w:snapToGrid w:val="0"/>
          <w:sz w:val="36"/>
        </w:rPr>
        <w:lastRenderedPageBreak/>
        <w:t>Chapter 3</w:t>
      </w:r>
      <w:bookmarkEnd w:id="16"/>
      <w:bookmarkEnd w:id="17"/>
      <w:bookmarkEnd w:id="18"/>
      <w:bookmarkEnd w:id="19"/>
      <w:bookmarkEnd w:id="20"/>
      <w:bookmarkEnd w:id="21"/>
      <w:bookmarkEnd w:id="22"/>
      <w:r w:rsidRPr="007F0FDB">
        <w:rPr>
          <w:rFonts w:asciiTheme="minorHAnsi" w:hAnsiTheme="minorHAnsi" w:cstheme="minorHAnsi"/>
          <w:b/>
          <w:snapToGrid w:val="0"/>
          <w:sz w:val="36"/>
        </w:rPr>
        <w:t xml:space="preserve"> </w:t>
      </w:r>
    </w:p>
    <w:p w14:paraId="43718915" w14:textId="087F799E" w:rsidR="0037667A" w:rsidRDefault="0048492F" w:rsidP="00663C3B">
      <w:pPr>
        <w:pStyle w:val="Heading1"/>
        <w:tabs>
          <w:tab w:val="num" w:pos="5670"/>
        </w:tabs>
        <w:rPr>
          <w:rFonts w:asciiTheme="minorHAnsi" w:hAnsiTheme="minorHAnsi" w:cstheme="minorHAnsi"/>
          <w:b/>
          <w:snapToGrid w:val="0"/>
          <w:color w:val="auto"/>
        </w:rPr>
      </w:pPr>
      <w:r>
        <w:rPr>
          <w:rFonts w:asciiTheme="minorHAnsi" w:hAnsiTheme="minorHAnsi" w:cstheme="minorHAnsi"/>
          <w:b/>
          <w:snapToGrid w:val="0"/>
          <w:color w:val="auto"/>
        </w:rPr>
        <w:t>JOINT monitoring mission</w:t>
      </w:r>
      <w:r w:rsidR="00A30AB2">
        <w:rPr>
          <w:rFonts w:asciiTheme="minorHAnsi" w:hAnsiTheme="minorHAnsi" w:cstheme="minorHAnsi"/>
          <w:b/>
          <w:snapToGrid w:val="0"/>
          <w:color w:val="auto"/>
        </w:rPr>
        <w:t xml:space="preserve"> of</w:t>
      </w:r>
      <w:r>
        <w:rPr>
          <w:rFonts w:asciiTheme="minorHAnsi" w:hAnsiTheme="minorHAnsi" w:cstheme="minorHAnsi"/>
          <w:b/>
          <w:snapToGrid w:val="0"/>
          <w:color w:val="auto"/>
        </w:rPr>
        <w:t xml:space="preserve"> </w:t>
      </w:r>
      <w:r w:rsidR="0050507C">
        <w:rPr>
          <w:rFonts w:asciiTheme="minorHAnsi" w:hAnsiTheme="minorHAnsi" w:cstheme="minorHAnsi"/>
          <w:b/>
          <w:snapToGrid w:val="0"/>
          <w:color w:val="auto"/>
        </w:rPr>
        <w:t>NTEP</w:t>
      </w:r>
      <w:r w:rsidR="00A30AB2">
        <w:rPr>
          <w:rFonts w:asciiTheme="minorHAnsi" w:hAnsiTheme="minorHAnsi" w:cstheme="minorHAnsi"/>
          <w:b/>
          <w:snapToGrid w:val="0"/>
          <w:color w:val="auto"/>
        </w:rPr>
        <w:t xml:space="preserve"> and Common Review Mission of National Health Mission</w:t>
      </w:r>
    </w:p>
    <w:p w14:paraId="09EFE60F" w14:textId="03D59A2D" w:rsidR="00A30AB2" w:rsidRPr="00A30AB2" w:rsidRDefault="00A30AB2" w:rsidP="00A30AB2">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 xml:space="preserve">3.1 </w:t>
      </w:r>
      <w:r w:rsidRPr="00A30AB2">
        <w:rPr>
          <w:rFonts w:asciiTheme="minorHAnsi" w:hAnsiTheme="minorHAnsi" w:cstheme="minorHAnsi"/>
          <w:b/>
          <w:color w:val="C86A07" w:themeColor="accent2" w:themeShade="BF"/>
          <w:sz w:val="28"/>
          <w:lang w:val="en"/>
        </w:rPr>
        <w:t>Joint Monitoring Mission of NTEP</w:t>
      </w:r>
    </w:p>
    <w:p w14:paraId="06D672AE" w14:textId="6304279E" w:rsidR="000F6DCA" w:rsidRDefault="00BC66AF" w:rsidP="00C129C4">
      <w:pPr>
        <w:jc w:val="both"/>
        <w:rPr>
          <w:rFonts w:asciiTheme="minorHAnsi" w:hAnsiTheme="minorHAnsi" w:cstheme="minorHAnsi"/>
          <w:sz w:val="22"/>
          <w:lang w:val="en"/>
        </w:rPr>
      </w:pPr>
      <w:r w:rsidRPr="003C30A1">
        <w:rPr>
          <w:rFonts w:asciiTheme="minorHAnsi" w:hAnsiTheme="minorHAnsi" w:cstheme="minorHAnsi"/>
          <w:sz w:val="22"/>
        </w:rPr>
        <w:t>The WHO-GoI JMM conducted a two-week intensive review of the TB program in India during November 11th to 22nd, 2019.  As one of the largest JMMs in the world, it had a 165 (32 international and 133 national experts) member multidisciplinary team</w:t>
      </w:r>
      <w:r w:rsidR="003C30A1" w:rsidRPr="003C30A1">
        <w:rPr>
          <w:rFonts w:asciiTheme="minorHAnsi" w:hAnsiTheme="minorHAnsi" w:cstheme="minorHAnsi"/>
          <w:sz w:val="22"/>
        </w:rPr>
        <w:t xml:space="preserve"> to </w:t>
      </w:r>
      <w:r w:rsidR="003C30A1" w:rsidRPr="003C30A1">
        <w:rPr>
          <w:rFonts w:asciiTheme="minorHAnsi" w:hAnsiTheme="minorHAnsi" w:cstheme="minorHAnsi"/>
          <w:sz w:val="22"/>
          <w:lang w:val="en"/>
        </w:rPr>
        <w:t xml:space="preserve">review the progress, challenges, and plans for India’s </w:t>
      </w:r>
      <w:r w:rsidR="005B59CD" w:rsidRPr="003C30A1">
        <w:rPr>
          <w:rFonts w:asciiTheme="minorHAnsi" w:hAnsiTheme="minorHAnsi" w:cstheme="minorHAnsi"/>
          <w:sz w:val="22"/>
          <w:lang w:val="en"/>
        </w:rPr>
        <w:t>TB efforts</w:t>
      </w:r>
      <w:r w:rsidR="003C30A1" w:rsidRPr="003C30A1">
        <w:rPr>
          <w:rFonts w:asciiTheme="minorHAnsi" w:hAnsiTheme="minorHAnsi" w:cstheme="minorHAnsi"/>
          <w:sz w:val="22"/>
          <w:lang w:val="en"/>
        </w:rPr>
        <w:t xml:space="preserve"> and to advise GoI, </w:t>
      </w:r>
      <w:r w:rsidR="003C30A1">
        <w:rPr>
          <w:rFonts w:asciiTheme="minorHAnsi" w:hAnsiTheme="minorHAnsi" w:cstheme="minorHAnsi"/>
          <w:sz w:val="22"/>
          <w:lang w:val="en"/>
        </w:rPr>
        <w:t>WHO, and partners on the pathway</w:t>
      </w:r>
      <w:r w:rsidR="003C30A1" w:rsidRPr="003C30A1">
        <w:rPr>
          <w:rFonts w:asciiTheme="minorHAnsi" w:hAnsiTheme="minorHAnsi" w:cstheme="minorHAnsi"/>
          <w:sz w:val="22"/>
          <w:lang w:val="en"/>
        </w:rPr>
        <w:t xml:space="preserve"> towards achieving Universal Access to TB care.  </w:t>
      </w:r>
    </w:p>
    <w:p w14:paraId="36E5559F" w14:textId="77777777" w:rsidR="00A30AB2" w:rsidRDefault="00D16518" w:rsidP="00A30AB2">
      <w:pPr>
        <w:jc w:val="both"/>
        <w:rPr>
          <w:rFonts w:asciiTheme="minorHAnsi" w:hAnsiTheme="minorHAnsi" w:cstheme="minorHAnsi"/>
          <w:sz w:val="22"/>
          <w:lang w:val="en"/>
        </w:rPr>
      </w:pPr>
      <w:r>
        <w:rPr>
          <w:rFonts w:asciiTheme="minorHAnsi" w:hAnsiTheme="minorHAnsi" w:cstheme="minorHAnsi"/>
          <w:sz w:val="22"/>
          <w:lang w:val="en"/>
        </w:rPr>
        <w:t>T</w:t>
      </w:r>
      <w:r w:rsidRPr="00D16518">
        <w:rPr>
          <w:rFonts w:asciiTheme="minorHAnsi" w:hAnsiTheme="minorHAnsi" w:cstheme="minorHAnsi"/>
          <w:sz w:val="22"/>
          <w:lang w:val="en"/>
        </w:rPr>
        <w:t>he recommendations</w:t>
      </w:r>
      <w:r>
        <w:rPr>
          <w:rFonts w:asciiTheme="minorHAnsi" w:hAnsiTheme="minorHAnsi" w:cstheme="minorHAnsi"/>
          <w:sz w:val="22"/>
          <w:lang w:val="en"/>
        </w:rPr>
        <w:t xml:space="preserve"> presented below</w:t>
      </w:r>
      <w:r w:rsidRPr="00D16518">
        <w:rPr>
          <w:rFonts w:asciiTheme="minorHAnsi" w:hAnsiTheme="minorHAnsi" w:cstheme="minorHAnsi"/>
          <w:sz w:val="22"/>
          <w:lang w:val="en"/>
        </w:rPr>
        <w:t xml:space="preserve"> represent the minimum required to fulfill the Prime Minister’s national and global commitment and reach </w:t>
      </w:r>
      <w:r w:rsidR="0002708F">
        <w:rPr>
          <w:rFonts w:asciiTheme="minorHAnsi" w:hAnsiTheme="minorHAnsi" w:cstheme="minorHAnsi"/>
          <w:sz w:val="22"/>
          <w:lang w:val="en"/>
        </w:rPr>
        <w:t>SDG targets for TB</w:t>
      </w:r>
      <w:r w:rsidRPr="00D16518">
        <w:rPr>
          <w:rFonts w:asciiTheme="minorHAnsi" w:hAnsiTheme="minorHAnsi" w:cstheme="minorHAnsi"/>
          <w:sz w:val="22"/>
          <w:lang w:val="en"/>
        </w:rPr>
        <w:t xml:space="preserve"> in India by 2025.  These recommendations are largely in line with India’s National Strategic Plan, and a new expanded budget is required commensurate with the historically unprecedented national ambition</w:t>
      </w:r>
      <w:r>
        <w:rPr>
          <w:rFonts w:asciiTheme="minorHAnsi" w:hAnsiTheme="minorHAnsi" w:cstheme="minorHAnsi"/>
          <w:sz w:val="22"/>
          <w:lang w:val="en"/>
        </w:rPr>
        <w:t>.</w:t>
      </w:r>
      <w:r w:rsidR="00A30AB2">
        <w:rPr>
          <w:rFonts w:asciiTheme="minorHAnsi" w:hAnsiTheme="minorHAnsi" w:cstheme="minorHAnsi"/>
          <w:sz w:val="22"/>
          <w:lang w:val="en"/>
        </w:rPr>
        <w:t xml:space="preserve"> </w:t>
      </w:r>
    </w:p>
    <w:p w14:paraId="231DD8AE" w14:textId="34885F7B" w:rsidR="00381393" w:rsidRPr="00A30AB2" w:rsidRDefault="00A30AB2" w:rsidP="00A30AB2">
      <w:pPr>
        <w:jc w:val="both"/>
        <w:rPr>
          <w:rFonts w:asciiTheme="minorHAnsi" w:hAnsiTheme="minorHAnsi" w:cstheme="minorHAnsi"/>
          <w:b/>
          <w:color w:val="C86A07" w:themeColor="accent2" w:themeShade="BF"/>
          <w:sz w:val="28"/>
          <w:lang w:val="en"/>
        </w:rPr>
      </w:pPr>
      <w:r w:rsidRPr="00A30AB2">
        <w:rPr>
          <w:rFonts w:asciiTheme="minorHAnsi" w:hAnsiTheme="minorHAnsi" w:cstheme="minorHAnsi"/>
          <w:b/>
          <w:color w:val="C86A07" w:themeColor="accent2" w:themeShade="BF"/>
          <w:sz w:val="28"/>
          <w:lang w:val="en"/>
        </w:rPr>
        <w:t>3.1</w:t>
      </w:r>
      <w:r>
        <w:rPr>
          <w:rFonts w:asciiTheme="minorHAnsi" w:hAnsiTheme="minorHAnsi" w:cstheme="minorHAnsi"/>
          <w:b/>
          <w:color w:val="C86A07" w:themeColor="accent2" w:themeShade="BF"/>
          <w:sz w:val="28"/>
          <w:lang w:val="en"/>
        </w:rPr>
        <w:t>.1</w:t>
      </w:r>
      <w:r w:rsidRPr="00A30AB2">
        <w:rPr>
          <w:rFonts w:asciiTheme="minorHAnsi" w:hAnsiTheme="minorHAnsi" w:cstheme="minorHAnsi"/>
          <w:b/>
          <w:color w:val="C86A07" w:themeColor="accent2" w:themeShade="BF"/>
          <w:sz w:val="28"/>
          <w:lang w:val="en"/>
        </w:rPr>
        <w:t xml:space="preserve"> </w:t>
      </w:r>
      <w:r w:rsidR="00381393" w:rsidRPr="00EC3830">
        <w:rPr>
          <w:rFonts w:asciiTheme="minorHAnsi" w:hAnsiTheme="minorHAnsi" w:cstheme="minorHAnsi"/>
          <w:b/>
          <w:color w:val="C86A07" w:themeColor="accent2" w:themeShade="BF"/>
          <w:sz w:val="28"/>
          <w:lang w:val="en"/>
        </w:rPr>
        <w:t>Challenges</w:t>
      </w:r>
    </w:p>
    <w:p w14:paraId="28C8A0F8" w14:textId="64F44B23" w:rsidR="008256D5" w:rsidRPr="008256D5" w:rsidRDefault="008256D5" w:rsidP="00C129C4">
      <w:pPr>
        <w:jc w:val="both"/>
        <w:rPr>
          <w:rFonts w:asciiTheme="minorHAnsi" w:hAnsiTheme="minorHAnsi" w:cstheme="minorHAnsi"/>
          <w:sz w:val="22"/>
          <w:lang w:val="en"/>
        </w:rPr>
      </w:pPr>
      <w:r w:rsidRPr="008256D5">
        <w:rPr>
          <w:rFonts w:asciiTheme="minorHAnsi" w:hAnsiTheme="minorHAnsi" w:cstheme="minorHAnsi"/>
          <w:sz w:val="22"/>
          <w:lang w:val="en"/>
        </w:rPr>
        <w:t>The challenges in the coming years remain daunting and are accompanied by a risk of failure to achieve the national goals unless concrete and deliberate ac</w:t>
      </w:r>
      <w:r w:rsidR="006E222E">
        <w:rPr>
          <w:rFonts w:asciiTheme="minorHAnsi" w:hAnsiTheme="minorHAnsi" w:cstheme="minorHAnsi"/>
          <w:sz w:val="22"/>
          <w:lang w:val="en"/>
        </w:rPr>
        <w:t xml:space="preserve">tions are promptly undertaken. The key high level challenges are as follows. </w:t>
      </w:r>
    </w:p>
    <w:p w14:paraId="0AAAE34D" w14:textId="5311CEA7" w:rsidR="008256D5" w:rsidRDefault="008256D5" w:rsidP="00442A67">
      <w:pPr>
        <w:pStyle w:val="ListParagraph"/>
        <w:numPr>
          <w:ilvl w:val="0"/>
          <w:numId w:val="27"/>
        </w:numPr>
        <w:jc w:val="both"/>
        <w:rPr>
          <w:rFonts w:asciiTheme="minorHAnsi" w:hAnsiTheme="minorHAnsi" w:cstheme="minorHAnsi"/>
          <w:sz w:val="22"/>
          <w:lang w:val="en"/>
        </w:rPr>
      </w:pPr>
      <w:r w:rsidRPr="008256D5">
        <w:rPr>
          <w:rFonts w:asciiTheme="minorHAnsi" w:hAnsiTheme="minorHAnsi" w:cstheme="minorHAnsi"/>
          <w:sz w:val="22"/>
          <w:lang w:val="en"/>
        </w:rPr>
        <w:t>Hundreds of thousands of people with TB disease remain missing to TB surveillance/</w:t>
      </w:r>
      <w:r w:rsidR="007713DE">
        <w:rPr>
          <w:rFonts w:asciiTheme="minorHAnsi" w:hAnsiTheme="minorHAnsi" w:cstheme="minorHAnsi"/>
          <w:sz w:val="22"/>
          <w:lang w:val="en"/>
        </w:rPr>
        <w:t xml:space="preserve"> </w:t>
      </w:r>
      <w:r w:rsidRPr="008256D5">
        <w:rPr>
          <w:rFonts w:asciiTheme="minorHAnsi" w:hAnsiTheme="minorHAnsi" w:cstheme="minorHAnsi"/>
          <w:sz w:val="22"/>
          <w:lang w:val="en"/>
        </w:rPr>
        <w:t xml:space="preserve">notification and services, and are likely in private health delivery systems or the community.  Those who are found experience serious attrition through the cascade of care, with hundreds of thousands lost along their journey through diagnosis and treatment, particularly among those reported by private providers.  </w:t>
      </w:r>
    </w:p>
    <w:p w14:paraId="7FE1F277" w14:textId="77777777" w:rsidR="008256D5" w:rsidRDefault="008256D5" w:rsidP="00442A67">
      <w:pPr>
        <w:pStyle w:val="ListParagraph"/>
        <w:numPr>
          <w:ilvl w:val="0"/>
          <w:numId w:val="27"/>
        </w:numPr>
        <w:jc w:val="both"/>
        <w:rPr>
          <w:rFonts w:asciiTheme="minorHAnsi" w:hAnsiTheme="minorHAnsi" w:cstheme="minorHAnsi"/>
          <w:sz w:val="22"/>
          <w:lang w:val="en"/>
        </w:rPr>
      </w:pPr>
      <w:r w:rsidRPr="008256D5">
        <w:rPr>
          <w:rFonts w:asciiTheme="minorHAnsi" w:hAnsiTheme="minorHAnsi" w:cstheme="minorHAnsi"/>
          <w:sz w:val="22"/>
          <w:lang w:val="en"/>
        </w:rPr>
        <w:t>Furthermore, the majority of patients reported by private providers could not be confirmed to have completed treatment.  Many are not screened or treated for key comorbidities such as HIV, diabetes, or malnutrition – all critical measures to maximize successful treatment outcomes and survival.</w:t>
      </w:r>
      <w:r>
        <w:rPr>
          <w:rFonts w:asciiTheme="minorHAnsi" w:hAnsiTheme="minorHAnsi" w:cstheme="minorHAnsi"/>
          <w:sz w:val="22"/>
          <w:lang w:val="en"/>
        </w:rPr>
        <w:t xml:space="preserve">  </w:t>
      </w:r>
    </w:p>
    <w:p w14:paraId="23D2C4BA" w14:textId="7539691C" w:rsidR="008256D5" w:rsidRDefault="008256D5" w:rsidP="00442A67">
      <w:pPr>
        <w:pStyle w:val="ListParagraph"/>
        <w:numPr>
          <w:ilvl w:val="0"/>
          <w:numId w:val="27"/>
        </w:numPr>
        <w:jc w:val="both"/>
        <w:rPr>
          <w:rFonts w:asciiTheme="minorHAnsi" w:hAnsiTheme="minorHAnsi" w:cstheme="minorHAnsi"/>
          <w:sz w:val="22"/>
          <w:lang w:val="en"/>
        </w:rPr>
      </w:pPr>
      <w:r w:rsidRPr="008256D5">
        <w:rPr>
          <w:rFonts w:asciiTheme="minorHAnsi" w:hAnsiTheme="minorHAnsi" w:cstheme="minorHAnsi"/>
          <w:sz w:val="22"/>
          <w:lang w:val="en"/>
        </w:rPr>
        <w:t xml:space="preserve">Existing vacancies in allocated </w:t>
      </w:r>
      <w:r w:rsidR="007B135B">
        <w:rPr>
          <w:rFonts w:asciiTheme="minorHAnsi" w:hAnsiTheme="minorHAnsi" w:cstheme="minorHAnsi"/>
          <w:sz w:val="22"/>
          <w:lang w:val="en"/>
        </w:rPr>
        <w:t>NTEP</w:t>
      </w:r>
      <w:r w:rsidRPr="008256D5">
        <w:rPr>
          <w:rFonts w:asciiTheme="minorHAnsi" w:hAnsiTheme="minorHAnsi" w:cstheme="minorHAnsi"/>
          <w:sz w:val="22"/>
          <w:lang w:val="en"/>
        </w:rPr>
        <w:t xml:space="preserve"> staff positions in many states also limit progress.  </w:t>
      </w:r>
    </w:p>
    <w:p w14:paraId="76270505" w14:textId="77777777" w:rsidR="008256D5" w:rsidRDefault="008256D5" w:rsidP="00442A67">
      <w:pPr>
        <w:pStyle w:val="ListParagraph"/>
        <w:numPr>
          <w:ilvl w:val="0"/>
          <w:numId w:val="27"/>
        </w:numPr>
        <w:jc w:val="both"/>
        <w:rPr>
          <w:rFonts w:asciiTheme="minorHAnsi" w:hAnsiTheme="minorHAnsi" w:cstheme="minorHAnsi"/>
          <w:sz w:val="22"/>
          <w:lang w:val="en"/>
        </w:rPr>
      </w:pPr>
      <w:r w:rsidRPr="008256D5">
        <w:rPr>
          <w:rFonts w:asciiTheme="minorHAnsi" w:hAnsiTheme="minorHAnsi" w:cstheme="minorHAnsi"/>
          <w:sz w:val="22"/>
          <w:lang w:val="en"/>
        </w:rPr>
        <w:t xml:space="preserve">The power of India’s general health system has not been harnessed for the national campaign against TB, particularly in settings with the highest burden of disease.  </w:t>
      </w:r>
    </w:p>
    <w:p w14:paraId="30FEEDB4" w14:textId="3F7345A9" w:rsidR="008256D5" w:rsidRDefault="008256D5" w:rsidP="00442A67">
      <w:pPr>
        <w:pStyle w:val="ListParagraph"/>
        <w:numPr>
          <w:ilvl w:val="0"/>
          <w:numId w:val="27"/>
        </w:numPr>
        <w:jc w:val="both"/>
        <w:rPr>
          <w:rFonts w:asciiTheme="minorHAnsi" w:hAnsiTheme="minorHAnsi" w:cstheme="minorHAnsi"/>
          <w:sz w:val="22"/>
          <w:lang w:val="en"/>
        </w:rPr>
      </w:pPr>
      <w:r w:rsidRPr="008256D5">
        <w:rPr>
          <w:rFonts w:asciiTheme="minorHAnsi" w:hAnsiTheme="minorHAnsi" w:cstheme="minorHAnsi"/>
          <w:sz w:val="22"/>
          <w:lang w:val="en"/>
        </w:rPr>
        <w:t xml:space="preserve">Tools available to </w:t>
      </w:r>
      <w:r w:rsidR="007B135B">
        <w:rPr>
          <w:rFonts w:asciiTheme="minorHAnsi" w:hAnsiTheme="minorHAnsi" w:cstheme="minorHAnsi"/>
          <w:sz w:val="22"/>
          <w:lang w:val="en"/>
        </w:rPr>
        <w:t>NTEP</w:t>
      </w:r>
      <w:r w:rsidRPr="008256D5">
        <w:rPr>
          <w:rFonts w:asciiTheme="minorHAnsi" w:hAnsiTheme="minorHAnsi" w:cstheme="minorHAnsi"/>
          <w:sz w:val="22"/>
          <w:lang w:val="en"/>
        </w:rPr>
        <w:t xml:space="preserve">, such as advanced molecular diagnostics, enhanced patient and adherence support systems, or newer drug regimens, still remain incompletely implemented. </w:t>
      </w:r>
    </w:p>
    <w:p w14:paraId="7F1D2426" w14:textId="19B3545E" w:rsidR="003C30A1" w:rsidRPr="008256D5" w:rsidRDefault="00F60598" w:rsidP="00442A67">
      <w:pPr>
        <w:pStyle w:val="ListParagraph"/>
        <w:numPr>
          <w:ilvl w:val="0"/>
          <w:numId w:val="27"/>
        </w:numPr>
        <w:contextualSpacing w:val="0"/>
        <w:jc w:val="both"/>
        <w:rPr>
          <w:rFonts w:asciiTheme="minorHAnsi" w:hAnsiTheme="minorHAnsi" w:cstheme="minorHAnsi"/>
          <w:sz w:val="22"/>
          <w:lang w:val="en"/>
        </w:rPr>
      </w:pPr>
      <w:r w:rsidRPr="008256D5">
        <w:rPr>
          <w:rFonts w:asciiTheme="minorHAnsi" w:hAnsiTheme="minorHAnsi" w:cstheme="minorHAnsi"/>
          <w:sz w:val="22"/>
          <w:lang w:val="en"/>
        </w:rPr>
        <w:t>Under diagnosis</w:t>
      </w:r>
      <w:r w:rsidR="008256D5" w:rsidRPr="008256D5">
        <w:rPr>
          <w:rFonts w:asciiTheme="minorHAnsi" w:hAnsiTheme="minorHAnsi" w:cstheme="minorHAnsi"/>
          <w:sz w:val="22"/>
          <w:lang w:val="en"/>
        </w:rPr>
        <w:t xml:space="preserve"> of paediatric TB remains a challenge.  The most pressing challenges include limited capacity for case detection, lack of sensitive diagnostics and inconsistent availability of child friendly anti-TB drug formulations for prevention and cure.</w:t>
      </w:r>
    </w:p>
    <w:p w14:paraId="6BBD557C" w14:textId="6EC3AED3" w:rsidR="003C30A1" w:rsidRPr="00A30AB2" w:rsidRDefault="00A30AB2" w:rsidP="00A30AB2">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 xml:space="preserve">3.1.2 </w:t>
      </w:r>
      <w:r w:rsidR="003C30A1" w:rsidRPr="00A30AB2">
        <w:rPr>
          <w:rFonts w:asciiTheme="minorHAnsi" w:hAnsiTheme="minorHAnsi" w:cstheme="minorHAnsi"/>
          <w:b/>
          <w:color w:val="C86A07" w:themeColor="accent2" w:themeShade="BF"/>
          <w:sz w:val="28"/>
          <w:lang w:val="en"/>
        </w:rPr>
        <w:t>Recommendations</w:t>
      </w:r>
    </w:p>
    <w:p w14:paraId="3591BEAD" w14:textId="1A0521C5" w:rsidR="003C30A1" w:rsidRPr="003C30A1" w:rsidRDefault="003C30A1" w:rsidP="00C129C4">
      <w:pPr>
        <w:jc w:val="both"/>
        <w:rPr>
          <w:rFonts w:asciiTheme="minorHAnsi" w:hAnsiTheme="minorHAnsi" w:cstheme="minorHAnsi"/>
          <w:sz w:val="22"/>
          <w:lang w:val="en"/>
        </w:rPr>
      </w:pPr>
      <w:r w:rsidRPr="003C30A1">
        <w:rPr>
          <w:rFonts w:asciiTheme="minorHAnsi" w:hAnsiTheme="minorHAnsi" w:cstheme="minorHAnsi"/>
          <w:sz w:val="22"/>
          <w:lang w:val="en"/>
        </w:rPr>
        <w:t>To approach the Prime Mini</w:t>
      </w:r>
      <w:r w:rsidR="0002708F">
        <w:rPr>
          <w:rFonts w:asciiTheme="minorHAnsi" w:hAnsiTheme="minorHAnsi" w:cstheme="minorHAnsi"/>
          <w:sz w:val="22"/>
          <w:lang w:val="en"/>
        </w:rPr>
        <w:t>ster’s commitment to reach the SDG</w:t>
      </w:r>
      <w:r w:rsidRPr="003C30A1">
        <w:rPr>
          <w:rFonts w:asciiTheme="minorHAnsi" w:hAnsiTheme="minorHAnsi" w:cstheme="minorHAnsi"/>
          <w:sz w:val="22"/>
          <w:lang w:val="en"/>
        </w:rPr>
        <w:t xml:space="preserve"> targets by 2025, the Mission recommends the following ten actions</w:t>
      </w:r>
      <w:r w:rsidR="00D16518">
        <w:rPr>
          <w:rFonts w:asciiTheme="minorHAnsi" w:hAnsiTheme="minorHAnsi" w:cstheme="minorHAnsi"/>
          <w:sz w:val="22"/>
          <w:lang w:val="en"/>
        </w:rPr>
        <w:t xml:space="preserve">. </w:t>
      </w:r>
    </w:p>
    <w:p w14:paraId="334CBFBA" w14:textId="77777777" w:rsidR="003C30A1" w:rsidRPr="00056C4E" w:rsidRDefault="003C30A1" w:rsidP="00442A67">
      <w:pPr>
        <w:pStyle w:val="ListParagraph"/>
        <w:numPr>
          <w:ilvl w:val="0"/>
          <w:numId w:val="28"/>
        </w:numPr>
        <w:jc w:val="both"/>
        <w:rPr>
          <w:rFonts w:asciiTheme="minorHAnsi" w:hAnsiTheme="minorHAnsi" w:cstheme="minorHAnsi"/>
          <w:sz w:val="22"/>
          <w:lang w:val="en"/>
        </w:rPr>
      </w:pPr>
      <w:r w:rsidRPr="00056C4E">
        <w:rPr>
          <w:rFonts w:asciiTheme="minorHAnsi" w:hAnsiTheme="minorHAnsi" w:cstheme="minorHAnsi"/>
          <w:b/>
          <w:sz w:val="22"/>
          <w:lang w:val="en"/>
        </w:rPr>
        <w:lastRenderedPageBreak/>
        <w:t>Mount the TB elimination campaign</w:t>
      </w:r>
      <w:r w:rsidRPr="00056C4E">
        <w:rPr>
          <w:rFonts w:asciiTheme="minorHAnsi" w:hAnsiTheme="minorHAnsi" w:cstheme="minorHAnsi"/>
          <w:sz w:val="22"/>
          <w:lang w:val="en"/>
        </w:rPr>
        <w:t xml:space="preserve"> </w:t>
      </w:r>
      <w:r w:rsidRPr="00056C4E">
        <w:rPr>
          <w:rFonts w:asciiTheme="minorHAnsi" w:hAnsiTheme="minorHAnsi" w:cstheme="minorHAnsi"/>
          <w:b/>
          <w:sz w:val="22"/>
          <w:lang w:val="en"/>
        </w:rPr>
        <w:t xml:space="preserve">envisaged in India’s NSP with clear accountability and multisectoral engagement </w:t>
      </w:r>
      <w:r w:rsidRPr="00056C4E">
        <w:rPr>
          <w:rFonts w:asciiTheme="minorHAnsi" w:hAnsiTheme="minorHAnsi" w:cstheme="minorHAnsi"/>
          <w:sz w:val="22"/>
          <w:lang w:val="en"/>
        </w:rPr>
        <w:t>– inspired by lessons gained from Polio eradication in India. This TB elimination campaign must be properly budgeted and financed for the remaining 5 years, drive multi-sectoral action and accountability, based on the Right to Health, under the stewardship of a National TB Elimination Board, with State counterparts backed by legislation. Rapidly develop, implement, monitor and rigorously review TB Elimination plans for every State, and consider convening the eight mega-cities for a focused effort specific to these areas and commensurate with their high burden.  Also act so that vulnerable and marginalized populations are served with urgency. India can only succeed if local government, communities, and civil society are mobilized to detect and support every person suffering from TB and every affected family.</w:t>
      </w:r>
    </w:p>
    <w:p w14:paraId="226403FC" w14:textId="0B9B4678" w:rsidR="003C30A1" w:rsidRPr="00056C4E" w:rsidRDefault="003C30A1" w:rsidP="00442A67">
      <w:pPr>
        <w:pStyle w:val="ListParagraph"/>
        <w:numPr>
          <w:ilvl w:val="0"/>
          <w:numId w:val="28"/>
        </w:numPr>
        <w:jc w:val="both"/>
        <w:rPr>
          <w:rFonts w:asciiTheme="minorHAnsi" w:hAnsiTheme="minorHAnsi" w:cstheme="minorHAnsi"/>
          <w:sz w:val="22"/>
          <w:lang w:val="en"/>
        </w:rPr>
      </w:pPr>
      <w:r w:rsidRPr="00056C4E">
        <w:rPr>
          <w:rFonts w:asciiTheme="minorHAnsi" w:hAnsiTheme="minorHAnsi" w:cstheme="minorHAnsi"/>
          <w:b/>
          <w:sz w:val="22"/>
          <w:lang w:val="en"/>
        </w:rPr>
        <w:t>Provide urgent reinforcements to the existing workforce of dedicated and skilled workers</w:t>
      </w:r>
      <w:r w:rsidRPr="00056C4E">
        <w:rPr>
          <w:rFonts w:asciiTheme="minorHAnsi" w:hAnsiTheme="minorHAnsi" w:cstheme="minorHAnsi"/>
          <w:sz w:val="22"/>
          <w:lang w:val="en"/>
        </w:rPr>
        <w:t xml:space="preserve"> with additional trained persons to tackle the increased workload. Immediately hire pending vacancies at all levels of local, state and national level.  Deploy human resources and outsource selected functions to properly address the unprecedented expansion of early TB case finding, up-to-date and quality-assured diagnostic laboratory services, new prevention activities, management of private sector models, DBT schemes.  Also, develop and execute a multi-year national and state human resource plan that informs the targeted addition of trained and dedicated staff “fit for purpose” by relying on in-person and digital training platforms, using principles of quality improvement to strengthen cascades of care, and outsourcing support for capacity development</w:t>
      </w:r>
      <w:r w:rsidRPr="00056C4E">
        <w:rPr>
          <w:rFonts w:asciiTheme="minorHAnsi" w:hAnsiTheme="minorHAnsi" w:cstheme="minorHAnsi"/>
          <w:b/>
          <w:sz w:val="22"/>
          <w:lang w:val="en"/>
        </w:rPr>
        <w:t>.</w:t>
      </w:r>
      <w:r w:rsidRPr="00056C4E">
        <w:rPr>
          <w:rFonts w:asciiTheme="minorHAnsi" w:hAnsiTheme="minorHAnsi" w:cstheme="minorHAnsi"/>
          <w:sz w:val="22"/>
          <w:lang w:val="en"/>
        </w:rPr>
        <w:t xml:space="preserve">  In parallel, incorporate aggressive forecasting, and direct procurement or innovative contracting for drugs and diagnostics to meet rapidly expanding demand.  Translating these and other recommendations into action will require adequate financing for TB.  An ambitious budget for the next 5 years is required, and the </w:t>
      </w:r>
      <w:r w:rsidR="00834384">
        <w:rPr>
          <w:rFonts w:asciiTheme="minorHAnsi" w:hAnsiTheme="minorHAnsi" w:cstheme="minorHAnsi"/>
          <w:sz w:val="22"/>
          <w:lang w:val="en"/>
        </w:rPr>
        <w:t xml:space="preserve">Government </w:t>
      </w:r>
      <w:r w:rsidRPr="00056C4E">
        <w:rPr>
          <w:rFonts w:asciiTheme="minorHAnsi" w:hAnsiTheme="minorHAnsi" w:cstheme="minorHAnsi"/>
          <w:sz w:val="22"/>
          <w:lang w:val="en"/>
        </w:rPr>
        <w:t xml:space="preserve">of </w:t>
      </w:r>
      <w:r w:rsidR="00834384">
        <w:rPr>
          <w:rFonts w:asciiTheme="minorHAnsi" w:hAnsiTheme="minorHAnsi" w:cstheme="minorHAnsi"/>
          <w:sz w:val="22"/>
          <w:lang w:val="en"/>
        </w:rPr>
        <w:t>India</w:t>
      </w:r>
      <w:r w:rsidRPr="00056C4E">
        <w:rPr>
          <w:rFonts w:asciiTheme="minorHAnsi" w:hAnsiTheme="minorHAnsi" w:cstheme="minorHAnsi"/>
          <w:sz w:val="22"/>
          <w:lang w:val="en"/>
        </w:rPr>
        <w:t xml:space="preserve"> </w:t>
      </w:r>
      <w:r w:rsidRPr="00834384">
        <w:rPr>
          <w:rFonts w:asciiTheme="minorHAnsi" w:hAnsiTheme="minorHAnsi" w:cstheme="minorHAnsi"/>
          <w:sz w:val="22"/>
          <w:lang w:val="en"/>
        </w:rPr>
        <w:t xml:space="preserve">should increase the level of financing for TB </w:t>
      </w:r>
      <w:r w:rsidRPr="00056C4E">
        <w:rPr>
          <w:rFonts w:asciiTheme="minorHAnsi" w:hAnsiTheme="minorHAnsi" w:cstheme="minorHAnsi"/>
          <w:sz w:val="22"/>
          <w:lang w:val="en"/>
        </w:rPr>
        <w:t>based on robust estimates and work plans for the 2020-25 period, making sure that the most innovative aspects of the NSP are adequately funded.</w:t>
      </w:r>
    </w:p>
    <w:p w14:paraId="71F9A3F9" w14:textId="5C130993" w:rsidR="003C30A1" w:rsidRPr="00056C4E" w:rsidRDefault="003C30A1" w:rsidP="00442A67">
      <w:pPr>
        <w:pStyle w:val="ListParagraph"/>
        <w:numPr>
          <w:ilvl w:val="0"/>
          <w:numId w:val="28"/>
        </w:numPr>
        <w:jc w:val="both"/>
        <w:rPr>
          <w:rFonts w:asciiTheme="minorHAnsi" w:hAnsiTheme="minorHAnsi" w:cstheme="minorHAnsi"/>
          <w:sz w:val="22"/>
          <w:lang w:val="en"/>
        </w:rPr>
      </w:pPr>
      <w:r w:rsidRPr="00056C4E">
        <w:rPr>
          <w:rFonts w:asciiTheme="minorHAnsi" w:hAnsiTheme="minorHAnsi" w:cstheme="minorHAnsi"/>
          <w:b/>
          <w:sz w:val="22"/>
          <w:lang w:val="en"/>
        </w:rPr>
        <w:t xml:space="preserve">Rapidly scale-up private provider engagement, </w:t>
      </w:r>
      <w:r w:rsidRPr="00056C4E">
        <w:rPr>
          <w:rFonts w:asciiTheme="minorHAnsi" w:hAnsiTheme="minorHAnsi" w:cstheme="minorHAnsi"/>
          <w:sz w:val="22"/>
          <w:lang w:val="en"/>
        </w:rPr>
        <w:t xml:space="preserve">by collaborating with qualified </w:t>
      </w:r>
      <w:r w:rsidR="0002708F">
        <w:rPr>
          <w:rFonts w:asciiTheme="minorHAnsi" w:hAnsiTheme="minorHAnsi" w:cstheme="minorHAnsi"/>
          <w:sz w:val="22"/>
          <w:lang w:val="en"/>
        </w:rPr>
        <w:t>modern medicine care</w:t>
      </w:r>
      <w:r w:rsidRPr="00056C4E">
        <w:rPr>
          <w:rFonts w:asciiTheme="minorHAnsi" w:hAnsiTheme="minorHAnsi" w:cstheme="minorHAnsi"/>
          <w:sz w:val="22"/>
          <w:lang w:val="en"/>
        </w:rPr>
        <w:t xml:space="preserve"> providers and AYUSH providers to find and successfully treat 2 million patients in 2020-2021.  Leverage the newly released Guidance for Partnerships and technical support units for output-based contracting of the workforce and services required to reach and provide quality services to double the number of TB patients being treated today.  Employ conscious change management as the government undertakes the new ways of working inherent to output-based contracting, and consider using public funds to purchase privately supplied quality-assured drugs and diagnostics.  Embed and implement reimbursement packages for outpatient TB services in Pradhan Mantri Jan Arogya Yojana (PMJAY).</w:t>
      </w:r>
    </w:p>
    <w:p w14:paraId="111487F6" w14:textId="25A4094B" w:rsidR="003C30A1" w:rsidRPr="00056C4E" w:rsidRDefault="003C30A1" w:rsidP="00442A67">
      <w:pPr>
        <w:pStyle w:val="ListParagraph"/>
        <w:numPr>
          <w:ilvl w:val="0"/>
          <w:numId w:val="28"/>
        </w:numPr>
        <w:jc w:val="both"/>
        <w:rPr>
          <w:rFonts w:asciiTheme="minorHAnsi" w:hAnsiTheme="minorHAnsi" w:cstheme="minorHAnsi"/>
          <w:b/>
          <w:sz w:val="22"/>
          <w:lang w:val="en"/>
        </w:rPr>
      </w:pPr>
      <w:r w:rsidRPr="00056C4E">
        <w:rPr>
          <w:rFonts w:asciiTheme="minorHAnsi" w:hAnsiTheme="minorHAnsi" w:cstheme="minorHAnsi"/>
          <w:b/>
          <w:sz w:val="22"/>
          <w:lang w:val="en"/>
        </w:rPr>
        <w:t>Move from passive community engagement to full community participation and ownership</w:t>
      </w:r>
      <w:r w:rsidRPr="00056C4E">
        <w:rPr>
          <w:rFonts w:asciiTheme="minorHAnsi" w:hAnsiTheme="minorHAnsi" w:cstheme="minorHAnsi"/>
          <w:sz w:val="22"/>
          <w:lang w:val="en"/>
        </w:rPr>
        <w:t>, with reliance on TB champions and TB Survivors working alongside program</w:t>
      </w:r>
      <w:r w:rsidR="00381393" w:rsidRPr="00056C4E">
        <w:rPr>
          <w:rFonts w:asciiTheme="minorHAnsi" w:hAnsiTheme="minorHAnsi" w:cstheme="minorHAnsi"/>
          <w:sz w:val="22"/>
          <w:lang w:val="en"/>
        </w:rPr>
        <w:t>me staff in advocacy, planning and implementation</w:t>
      </w:r>
      <w:r w:rsidRPr="00056C4E">
        <w:rPr>
          <w:rFonts w:asciiTheme="minorHAnsi" w:hAnsiTheme="minorHAnsi" w:cstheme="minorHAnsi"/>
          <w:sz w:val="22"/>
          <w:lang w:val="en"/>
        </w:rPr>
        <w:t xml:space="preserve"> and monitoring of the local, state, and national TB response. Invest in local TB forums which are effective change agents able to work at reducing/eliminating stigma and a human rights </w:t>
      </w:r>
      <w:r w:rsidRPr="00056C4E">
        <w:rPr>
          <w:rFonts w:asciiTheme="minorHAnsi" w:hAnsiTheme="minorHAnsi" w:cstheme="minorHAnsi"/>
          <w:b/>
          <w:sz w:val="22"/>
          <w:lang w:val="en"/>
        </w:rPr>
        <w:t>response framework.</w:t>
      </w:r>
    </w:p>
    <w:p w14:paraId="39D19BFC" w14:textId="7DD4B93E" w:rsidR="00D640AE" w:rsidRPr="00056C4E" w:rsidRDefault="003C30A1" w:rsidP="00442A67">
      <w:pPr>
        <w:pStyle w:val="ListParagraph"/>
        <w:numPr>
          <w:ilvl w:val="0"/>
          <w:numId w:val="28"/>
        </w:numPr>
        <w:jc w:val="both"/>
        <w:rPr>
          <w:rFonts w:asciiTheme="minorHAnsi" w:hAnsiTheme="minorHAnsi" w:cstheme="minorHAnsi"/>
          <w:sz w:val="22"/>
          <w:lang w:val="en"/>
        </w:rPr>
      </w:pPr>
      <w:r w:rsidRPr="00056C4E">
        <w:rPr>
          <w:rFonts w:asciiTheme="minorHAnsi" w:hAnsiTheme="minorHAnsi" w:cstheme="minorHAnsi"/>
          <w:b/>
          <w:sz w:val="22"/>
          <w:lang w:val="en"/>
        </w:rPr>
        <w:t>Invest in TB surveillance staff and systems for accurate, complete, and timely information that</w:t>
      </w:r>
      <w:r w:rsidRPr="00056C4E">
        <w:rPr>
          <w:rFonts w:asciiTheme="minorHAnsi" w:hAnsiTheme="minorHAnsi" w:cstheme="minorHAnsi"/>
          <w:sz w:val="22"/>
          <w:lang w:val="en"/>
        </w:rPr>
        <w:t xml:space="preserve"> ensures the collection and analysis of high-quality, effective service delivery, performance monitoring, and understands the drivers of TB transmission.  A network of national-, state-, and district-level TB Surveillance Units </w:t>
      </w:r>
      <w:r w:rsidR="00D66B88">
        <w:rPr>
          <w:rFonts w:asciiTheme="minorHAnsi" w:hAnsiTheme="minorHAnsi" w:cstheme="minorHAnsi"/>
          <w:sz w:val="22"/>
          <w:lang w:val="en"/>
        </w:rPr>
        <w:t>will</w:t>
      </w:r>
      <w:r w:rsidRPr="00056C4E">
        <w:rPr>
          <w:rFonts w:asciiTheme="minorHAnsi" w:hAnsiTheme="minorHAnsi" w:cstheme="minorHAnsi"/>
          <w:sz w:val="22"/>
          <w:lang w:val="en"/>
        </w:rPr>
        <w:t xml:space="preserve"> be established by 2020.  Augment the surveillance network with technical assistance to help address emerging priorities, build communities of practice, use local data for local action, and </w:t>
      </w:r>
      <w:r w:rsidR="00D640AE" w:rsidRPr="00056C4E">
        <w:rPr>
          <w:rFonts w:asciiTheme="minorHAnsi" w:hAnsiTheme="minorHAnsi" w:cstheme="minorHAnsi"/>
          <w:sz w:val="22"/>
          <w:lang w:val="en"/>
        </w:rPr>
        <w:t xml:space="preserve">rapidly respond to outbreaks. </w:t>
      </w:r>
    </w:p>
    <w:p w14:paraId="244E5D00" w14:textId="3959E15F" w:rsidR="003C30A1" w:rsidRPr="00056C4E" w:rsidRDefault="003C30A1" w:rsidP="00442A67">
      <w:pPr>
        <w:pStyle w:val="ListParagraph"/>
        <w:numPr>
          <w:ilvl w:val="0"/>
          <w:numId w:val="28"/>
        </w:numPr>
        <w:jc w:val="both"/>
        <w:rPr>
          <w:rFonts w:asciiTheme="minorHAnsi" w:hAnsiTheme="minorHAnsi" w:cstheme="minorHAnsi"/>
          <w:sz w:val="22"/>
          <w:lang w:val="en"/>
        </w:rPr>
      </w:pPr>
      <w:r w:rsidRPr="00056C4E">
        <w:rPr>
          <w:rFonts w:asciiTheme="minorHAnsi" w:hAnsiTheme="minorHAnsi" w:cstheme="minorHAnsi"/>
          <w:b/>
          <w:sz w:val="22"/>
          <w:lang w:val="en"/>
        </w:rPr>
        <w:t xml:space="preserve">Deploy new precision diagnostic tools and ensure access to prompt, quality-assured testing for accelerated progress, </w:t>
      </w:r>
      <w:r w:rsidRPr="00056C4E">
        <w:rPr>
          <w:rFonts w:asciiTheme="minorHAnsi" w:hAnsiTheme="minorHAnsi" w:cstheme="minorHAnsi"/>
          <w:sz w:val="22"/>
          <w:lang w:val="en"/>
        </w:rPr>
        <w:t>and scale-up advanced diagnostics services and TB surveillance capacity</w:t>
      </w:r>
      <w:r w:rsidRPr="00056C4E">
        <w:rPr>
          <w:rFonts w:asciiTheme="minorHAnsi" w:hAnsiTheme="minorHAnsi" w:cstheme="minorHAnsi"/>
          <w:b/>
          <w:sz w:val="22"/>
          <w:lang w:val="en"/>
        </w:rPr>
        <w:t xml:space="preserve">. </w:t>
      </w:r>
      <w:r w:rsidRPr="00056C4E">
        <w:rPr>
          <w:rFonts w:asciiTheme="minorHAnsi" w:hAnsiTheme="minorHAnsi" w:cstheme="minorHAnsi"/>
          <w:sz w:val="22"/>
          <w:lang w:val="en"/>
        </w:rPr>
        <w:t xml:space="preserve"> Displace insensitive sputum smear microscopy with molecular TB diagnosis fully decentralized nationwide, alongside outsourcing to India’s enormous private laboratory capacity, for 20 million advanced molecular diagnostic tests annually.  Provide rapid drug susceptibility testing to all persons diagnosed with TB disease -- adult and pediatric, public and private.</w:t>
      </w:r>
    </w:p>
    <w:p w14:paraId="6D52949A" w14:textId="061F8677" w:rsidR="003C30A1" w:rsidRPr="00056C4E" w:rsidRDefault="003C30A1" w:rsidP="00442A67">
      <w:pPr>
        <w:pStyle w:val="ListParagraph"/>
        <w:numPr>
          <w:ilvl w:val="0"/>
          <w:numId w:val="28"/>
        </w:numPr>
        <w:jc w:val="both"/>
        <w:rPr>
          <w:rFonts w:asciiTheme="minorHAnsi" w:hAnsiTheme="minorHAnsi" w:cstheme="minorHAnsi"/>
          <w:sz w:val="22"/>
          <w:lang w:val="en"/>
        </w:rPr>
      </w:pPr>
      <w:r w:rsidRPr="00056C4E">
        <w:rPr>
          <w:rFonts w:asciiTheme="minorHAnsi" w:hAnsiTheme="minorHAnsi" w:cstheme="minorHAnsi"/>
          <w:b/>
          <w:sz w:val="22"/>
          <w:lang w:val="en"/>
        </w:rPr>
        <w:lastRenderedPageBreak/>
        <w:t>Support patients</w:t>
      </w:r>
      <w:r w:rsidRPr="00056C4E">
        <w:rPr>
          <w:rFonts w:asciiTheme="minorHAnsi" w:hAnsiTheme="minorHAnsi" w:cstheme="minorHAnsi"/>
          <w:sz w:val="22"/>
          <w:lang w:val="en"/>
        </w:rPr>
        <w:t xml:space="preserve"> </w:t>
      </w:r>
      <w:r w:rsidRPr="00056C4E">
        <w:rPr>
          <w:rFonts w:asciiTheme="minorHAnsi" w:hAnsiTheme="minorHAnsi" w:cstheme="minorHAnsi"/>
          <w:b/>
          <w:sz w:val="22"/>
          <w:lang w:val="en"/>
        </w:rPr>
        <w:t>comprehensively throughout treatment, using a people-centered approach</w:t>
      </w:r>
      <w:r w:rsidRPr="00056C4E">
        <w:rPr>
          <w:rFonts w:asciiTheme="minorHAnsi" w:hAnsiTheme="minorHAnsi" w:cstheme="minorHAnsi"/>
          <w:sz w:val="22"/>
          <w:lang w:val="en"/>
        </w:rPr>
        <w:t>.</w:t>
      </w:r>
      <w:r w:rsidR="00273FA3" w:rsidRPr="00056C4E">
        <w:rPr>
          <w:rFonts w:asciiTheme="minorHAnsi" w:hAnsiTheme="minorHAnsi" w:cstheme="minorHAnsi"/>
          <w:sz w:val="22"/>
          <w:lang w:val="en"/>
        </w:rPr>
        <w:t xml:space="preserve"> </w:t>
      </w:r>
      <w:r w:rsidRPr="00056C4E">
        <w:rPr>
          <w:rFonts w:asciiTheme="minorHAnsi" w:hAnsiTheme="minorHAnsi" w:cstheme="minorHAnsi"/>
          <w:sz w:val="22"/>
          <w:lang w:val="en"/>
        </w:rPr>
        <w:t>Enable people identified with TB disease to initiate, and sustain themselves on treatment, including via budgeted support for patient peer groups, and eliminate the social and economic impacts of disease.  Supplement staff, and community support and use of digital tools.  Revise the DBT system and nutritional/social support implementation to reach all TB patients and secure nutritional gains and end catastrophic costs.  Provide similar services and access to the latest evidence-based and recommended regimens for improved treatment of people with drug-resistant forms of TB.</w:t>
      </w:r>
      <w:r w:rsidRPr="00056C4E">
        <w:rPr>
          <w:rFonts w:asciiTheme="minorHAnsi" w:hAnsiTheme="minorHAnsi" w:cstheme="minorHAnsi"/>
          <w:sz w:val="22"/>
          <w:lang w:val="en"/>
        </w:rPr>
        <w:tab/>
      </w:r>
    </w:p>
    <w:p w14:paraId="141BBC5A" w14:textId="77777777" w:rsidR="003C30A1" w:rsidRPr="00056C4E" w:rsidRDefault="003C30A1" w:rsidP="00442A67">
      <w:pPr>
        <w:pStyle w:val="ListParagraph"/>
        <w:numPr>
          <w:ilvl w:val="0"/>
          <w:numId w:val="28"/>
        </w:numPr>
        <w:jc w:val="both"/>
        <w:rPr>
          <w:rFonts w:asciiTheme="minorHAnsi" w:hAnsiTheme="minorHAnsi" w:cstheme="minorHAnsi"/>
          <w:sz w:val="22"/>
          <w:lang w:val="en"/>
        </w:rPr>
      </w:pPr>
      <w:r w:rsidRPr="00056C4E">
        <w:rPr>
          <w:rFonts w:asciiTheme="minorHAnsi" w:hAnsiTheme="minorHAnsi" w:cstheme="minorHAnsi"/>
          <w:b/>
          <w:sz w:val="22"/>
          <w:lang w:val="en"/>
        </w:rPr>
        <w:t xml:space="preserve">Re-design and pursue targeted active case finding </w:t>
      </w:r>
      <w:r w:rsidRPr="00056C4E">
        <w:rPr>
          <w:rFonts w:asciiTheme="minorHAnsi" w:hAnsiTheme="minorHAnsi" w:cstheme="minorHAnsi"/>
          <w:sz w:val="22"/>
          <w:lang w:val="en"/>
        </w:rPr>
        <w:t xml:space="preserve">efforts, learning from experiences to better </w:t>
      </w:r>
      <w:r w:rsidRPr="00056C4E">
        <w:rPr>
          <w:rFonts w:asciiTheme="minorHAnsi" w:hAnsiTheme="minorHAnsi" w:cstheme="minorHAnsi"/>
          <w:b/>
          <w:sz w:val="22"/>
          <w:lang w:val="en"/>
        </w:rPr>
        <w:t>screen epidemiologically-defined key affected populations and close contacts of people with TB disease</w:t>
      </w:r>
      <w:r w:rsidRPr="00056C4E">
        <w:rPr>
          <w:rFonts w:asciiTheme="minorHAnsi" w:hAnsiTheme="minorHAnsi" w:cstheme="minorHAnsi"/>
          <w:sz w:val="22"/>
          <w:lang w:val="en"/>
        </w:rPr>
        <w:t>.  Emphasize the proven roles of digital chest x-ray screening and rapid molecular diagnostic tests.</w:t>
      </w:r>
    </w:p>
    <w:p w14:paraId="07158B76" w14:textId="77777777" w:rsidR="003C30A1" w:rsidRPr="00056C4E" w:rsidRDefault="003C30A1" w:rsidP="00442A67">
      <w:pPr>
        <w:pStyle w:val="ListParagraph"/>
        <w:numPr>
          <w:ilvl w:val="0"/>
          <w:numId w:val="28"/>
        </w:numPr>
        <w:jc w:val="both"/>
        <w:rPr>
          <w:rFonts w:asciiTheme="minorHAnsi" w:hAnsiTheme="minorHAnsi" w:cstheme="minorHAnsi"/>
          <w:sz w:val="22"/>
          <w:lang w:val="en"/>
        </w:rPr>
      </w:pPr>
      <w:r w:rsidRPr="00056C4E">
        <w:rPr>
          <w:rFonts w:asciiTheme="minorHAnsi" w:hAnsiTheme="minorHAnsi" w:cstheme="minorHAnsi"/>
          <w:b/>
          <w:sz w:val="22"/>
          <w:lang w:val="en"/>
        </w:rPr>
        <w:t>Deploy and evaluate ambitious plans to implement TB preventive treatment</w:t>
      </w:r>
      <w:r w:rsidRPr="00056C4E">
        <w:rPr>
          <w:rFonts w:asciiTheme="minorHAnsi" w:hAnsiTheme="minorHAnsi" w:cstheme="minorHAnsi"/>
          <w:sz w:val="22"/>
          <w:lang w:val="en"/>
        </w:rPr>
        <w:t xml:space="preserve"> of household and other close contacts, children, PLHIV and other locally-defined high-risk groups, using new, shorter regimens (reaching an expected 5 million eligible persons annually by 2021).</w:t>
      </w:r>
    </w:p>
    <w:p w14:paraId="6BFA34E1" w14:textId="5404DDF4" w:rsidR="000F6DCA" w:rsidRPr="00056C4E" w:rsidRDefault="003C30A1" w:rsidP="00442A67">
      <w:pPr>
        <w:pStyle w:val="ListParagraph"/>
        <w:numPr>
          <w:ilvl w:val="0"/>
          <w:numId w:val="28"/>
        </w:numPr>
        <w:jc w:val="both"/>
        <w:rPr>
          <w:rFonts w:asciiTheme="minorHAnsi" w:hAnsiTheme="minorHAnsi" w:cstheme="minorHAnsi"/>
          <w:sz w:val="22"/>
        </w:rPr>
      </w:pPr>
      <w:r w:rsidRPr="00056C4E">
        <w:rPr>
          <w:rFonts w:asciiTheme="minorHAnsi" w:hAnsiTheme="minorHAnsi" w:cstheme="minorHAnsi"/>
          <w:b/>
          <w:sz w:val="22"/>
          <w:lang w:val="en"/>
        </w:rPr>
        <w:t>Invest in research to develop additional new tools required to end TB</w:t>
      </w:r>
      <w:r w:rsidRPr="00056C4E">
        <w:rPr>
          <w:rFonts w:asciiTheme="minorHAnsi" w:hAnsiTheme="minorHAnsi" w:cstheme="minorHAnsi"/>
          <w:sz w:val="22"/>
          <w:lang w:val="en"/>
        </w:rPr>
        <w:t xml:space="preserve"> and in the rapid uptake of available new tools, products – such as simple triage/screening, use of non-sputum clinical specimens for accurate bacteriologic diagnosis of extrapulmonary and paediatric TB, and simpler/safer/shorter universal curative TB treatment regimens.  Immediately scale-up available tools, such as novel specific skin tests (e.g. C-TB) for diagnosing latent TB, automated digital chest x-ray interpretation, and new drugs/regimens, and based on the latest evidence-based global guidance.  Expand research investments with urgency against these national and global needs. </w:t>
      </w:r>
    </w:p>
    <w:p w14:paraId="5B1F03E6" w14:textId="313971F5" w:rsidR="00A30AB2" w:rsidRPr="00E74A3F" w:rsidRDefault="00A30AB2" w:rsidP="00A30AB2">
      <w:pPr>
        <w:rPr>
          <w:rFonts w:asciiTheme="minorHAnsi" w:hAnsiTheme="minorHAnsi" w:cstheme="minorHAnsi"/>
          <w:b/>
          <w:color w:val="C86A07" w:themeColor="accent2" w:themeShade="BF"/>
          <w:sz w:val="28"/>
        </w:rPr>
      </w:pPr>
      <w:r>
        <w:rPr>
          <w:rFonts w:asciiTheme="minorHAnsi" w:hAnsiTheme="minorHAnsi" w:cstheme="minorHAnsi"/>
          <w:b/>
          <w:color w:val="C86A07" w:themeColor="accent2" w:themeShade="BF"/>
          <w:sz w:val="28"/>
        </w:rPr>
        <w:t xml:space="preserve">3.2 </w:t>
      </w:r>
      <w:r w:rsidRPr="00E74A3F">
        <w:rPr>
          <w:rFonts w:asciiTheme="minorHAnsi" w:hAnsiTheme="minorHAnsi" w:cstheme="minorHAnsi"/>
          <w:b/>
          <w:color w:val="C86A07" w:themeColor="accent2" w:themeShade="BF"/>
          <w:sz w:val="28"/>
        </w:rPr>
        <w:t>Findings from the 12th Common Review Mission of National Health Mission 2018</w:t>
      </w:r>
    </w:p>
    <w:p w14:paraId="4FE56386" w14:textId="77777777" w:rsidR="00A30AB2" w:rsidRPr="009A1C85" w:rsidRDefault="00A30AB2" w:rsidP="00A30AB2">
      <w:pPr>
        <w:jc w:val="both"/>
        <w:rPr>
          <w:rFonts w:asciiTheme="minorHAnsi" w:hAnsiTheme="minorHAnsi" w:cstheme="minorHAnsi"/>
          <w:sz w:val="22"/>
        </w:rPr>
      </w:pPr>
      <w:r w:rsidRPr="009A1C85">
        <w:rPr>
          <w:rFonts w:asciiTheme="minorHAnsi" w:hAnsiTheme="minorHAnsi" w:cstheme="minorHAnsi"/>
          <w:sz w:val="22"/>
        </w:rPr>
        <w:t>The 12th Common Review Mission (CRM) was held from 04</w:t>
      </w:r>
      <w:r w:rsidRPr="00D10F1A">
        <w:rPr>
          <w:rFonts w:asciiTheme="minorHAnsi" w:hAnsiTheme="minorHAnsi" w:cstheme="minorHAnsi"/>
          <w:sz w:val="22"/>
          <w:vertAlign w:val="superscript"/>
        </w:rPr>
        <w:t>th</w:t>
      </w:r>
      <w:r>
        <w:rPr>
          <w:rFonts w:asciiTheme="minorHAnsi" w:hAnsiTheme="minorHAnsi" w:cstheme="minorHAnsi"/>
          <w:sz w:val="22"/>
        </w:rPr>
        <w:t xml:space="preserve"> </w:t>
      </w:r>
      <w:r w:rsidRPr="009A1C85">
        <w:rPr>
          <w:rFonts w:asciiTheme="minorHAnsi" w:hAnsiTheme="minorHAnsi" w:cstheme="minorHAnsi"/>
          <w:sz w:val="22"/>
        </w:rPr>
        <w:t>September to 12</w:t>
      </w:r>
      <w:r w:rsidRPr="00D10F1A">
        <w:rPr>
          <w:rFonts w:asciiTheme="minorHAnsi" w:hAnsiTheme="minorHAnsi" w:cstheme="minorHAnsi"/>
          <w:sz w:val="22"/>
          <w:vertAlign w:val="superscript"/>
        </w:rPr>
        <w:t>th</w:t>
      </w:r>
      <w:r>
        <w:rPr>
          <w:rFonts w:asciiTheme="minorHAnsi" w:hAnsiTheme="minorHAnsi" w:cstheme="minorHAnsi"/>
          <w:sz w:val="22"/>
        </w:rPr>
        <w:t xml:space="preserve"> </w:t>
      </w:r>
      <w:r w:rsidRPr="009A1C85">
        <w:rPr>
          <w:rFonts w:asciiTheme="minorHAnsi" w:hAnsiTheme="minorHAnsi" w:cstheme="minorHAnsi"/>
          <w:sz w:val="22"/>
        </w:rPr>
        <w:t>September 2018, to review implementation progress of the National Health Mission</w:t>
      </w:r>
      <w:r>
        <w:rPr>
          <w:rFonts w:asciiTheme="minorHAnsi" w:hAnsiTheme="minorHAnsi" w:cstheme="minorHAnsi"/>
          <w:sz w:val="22"/>
        </w:rPr>
        <w:t xml:space="preserve"> (NHM)</w:t>
      </w:r>
      <w:r w:rsidRPr="009A1C85">
        <w:rPr>
          <w:rFonts w:asciiTheme="minorHAnsi" w:hAnsiTheme="minorHAnsi" w:cstheme="minorHAnsi"/>
          <w:sz w:val="22"/>
        </w:rPr>
        <w:t xml:space="preserve"> in sixteen states.</w:t>
      </w:r>
      <w:r>
        <w:rPr>
          <w:rFonts w:asciiTheme="minorHAnsi" w:hAnsiTheme="minorHAnsi" w:cstheme="minorHAnsi"/>
          <w:sz w:val="22"/>
        </w:rPr>
        <w:t xml:space="preserve"> </w:t>
      </w:r>
      <w:r w:rsidRPr="00D10F1A">
        <w:rPr>
          <w:rFonts w:asciiTheme="minorHAnsi" w:hAnsiTheme="minorHAnsi" w:cstheme="minorHAnsi"/>
          <w:sz w:val="22"/>
        </w:rPr>
        <w:t>The focus of the CRM was to undertake a rapid assessment of the implementation status of NHM and its key strategies and priority areas, analyze strengths and challenges with respect to strengthening health systems, identify trends in progress of key indicators,  particularly relating to coverage, equity and affordability, document innovations and best practices, evaluate the readiness of  the state to undertake implementation of new initiatives, and review the progress and coordination mechanisms with various partners having focus on aspirational and NCD districts. This CRM had a different focus where teams assessed the implementation of the programmes from the citizen perspective</w:t>
      </w:r>
      <w:r>
        <w:rPr>
          <w:rFonts w:asciiTheme="minorHAnsi" w:hAnsiTheme="minorHAnsi" w:cstheme="minorHAnsi"/>
          <w:sz w:val="22"/>
        </w:rPr>
        <w:t xml:space="preserve"> and hence the </w:t>
      </w:r>
      <w:r w:rsidRPr="00D10F1A">
        <w:rPr>
          <w:rFonts w:asciiTheme="minorHAnsi" w:hAnsiTheme="minorHAnsi" w:cstheme="minorHAnsi"/>
          <w:sz w:val="22"/>
        </w:rPr>
        <w:t>interactions examine</w:t>
      </w:r>
      <w:r>
        <w:rPr>
          <w:rFonts w:asciiTheme="minorHAnsi" w:hAnsiTheme="minorHAnsi" w:cstheme="minorHAnsi"/>
          <w:sz w:val="22"/>
        </w:rPr>
        <w:t>d</w:t>
      </w:r>
      <w:r w:rsidRPr="00D10F1A">
        <w:rPr>
          <w:rFonts w:asciiTheme="minorHAnsi" w:hAnsiTheme="minorHAnsi" w:cstheme="minorHAnsi"/>
          <w:sz w:val="22"/>
        </w:rPr>
        <w:t xml:space="preserve"> service provision from Sub Health Centres (SHCs) onwards up to District Hospital</w:t>
      </w:r>
      <w:r>
        <w:rPr>
          <w:rFonts w:asciiTheme="minorHAnsi" w:hAnsiTheme="minorHAnsi" w:cstheme="minorHAnsi"/>
          <w:sz w:val="22"/>
        </w:rPr>
        <w:t xml:space="preserve"> </w:t>
      </w:r>
      <w:r w:rsidRPr="00D10F1A">
        <w:rPr>
          <w:rFonts w:asciiTheme="minorHAnsi" w:hAnsiTheme="minorHAnsi" w:cstheme="minorHAnsi"/>
          <w:sz w:val="22"/>
        </w:rPr>
        <w:t>based on the principle of continuum of care.</w:t>
      </w:r>
    </w:p>
    <w:p w14:paraId="2E27E4C5" w14:textId="77777777" w:rsidR="00A30AB2" w:rsidRPr="009A1C85" w:rsidRDefault="00A30AB2" w:rsidP="00A30AB2">
      <w:pPr>
        <w:autoSpaceDE w:val="0"/>
        <w:autoSpaceDN w:val="0"/>
        <w:adjustRightInd w:val="0"/>
        <w:spacing w:after="0"/>
        <w:jc w:val="both"/>
        <w:rPr>
          <w:rFonts w:asciiTheme="minorHAnsi" w:hAnsiTheme="minorHAnsi" w:cstheme="minorHAnsi"/>
          <w:color w:val="000000"/>
          <w:sz w:val="22"/>
          <w:lang w:val="en-IN"/>
        </w:rPr>
      </w:pPr>
      <w:r>
        <w:rPr>
          <w:rFonts w:asciiTheme="minorHAnsi" w:hAnsiTheme="minorHAnsi" w:cstheme="minorHAnsi"/>
          <w:b/>
          <w:bCs/>
          <w:color w:val="000000"/>
          <w:sz w:val="22"/>
          <w:lang w:val="en-IN"/>
        </w:rPr>
        <w:t xml:space="preserve">RNTCP: </w:t>
      </w:r>
      <w:r w:rsidRPr="009A1C85">
        <w:rPr>
          <w:rFonts w:asciiTheme="minorHAnsi" w:hAnsiTheme="minorHAnsi" w:cstheme="minorHAnsi"/>
          <w:b/>
          <w:bCs/>
          <w:color w:val="000000"/>
          <w:sz w:val="22"/>
          <w:lang w:val="en-IN"/>
        </w:rPr>
        <w:t>Positives</w:t>
      </w:r>
    </w:p>
    <w:p w14:paraId="4B803248" w14:textId="77777777" w:rsidR="00A30AB2" w:rsidRPr="009A1C85" w:rsidRDefault="00A30AB2" w:rsidP="009136E5">
      <w:pPr>
        <w:pStyle w:val="ListParagraph"/>
        <w:numPr>
          <w:ilvl w:val="0"/>
          <w:numId w:val="113"/>
        </w:numPr>
        <w:autoSpaceDE w:val="0"/>
        <w:autoSpaceDN w:val="0"/>
        <w:adjustRightInd w:val="0"/>
        <w:spacing w:before="0" w:after="0"/>
        <w:jc w:val="both"/>
        <w:rPr>
          <w:rFonts w:asciiTheme="minorHAnsi" w:hAnsiTheme="minorHAnsi" w:cstheme="minorHAnsi"/>
          <w:color w:val="000000"/>
          <w:sz w:val="22"/>
          <w:lang w:val="en-IN"/>
        </w:rPr>
      </w:pPr>
      <w:r w:rsidRPr="009A1C85">
        <w:rPr>
          <w:rFonts w:asciiTheme="minorHAnsi" w:hAnsiTheme="minorHAnsi" w:cstheme="minorHAnsi"/>
          <w:b/>
          <w:bCs/>
          <w:color w:val="000000"/>
          <w:sz w:val="22"/>
          <w:lang w:val="en-IN"/>
        </w:rPr>
        <w:t xml:space="preserve">Community </w:t>
      </w:r>
      <w:r w:rsidRPr="009A1C85">
        <w:rPr>
          <w:rFonts w:asciiTheme="minorHAnsi" w:hAnsiTheme="minorHAnsi" w:cstheme="minorHAnsi"/>
          <w:color w:val="000000"/>
          <w:sz w:val="22"/>
          <w:lang w:val="en-IN"/>
        </w:rPr>
        <w:t xml:space="preserve">in most of the states were </w:t>
      </w:r>
      <w:r w:rsidRPr="009A1C85">
        <w:rPr>
          <w:rFonts w:asciiTheme="minorHAnsi" w:hAnsiTheme="minorHAnsi" w:cstheme="minorHAnsi"/>
          <w:b/>
          <w:bCs/>
          <w:color w:val="000000"/>
          <w:sz w:val="22"/>
          <w:lang w:val="en-IN"/>
        </w:rPr>
        <w:t>aware of symptoms of TB and knew where to get tested</w:t>
      </w:r>
    </w:p>
    <w:p w14:paraId="1015D065" w14:textId="77777777" w:rsidR="00A30AB2" w:rsidRPr="009A1C85" w:rsidRDefault="00A30AB2" w:rsidP="009136E5">
      <w:pPr>
        <w:pStyle w:val="ListParagraph"/>
        <w:numPr>
          <w:ilvl w:val="0"/>
          <w:numId w:val="113"/>
        </w:numPr>
        <w:autoSpaceDE w:val="0"/>
        <w:autoSpaceDN w:val="0"/>
        <w:adjustRightInd w:val="0"/>
        <w:spacing w:before="0" w:after="0"/>
        <w:jc w:val="both"/>
        <w:rPr>
          <w:rFonts w:asciiTheme="minorHAnsi" w:hAnsiTheme="minorHAnsi" w:cstheme="minorHAnsi"/>
          <w:color w:val="000000"/>
          <w:sz w:val="22"/>
          <w:lang w:val="en-IN"/>
        </w:rPr>
      </w:pPr>
      <w:r w:rsidRPr="009A1C85">
        <w:rPr>
          <w:rFonts w:asciiTheme="minorHAnsi" w:hAnsiTheme="minorHAnsi" w:cstheme="minorHAnsi"/>
          <w:b/>
          <w:bCs/>
          <w:color w:val="000000"/>
          <w:sz w:val="22"/>
          <w:lang w:val="en-IN"/>
        </w:rPr>
        <w:t xml:space="preserve">Annual TB notification rates in public sector </w:t>
      </w:r>
      <w:r w:rsidRPr="009A1C85">
        <w:rPr>
          <w:rFonts w:asciiTheme="minorHAnsi" w:hAnsiTheme="minorHAnsi" w:cstheme="minorHAnsi"/>
          <w:color w:val="000000"/>
          <w:sz w:val="22"/>
          <w:lang w:val="en-IN"/>
        </w:rPr>
        <w:t>met target in most states but low in private sector. Maharashtra has initiated JEET project to improve the same</w:t>
      </w:r>
    </w:p>
    <w:p w14:paraId="2FE87D2C" w14:textId="77777777" w:rsidR="00A30AB2" w:rsidRPr="009A1C85" w:rsidRDefault="00A30AB2" w:rsidP="009136E5">
      <w:pPr>
        <w:pStyle w:val="ListParagraph"/>
        <w:numPr>
          <w:ilvl w:val="0"/>
          <w:numId w:val="113"/>
        </w:numPr>
        <w:autoSpaceDE w:val="0"/>
        <w:autoSpaceDN w:val="0"/>
        <w:adjustRightInd w:val="0"/>
        <w:spacing w:before="0" w:after="0"/>
        <w:jc w:val="both"/>
        <w:rPr>
          <w:rFonts w:asciiTheme="minorHAnsi" w:hAnsiTheme="minorHAnsi" w:cstheme="minorHAnsi"/>
          <w:color w:val="000000"/>
          <w:sz w:val="22"/>
          <w:lang w:val="en-IN"/>
        </w:rPr>
      </w:pPr>
      <w:r w:rsidRPr="009A1C85">
        <w:rPr>
          <w:rFonts w:asciiTheme="minorHAnsi" w:hAnsiTheme="minorHAnsi" w:cstheme="minorHAnsi"/>
          <w:b/>
          <w:bCs/>
          <w:color w:val="000000"/>
          <w:sz w:val="22"/>
          <w:lang w:val="en-IN"/>
        </w:rPr>
        <w:t xml:space="preserve">Schedule H1 data reporting </w:t>
      </w:r>
      <w:r w:rsidRPr="009A1C85">
        <w:rPr>
          <w:rFonts w:asciiTheme="minorHAnsi" w:hAnsiTheme="minorHAnsi" w:cstheme="minorHAnsi"/>
          <w:color w:val="000000"/>
          <w:sz w:val="22"/>
          <w:lang w:val="en-IN"/>
        </w:rPr>
        <w:t>was  done well in Himachal Pradesh: “</w:t>
      </w:r>
      <w:r w:rsidRPr="009A1C85">
        <w:rPr>
          <w:rFonts w:asciiTheme="minorHAnsi" w:hAnsiTheme="minorHAnsi" w:cstheme="minorHAnsi"/>
          <w:b/>
          <w:bCs/>
          <w:color w:val="000000"/>
          <w:sz w:val="22"/>
          <w:lang w:val="en-IN"/>
        </w:rPr>
        <w:t>Mukhya</w:t>
      </w:r>
      <w:r>
        <w:rPr>
          <w:rFonts w:asciiTheme="minorHAnsi" w:hAnsiTheme="minorHAnsi" w:cstheme="minorHAnsi"/>
          <w:b/>
          <w:bCs/>
          <w:color w:val="000000"/>
          <w:sz w:val="22"/>
          <w:lang w:val="en-IN"/>
        </w:rPr>
        <w:t xml:space="preserve"> </w:t>
      </w:r>
      <w:r w:rsidRPr="009A1C85">
        <w:rPr>
          <w:rFonts w:asciiTheme="minorHAnsi" w:hAnsiTheme="minorHAnsi" w:cstheme="minorHAnsi"/>
          <w:b/>
          <w:bCs/>
          <w:color w:val="000000"/>
          <w:sz w:val="22"/>
          <w:lang w:val="en-IN"/>
        </w:rPr>
        <w:t>Mantri Kshay</w:t>
      </w:r>
      <w:r>
        <w:rPr>
          <w:rFonts w:asciiTheme="minorHAnsi" w:hAnsiTheme="minorHAnsi" w:cstheme="minorHAnsi"/>
          <w:b/>
          <w:bCs/>
          <w:color w:val="000000"/>
          <w:sz w:val="22"/>
          <w:lang w:val="en-IN"/>
        </w:rPr>
        <w:t xml:space="preserve"> </w:t>
      </w:r>
      <w:r w:rsidRPr="009A1C85">
        <w:rPr>
          <w:rFonts w:asciiTheme="minorHAnsi" w:hAnsiTheme="minorHAnsi" w:cstheme="minorHAnsi"/>
          <w:b/>
          <w:bCs/>
          <w:color w:val="000000"/>
          <w:sz w:val="22"/>
          <w:lang w:val="en-IN"/>
        </w:rPr>
        <w:t>Rog Niwaran</w:t>
      </w:r>
      <w:r>
        <w:rPr>
          <w:rFonts w:asciiTheme="minorHAnsi" w:hAnsiTheme="minorHAnsi" w:cstheme="minorHAnsi"/>
          <w:b/>
          <w:bCs/>
          <w:color w:val="000000"/>
          <w:sz w:val="22"/>
          <w:lang w:val="en-IN"/>
        </w:rPr>
        <w:t xml:space="preserve"> </w:t>
      </w:r>
      <w:r w:rsidRPr="009A1C85">
        <w:rPr>
          <w:rFonts w:asciiTheme="minorHAnsi" w:hAnsiTheme="minorHAnsi" w:cstheme="minorHAnsi"/>
          <w:b/>
          <w:bCs/>
          <w:color w:val="000000"/>
          <w:sz w:val="22"/>
          <w:lang w:val="en-IN"/>
        </w:rPr>
        <w:t>Yojna”</w:t>
      </w:r>
    </w:p>
    <w:p w14:paraId="0516C998" w14:textId="77777777" w:rsidR="00A30AB2" w:rsidRPr="009A1C85" w:rsidRDefault="00A30AB2" w:rsidP="00A30AB2">
      <w:pPr>
        <w:autoSpaceDE w:val="0"/>
        <w:autoSpaceDN w:val="0"/>
        <w:adjustRightInd w:val="0"/>
        <w:spacing w:after="0"/>
        <w:jc w:val="both"/>
        <w:rPr>
          <w:rFonts w:asciiTheme="minorHAnsi" w:hAnsiTheme="minorHAnsi" w:cstheme="minorHAnsi"/>
          <w:b/>
          <w:bCs/>
          <w:color w:val="000000"/>
          <w:sz w:val="22"/>
          <w:lang w:val="en-IN"/>
        </w:rPr>
      </w:pPr>
      <w:r w:rsidRPr="009A1C85">
        <w:rPr>
          <w:rFonts w:asciiTheme="minorHAnsi" w:hAnsiTheme="minorHAnsi" w:cstheme="minorHAnsi"/>
          <w:b/>
          <w:bCs/>
          <w:color w:val="000000"/>
          <w:sz w:val="22"/>
          <w:lang w:val="en-IN"/>
        </w:rPr>
        <w:t>RNTCP: Areas of Concern</w:t>
      </w:r>
    </w:p>
    <w:p w14:paraId="56408011" w14:textId="77777777" w:rsidR="00A30AB2" w:rsidRPr="009A1C85" w:rsidRDefault="00A30AB2" w:rsidP="009136E5">
      <w:pPr>
        <w:pStyle w:val="ListParagraph"/>
        <w:numPr>
          <w:ilvl w:val="0"/>
          <w:numId w:val="114"/>
        </w:numPr>
        <w:autoSpaceDE w:val="0"/>
        <w:autoSpaceDN w:val="0"/>
        <w:adjustRightInd w:val="0"/>
        <w:spacing w:before="0" w:after="0"/>
        <w:jc w:val="both"/>
        <w:rPr>
          <w:rFonts w:asciiTheme="minorHAnsi" w:hAnsiTheme="minorHAnsi" w:cstheme="minorHAnsi"/>
          <w:color w:val="000000"/>
          <w:sz w:val="22"/>
          <w:lang w:val="en-IN"/>
        </w:rPr>
      </w:pPr>
      <w:r w:rsidRPr="00E74A3F">
        <w:rPr>
          <w:rFonts w:asciiTheme="minorHAnsi" w:hAnsiTheme="minorHAnsi" w:cstheme="minorHAnsi"/>
          <w:b/>
          <w:bCs/>
          <w:color w:val="000000"/>
          <w:sz w:val="22"/>
          <w:lang w:val="en-IN"/>
        </w:rPr>
        <w:t>Poor Knowledge</w:t>
      </w:r>
      <w:r w:rsidRPr="009A1C85">
        <w:rPr>
          <w:rFonts w:asciiTheme="minorHAnsi" w:hAnsiTheme="minorHAnsi" w:cstheme="minorHAnsi"/>
          <w:bCs/>
          <w:color w:val="000000"/>
          <w:sz w:val="22"/>
          <w:lang w:val="en-IN"/>
        </w:rPr>
        <w:t xml:space="preserve"> of Nikshay</w:t>
      </w:r>
      <w:r>
        <w:rPr>
          <w:rFonts w:asciiTheme="minorHAnsi" w:hAnsiTheme="minorHAnsi" w:cstheme="minorHAnsi"/>
          <w:bCs/>
          <w:color w:val="000000"/>
          <w:sz w:val="22"/>
          <w:lang w:val="en-IN"/>
        </w:rPr>
        <w:t xml:space="preserve"> </w:t>
      </w:r>
      <w:r w:rsidRPr="009A1C85">
        <w:rPr>
          <w:rFonts w:asciiTheme="minorHAnsi" w:hAnsiTheme="minorHAnsi" w:cstheme="minorHAnsi"/>
          <w:bCs/>
          <w:color w:val="000000"/>
          <w:sz w:val="22"/>
          <w:lang w:val="en-IN"/>
        </w:rPr>
        <w:t>Poshan</w:t>
      </w:r>
      <w:r>
        <w:rPr>
          <w:rFonts w:asciiTheme="minorHAnsi" w:hAnsiTheme="minorHAnsi" w:cstheme="minorHAnsi"/>
          <w:bCs/>
          <w:color w:val="000000"/>
          <w:sz w:val="22"/>
          <w:lang w:val="en-IN"/>
        </w:rPr>
        <w:t xml:space="preserve"> </w:t>
      </w:r>
      <w:r w:rsidRPr="009A1C85">
        <w:rPr>
          <w:rFonts w:asciiTheme="minorHAnsi" w:hAnsiTheme="minorHAnsi" w:cstheme="minorHAnsi"/>
          <w:bCs/>
          <w:color w:val="000000"/>
          <w:sz w:val="22"/>
          <w:lang w:val="en-IN"/>
        </w:rPr>
        <w:t xml:space="preserve">Yojana (NPY) </w:t>
      </w:r>
      <w:r w:rsidRPr="009A1C85">
        <w:rPr>
          <w:rFonts w:asciiTheme="minorHAnsi" w:hAnsiTheme="minorHAnsi" w:cstheme="minorHAnsi"/>
          <w:color w:val="000000"/>
          <w:sz w:val="22"/>
          <w:lang w:val="en-IN"/>
        </w:rPr>
        <w:t xml:space="preserve">amongst the </w:t>
      </w:r>
      <w:r w:rsidRPr="009A1C85">
        <w:rPr>
          <w:rFonts w:asciiTheme="minorHAnsi" w:hAnsiTheme="minorHAnsi" w:cstheme="minorHAnsi"/>
          <w:bCs/>
          <w:color w:val="000000"/>
          <w:sz w:val="22"/>
          <w:lang w:val="en-IN"/>
        </w:rPr>
        <w:t>community as well as the health workers (ASHAs/ANMs)</w:t>
      </w:r>
    </w:p>
    <w:p w14:paraId="037E00B1" w14:textId="77777777" w:rsidR="00A30AB2" w:rsidRPr="009A1C85" w:rsidRDefault="00A30AB2" w:rsidP="009136E5">
      <w:pPr>
        <w:pStyle w:val="ListParagraph"/>
        <w:numPr>
          <w:ilvl w:val="0"/>
          <w:numId w:val="114"/>
        </w:numPr>
        <w:autoSpaceDE w:val="0"/>
        <w:autoSpaceDN w:val="0"/>
        <w:adjustRightInd w:val="0"/>
        <w:spacing w:before="0" w:after="0"/>
        <w:jc w:val="both"/>
        <w:rPr>
          <w:rFonts w:asciiTheme="minorHAnsi" w:hAnsiTheme="minorHAnsi" w:cstheme="minorHAnsi"/>
          <w:color w:val="000000"/>
          <w:sz w:val="22"/>
          <w:lang w:val="en-IN"/>
        </w:rPr>
      </w:pPr>
      <w:r w:rsidRPr="00E74A3F">
        <w:rPr>
          <w:rFonts w:asciiTheme="minorHAnsi" w:hAnsiTheme="minorHAnsi" w:cstheme="minorHAnsi"/>
          <w:b/>
          <w:bCs/>
          <w:color w:val="000000"/>
          <w:sz w:val="22"/>
          <w:lang w:val="en-IN"/>
        </w:rPr>
        <w:t xml:space="preserve">Capacity on Extra Pulmonary-TB, Drug Resistant-TB and newer Rx guidelines </w:t>
      </w:r>
      <w:r w:rsidRPr="00E74A3F">
        <w:rPr>
          <w:rFonts w:asciiTheme="minorHAnsi" w:hAnsiTheme="minorHAnsi" w:cstheme="minorHAnsi"/>
          <w:b/>
          <w:color w:val="000000"/>
          <w:sz w:val="22"/>
          <w:lang w:val="en-IN"/>
        </w:rPr>
        <w:t>of T</w:t>
      </w:r>
      <w:r w:rsidRPr="009A1C85">
        <w:rPr>
          <w:rFonts w:asciiTheme="minorHAnsi" w:hAnsiTheme="minorHAnsi" w:cstheme="minorHAnsi"/>
          <w:color w:val="000000"/>
          <w:sz w:val="22"/>
          <w:lang w:val="en-IN"/>
        </w:rPr>
        <w:t xml:space="preserve">B for the healthcare providers(MO, MPHWs) and </w:t>
      </w:r>
      <w:r w:rsidRPr="00E74A3F">
        <w:rPr>
          <w:rFonts w:asciiTheme="minorHAnsi" w:hAnsiTheme="minorHAnsi" w:cstheme="minorHAnsi"/>
          <w:b/>
          <w:color w:val="000000"/>
          <w:sz w:val="22"/>
          <w:lang w:val="en-IN"/>
        </w:rPr>
        <w:t>ASHAs is inadequate</w:t>
      </w:r>
    </w:p>
    <w:p w14:paraId="13ED4B17" w14:textId="77777777" w:rsidR="00A30AB2" w:rsidRPr="009A1C85" w:rsidRDefault="00A30AB2" w:rsidP="009136E5">
      <w:pPr>
        <w:pStyle w:val="ListParagraph"/>
        <w:numPr>
          <w:ilvl w:val="0"/>
          <w:numId w:val="114"/>
        </w:numPr>
        <w:autoSpaceDE w:val="0"/>
        <w:autoSpaceDN w:val="0"/>
        <w:adjustRightInd w:val="0"/>
        <w:spacing w:before="0" w:after="0"/>
        <w:jc w:val="both"/>
        <w:rPr>
          <w:rFonts w:asciiTheme="minorHAnsi" w:hAnsiTheme="minorHAnsi" w:cstheme="minorHAnsi"/>
          <w:color w:val="000000"/>
          <w:sz w:val="22"/>
          <w:lang w:val="en-IN"/>
        </w:rPr>
      </w:pPr>
      <w:r w:rsidRPr="00E74A3F">
        <w:rPr>
          <w:rFonts w:asciiTheme="minorHAnsi" w:hAnsiTheme="minorHAnsi" w:cstheme="minorHAnsi"/>
          <w:b/>
          <w:bCs/>
          <w:color w:val="000000"/>
          <w:sz w:val="22"/>
          <w:lang w:val="en-IN"/>
        </w:rPr>
        <w:t>Underutilization of CBNAAT</w:t>
      </w:r>
      <w:r w:rsidRPr="009A1C85">
        <w:rPr>
          <w:rFonts w:asciiTheme="minorHAnsi" w:hAnsiTheme="minorHAnsi" w:cstheme="minorHAnsi"/>
          <w:bCs/>
          <w:color w:val="000000"/>
          <w:sz w:val="22"/>
          <w:lang w:val="en-IN"/>
        </w:rPr>
        <w:t xml:space="preserve"> centers</w:t>
      </w:r>
      <w:r>
        <w:rPr>
          <w:rFonts w:asciiTheme="minorHAnsi" w:hAnsiTheme="minorHAnsi" w:cstheme="minorHAnsi"/>
          <w:bCs/>
          <w:color w:val="000000"/>
          <w:sz w:val="22"/>
          <w:lang w:val="en-IN"/>
        </w:rPr>
        <w:t xml:space="preserve"> </w:t>
      </w:r>
      <w:r>
        <w:rPr>
          <w:rFonts w:asciiTheme="minorHAnsi" w:hAnsiTheme="minorHAnsi" w:cstheme="minorHAnsi"/>
          <w:color w:val="000000"/>
          <w:sz w:val="22"/>
          <w:lang w:val="en-IN"/>
        </w:rPr>
        <w:t>in few states like AP and</w:t>
      </w:r>
      <w:r w:rsidRPr="009A1C85">
        <w:rPr>
          <w:rFonts w:asciiTheme="minorHAnsi" w:hAnsiTheme="minorHAnsi" w:cstheme="minorHAnsi"/>
          <w:color w:val="000000"/>
          <w:sz w:val="22"/>
          <w:lang w:val="en-IN"/>
        </w:rPr>
        <w:t xml:space="preserve"> Gujarat. </w:t>
      </w:r>
    </w:p>
    <w:p w14:paraId="11665B18" w14:textId="77777777" w:rsidR="00A30AB2" w:rsidRPr="009A1C85" w:rsidRDefault="00A30AB2" w:rsidP="009136E5">
      <w:pPr>
        <w:pStyle w:val="ListParagraph"/>
        <w:numPr>
          <w:ilvl w:val="0"/>
          <w:numId w:val="114"/>
        </w:numPr>
        <w:autoSpaceDE w:val="0"/>
        <w:autoSpaceDN w:val="0"/>
        <w:adjustRightInd w:val="0"/>
        <w:spacing w:before="0" w:after="0"/>
        <w:jc w:val="both"/>
        <w:rPr>
          <w:rFonts w:asciiTheme="minorHAnsi" w:hAnsiTheme="minorHAnsi" w:cstheme="minorHAnsi"/>
          <w:color w:val="000000"/>
          <w:sz w:val="22"/>
          <w:lang w:val="en-IN"/>
        </w:rPr>
      </w:pPr>
      <w:r w:rsidRPr="009A1C85">
        <w:rPr>
          <w:rFonts w:asciiTheme="minorHAnsi" w:hAnsiTheme="minorHAnsi" w:cstheme="minorHAnsi"/>
          <w:bCs/>
          <w:color w:val="000000"/>
          <w:sz w:val="22"/>
          <w:lang w:val="en-IN"/>
        </w:rPr>
        <w:lastRenderedPageBreak/>
        <w:t>Universal DST percentage to be improved in all States</w:t>
      </w:r>
    </w:p>
    <w:p w14:paraId="1EC161DE" w14:textId="77777777" w:rsidR="00A30AB2" w:rsidRPr="009A1C85" w:rsidRDefault="00A30AB2" w:rsidP="009136E5">
      <w:pPr>
        <w:pStyle w:val="ListParagraph"/>
        <w:numPr>
          <w:ilvl w:val="0"/>
          <w:numId w:val="114"/>
        </w:numPr>
        <w:autoSpaceDE w:val="0"/>
        <w:autoSpaceDN w:val="0"/>
        <w:adjustRightInd w:val="0"/>
        <w:spacing w:before="0" w:after="0"/>
        <w:jc w:val="both"/>
        <w:rPr>
          <w:rFonts w:asciiTheme="minorHAnsi" w:hAnsiTheme="minorHAnsi" w:cstheme="minorHAnsi"/>
          <w:color w:val="000000"/>
          <w:sz w:val="22"/>
          <w:lang w:val="en-IN"/>
        </w:rPr>
      </w:pPr>
      <w:r w:rsidRPr="00E74A3F">
        <w:rPr>
          <w:rFonts w:asciiTheme="minorHAnsi" w:hAnsiTheme="minorHAnsi" w:cstheme="minorHAnsi"/>
          <w:b/>
          <w:bCs/>
          <w:color w:val="000000"/>
          <w:sz w:val="22"/>
          <w:lang w:val="en-IN"/>
        </w:rPr>
        <w:t>OOPE incurred in traveling to CBNAAT centers</w:t>
      </w:r>
      <w:r w:rsidRPr="009A1C85">
        <w:rPr>
          <w:rFonts w:asciiTheme="minorHAnsi" w:hAnsiTheme="minorHAnsi" w:cstheme="minorHAnsi"/>
          <w:bCs/>
          <w:color w:val="000000"/>
          <w:sz w:val="22"/>
          <w:lang w:val="en-IN"/>
        </w:rPr>
        <w:t>, a deterrent in getting the tests done</w:t>
      </w:r>
      <w:r w:rsidRPr="009A1C85">
        <w:rPr>
          <w:rFonts w:asciiTheme="minorHAnsi" w:hAnsiTheme="minorHAnsi" w:cstheme="minorHAnsi"/>
          <w:noProof/>
          <w:lang w:val="en-IN" w:eastAsia="en-IN"/>
        </w:rPr>
        <w:t xml:space="preserve"> </w:t>
      </w:r>
    </w:p>
    <w:p w14:paraId="7BD43353" w14:textId="77777777" w:rsidR="00A30AB2" w:rsidRPr="009A1C85" w:rsidRDefault="00A30AB2" w:rsidP="009136E5">
      <w:pPr>
        <w:pStyle w:val="ListParagraph"/>
        <w:numPr>
          <w:ilvl w:val="0"/>
          <w:numId w:val="114"/>
        </w:numPr>
        <w:spacing w:before="0" w:after="0"/>
        <w:jc w:val="both"/>
        <w:rPr>
          <w:rFonts w:asciiTheme="minorHAnsi" w:hAnsiTheme="minorHAnsi" w:cstheme="minorHAnsi"/>
          <w:sz w:val="22"/>
        </w:rPr>
      </w:pPr>
      <w:r w:rsidRPr="009A1C85">
        <w:rPr>
          <w:rFonts w:asciiTheme="minorHAnsi" w:hAnsiTheme="minorHAnsi" w:cstheme="minorHAnsi"/>
          <w:bCs/>
          <w:color w:val="000000"/>
          <w:sz w:val="22"/>
          <w:lang w:val="en-IN"/>
        </w:rPr>
        <w:t>Functional X-ray facility to be provided and utilized in most of the states</w:t>
      </w:r>
    </w:p>
    <w:p w14:paraId="16C1E167" w14:textId="41E60E97" w:rsidR="00A30AB2" w:rsidRDefault="00A30AB2" w:rsidP="00A30AB2">
      <w:pPr>
        <w:autoSpaceDE w:val="0"/>
        <w:autoSpaceDN w:val="0"/>
        <w:adjustRightInd w:val="0"/>
        <w:spacing w:after="0"/>
        <w:rPr>
          <w:rFonts w:asciiTheme="minorHAnsi" w:hAnsiTheme="minorHAnsi" w:cstheme="minorHAnsi"/>
          <w:b/>
          <w:bCs/>
          <w:color w:val="000000"/>
          <w:sz w:val="22"/>
          <w:lang w:val="en-IN"/>
        </w:rPr>
      </w:pPr>
      <w:r w:rsidRPr="00A30AB2">
        <w:rPr>
          <w:rFonts w:asciiTheme="minorHAnsi" w:hAnsiTheme="minorHAnsi" w:cstheme="minorHAnsi"/>
          <w:b/>
          <w:bCs/>
          <w:color w:val="000000"/>
          <w:sz w:val="22"/>
          <w:lang w:val="en-IN"/>
        </w:rPr>
        <w:t>Summary of Findings: RNTCP</w:t>
      </w:r>
      <w:r w:rsidR="0085017B">
        <w:rPr>
          <w:rFonts w:asciiTheme="minorHAnsi" w:hAnsiTheme="minorHAnsi" w:cstheme="minorHAnsi"/>
          <w:b/>
          <w:bCs/>
          <w:color w:val="000000"/>
          <w:sz w:val="22"/>
          <w:lang w:val="en-IN"/>
        </w:rPr>
        <w:t xml:space="preserve"> </w:t>
      </w:r>
    </w:p>
    <w:p w14:paraId="747B868F" w14:textId="7598B193" w:rsidR="0085017B" w:rsidRPr="008A2F82" w:rsidRDefault="005A45E2" w:rsidP="00A30AB2">
      <w:pPr>
        <w:autoSpaceDE w:val="0"/>
        <w:autoSpaceDN w:val="0"/>
        <w:adjustRightInd w:val="0"/>
        <w:spacing w:after="0"/>
        <w:rPr>
          <w:rFonts w:asciiTheme="minorHAnsi" w:hAnsiTheme="minorHAnsi" w:cstheme="minorHAnsi"/>
          <w:b/>
          <w:bCs/>
          <w:sz w:val="24"/>
          <w:lang w:val="en-IN"/>
        </w:rPr>
      </w:pPr>
      <w:r w:rsidRPr="008A2F82">
        <w:rPr>
          <w:rFonts w:asciiTheme="minorHAnsi" w:hAnsiTheme="minorHAnsi" w:cstheme="minorHAnsi"/>
          <w:b/>
          <w:szCs w:val="16"/>
          <w:lang w:val="en"/>
        </w:rPr>
        <w:t>Figure 3</w:t>
      </w:r>
      <w:r w:rsidR="0085017B" w:rsidRPr="008A2F82">
        <w:rPr>
          <w:rFonts w:asciiTheme="minorHAnsi" w:hAnsiTheme="minorHAnsi" w:cstheme="minorHAnsi"/>
          <w:b/>
          <w:szCs w:val="16"/>
          <w:lang w:val="en"/>
        </w:rPr>
        <w:t xml:space="preserve">:  </w:t>
      </w:r>
      <w:r w:rsidRPr="008A2F82">
        <w:rPr>
          <w:rFonts w:asciiTheme="minorHAnsi" w:hAnsiTheme="minorHAnsi" w:cstheme="minorHAnsi"/>
          <w:b/>
          <w:szCs w:val="16"/>
          <w:lang w:val="en"/>
        </w:rPr>
        <w:t xml:space="preserve">Summary of Common Review Mission findings - RNTCP performance dashboard </w:t>
      </w:r>
    </w:p>
    <w:p w14:paraId="26F0F5C6" w14:textId="77777777" w:rsidR="00A30AB2" w:rsidRDefault="00A30AB2" w:rsidP="00A30AB2">
      <w:pPr>
        <w:autoSpaceDE w:val="0"/>
        <w:autoSpaceDN w:val="0"/>
        <w:adjustRightInd w:val="0"/>
        <w:spacing w:before="0" w:after="0"/>
        <w:rPr>
          <w:rFonts w:asciiTheme="minorHAnsi" w:hAnsiTheme="minorHAnsi" w:cstheme="minorHAnsi"/>
          <w:b/>
          <w:bCs/>
          <w:color w:val="000000"/>
          <w:sz w:val="22"/>
          <w:lang w:val="en-IN"/>
        </w:rPr>
      </w:pPr>
      <w:r w:rsidRPr="009A1C85">
        <w:rPr>
          <w:noProof/>
          <w:lang w:val="en-IN" w:eastAsia="en-IN"/>
        </w:rPr>
        <w:drawing>
          <wp:anchor distT="0" distB="0" distL="114300" distR="114300" simplePos="0" relativeHeight="251664384" behindDoc="0" locked="0" layoutInCell="1" allowOverlap="1" wp14:anchorId="1E2B73BD" wp14:editId="00F5D958">
            <wp:simplePos x="0" y="0"/>
            <wp:positionH relativeFrom="column">
              <wp:posOffset>3990975</wp:posOffset>
            </wp:positionH>
            <wp:positionV relativeFrom="paragraph">
              <wp:posOffset>763905</wp:posOffset>
            </wp:positionV>
            <wp:extent cx="1771650" cy="83995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1650" cy="839954"/>
                    </a:xfrm>
                    <a:prstGeom prst="rect">
                      <a:avLst/>
                    </a:prstGeom>
                  </pic:spPr>
                </pic:pic>
              </a:graphicData>
            </a:graphic>
            <wp14:sizeRelH relativeFrom="margin">
              <wp14:pctWidth>0</wp14:pctWidth>
            </wp14:sizeRelH>
            <wp14:sizeRelV relativeFrom="margin">
              <wp14:pctHeight>0</wp14:pctHeight>
            </wp14:sizeRelV>
          </wp:anchor>
        </w:drawing>
      </w:r>
      <w:r w:rsidRPr="009A1C85">
        <w:rPr>
          <w:noProof/>
          <w:lang w:val="en-IN" w:eastAsia="en-IN"/>
        </w:rPr>
        <w:drawing>
          <wp:inline distT="0" distB="0" distL="0" distR="0" wp14:anchorId="24F7DA50" wp14:editId="729FBA04">
            <wp:extent cx="3924300" cy="2304733"/>
            <wp:effectExtent l="19050" t="19050" r="1905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3809" cy="2316191"/>
                    </a:xfrm>
                    <a:prstGeom prst="rect">
                      <a:avLst/>
                    </a:prstGeom>
                    <a:ln>
                      <a:solidFill>
                        <a:schemeClr val="accent1"/>
                      </a:solidFill>
                    </a:ln>
                  </pic:spPr>
                </pic:pic>
              </a:graphicData>
            </a:graphic>
          </wp:inline>
        </w:drawing>
      </w:r>
    </w:p>
    <w:p w14:paraId="0511801B" w14:textId="77777777" w:rsidR="00A30AB2" w:rsidRPr="00A30AB2" w:rsidRDefault="00A30AB2" w:rsidP="00A30AB2">
      <w:pPr>
        <w:autoSpaceDE w:val="0"/>
        <w:autoSpaceDN w:val="0"/>
        <w:adjustRightInd w:val="0"/>
        <w:spacing w:after="0"/>
        <w:rPr>
          <w:rFonts w:asciiTheme="minorHAnsi" w:hAnsiTheme="minorHAnsi" w:cstheme="minorHAnsi"/>
          <w:b/>
          <w:color w:val="C86A07" w:themeColor="accent2" w:themeShade="BF"/>
          <w:sz w:val="28"/>
        </w:rPr>
      </w:pPr>
      <w:r w:rsidRPr="00A30AB2">
        <w:rPr>
          <w:rFonts w:asciiTheme="minorHAnsi" w:hAnsiTheme="minorHAnsi" w:cstheme="minorHAnsi"/>
          <w:b/>
          <w:color w:val="C86A07" w:themeColor="accent2" w:themeShade="BF"/>
          <w:sz w:val="28"/>
        </w:rPr>
        <w:t>Key Recommendations:</w:t>
      </w:r>
    </w:p>
    <w:p w14:paraId="0B6C30C0" w14:textId="77777777" w:rsidR="00A30AB2" w:rsidRPr="00BC5014" w:rsidRDefault="00A30AB2" w:rsidP="009136E5">
      <w:pPr>
        <w:pStyle w:val="ListParagraph"/>
        <w:numPr>
          <w:ilvl w:val="0"/>
          <w:numId w:val="115"/>
        </w:numPr>
        <w:autoSpaceDE w:val="0"/>
        <w:autoSpaceDN w:val="0"/>
        <w:adjustRightInd w:val="0"/>
        <w:spacing w:before="0" w:after="0"/>
        <w:jc w:val="both"/>
        <w:rPr>
          <w:rFonts w:asciiTheme="minorHAnsi" w:hAnsiTheme="minorHAnsi" w:cstheme="minorHAnsi"/>
          <w:bCs/>
          <w:color w:val="000000"/>
          <w:sz w:val="22"/>
          <w:lang w:val="en-IN"/>
        </w:rPr>
      </w:pPr>
      <w:r w:rsidRPr="00BC5014">
        <w:rPr>
          <w:rFonts w:asciiTheme="minorHAnsi" w:hAnsiTheme="minorHAnsi" w:cstheme="minorHAnsi"/>
          <w:bCs/>
          <w:color w:val="000000"/>
          <w:sz w:val="22"/>
          <w:lang w:val="en-IN"/>
        </w:rPr>
        <w:t xml:space="preserve">Strict enforcement of the Gazette Notification mandating TB notification from private health care providers and private chemists. </w:t>
      </w:r>
    </w:p>
    <w:p w14:paraId="5096FE48" w14:textId="77777777" w:rsidR="00A30AB2" w:rsidRPr="00BC5014" w:rsidRDefault="00A30AB2" w:rsidP="009136E5">
      <w:pPr>
        <w:pStyle w:val="ListParagraph"/>
        <w:numPr>
          <w:ilvl w:val="0"/>
          <w:numId w:val="115"/>
        </w:numPr>
        <w:autoSpaceDE w:val="0"/>
        <w:autoSpaceDN w:val="0"/>
        <w:adjustRightInd w:val="0"/>
        <w:spacing w:before="0" w:after="0"/>
        <w:jc w:val="both"/>
        <w:rPr>
          <w:rFonts w:asciiTheme="minorHAnsi" w:hAnsiTheme="minorHAnsi" w:cstheme="minorHAnsi"/>
          <w:bCs/>
          <w:color w:val="000000"/>
          <w:sz w:val="22"/>
          <w:lang w:val="en-IN"/>
        </w:rPr>
      </w:pPr>
      <w:r w:rsidRPr="00BC5014">
        <w:rPr>
          <w:rFonts w:asciiTheme="minorHAnsi" w:hAnsiTheme="minorHAnsi" w:cstheme="minorHAnsi"/>
          <w:bCs/>
          <w:color w:val="000000"/>
          <w:sz w:val="22"/>
          <w:lang w:val="en-IN"/>
        </w:rPr>
        <w:t xml:space="preserve">More intensified ACSM activities needs to conducted for mass awareness on the newer activities especially NIKSHAY POSHAN YOJNA (Nutritional support) and all diagnostic and treatment facilities available under the programme. </w:t>
      </w:r>
    </w:p>
    <w:p w14:paraId="4BA5E367" w14:textId="77777777" w:rsidR="00A30AB2" w:rsidRPr="00BC5014" w:rsidRDefault="00A30AB2" w:rsidP="009136E5">
      <w:pPr>
        <w:pStyle w:val="ListParagraph"/>
        <w:numPr>
          <w:ilvl w:val="0"/>
          <w:numId w:val="115"/>
        </w:numPr>
        <w:autoSpaceDE w:val="0"/>
        <w:autoSpaceDN w:val="0"/>
        <w:adjustRightInd w:val="0"/>
        <w:spacing w:before="0" w:after="0"/>
        <w:jc w:val="both"/>
        <w:rPr>
          <w:rFonts w:asciiTheme="minorHAnsi" w:hAnsiTheme="minorHAnsi" w:cstheme="minorHAnsi"/>
          <w:bCs/>
          <w:color w:val="000000"/>
          <w:sz w:val="22"/>
          <w:lang w:val="en-IN"/>
        </w:rPr>
      </w:pPr>
      <w:r w:rsidRPr="00BC5014">
        <w:rPr>
          <w:rFonts w:asciiTheme="minorHAnsi" w:hAnsiTheme="minorHAnsi" w:cstheme="minorHAnsi"/>
          <w:bCs/>
          <w:color w:val="000000"/>
          <w:sz w:val="22"/>
          <w:lang w:val="en-IN"/>
        </w:rPr>
        <w:t xml:space="preserve">All district level vacancies should be filled up at the earliest. </w:t>
      </w:r>
    </w:p>
    <w:p w14:paraId="3611B8B1" w14:textId="671B429C" w:rsidR="00A30AB2" w:rsidRPr="00BC5014" w:rsidRDefault="00A30AB2" w:rsidP="009136E5">
      <w:pPr>
        <w:pStyle w:val="ListParagraph"/>
        <w:numPr>
          <w:ilvl w:val="0"/>
          <w:numId w:val="115"/>
        </w:numPr>
        <w:autoSpaceDE w:val="0"/>
        <w:autoSpaceDN w:val="0"/>
        <w:adjustRightInd w:val="0"/>
        <w:spacing w:before="0" w:after="0"/>
        <w:jc w:val="both"/>
        <w:rPr>
          <w:rFonts w:asciiTheme="minorHAnsi" w:hAnsiTheme="minorHAnsi" w:cstheme="minorHAnsi"/>
          <w:bCs/>
          <w:color w:val="000000"/>
          <w:sz w:val="22"/>
          <w:lang w:val="en-IN"/>
        </w:rPr>
      </w:pPr>
      <w:r w:rsidRPr="00BC5014">
        <w:rPr>
          <w:rFonts w:asciiTheme="minorHAnsi" w:hAnsiTheme="minorHAnsi" w:cstheme="minorHAnsi"/>
          <w:bCs/>
          <w:color w:val="000000"/>
          <w:sz w:val="22"/>
          <w:lang w:val="en-IN"/>
        </w:rPr>
        <w:t xml:space="preserve">Real-time </w:t>
      </w:r>
      <w:r w:rsidR="00693FC5" w:rsidRPr="00BC5014">
        <w:rPr>
          <w:rFonts w:asciiTheme="minorHAnsi" w:hAnsiTheme="minorHAnsi" w:cstheme="minorHAnsi"/>
          <w:bCs/>
          <w:color w:val="000000"/>
          <w:sz w:val="22"/>
          <w:lang w:val="en-IN"/>
        </w:rPr>
        <w:t>updating</w:t>
      </w:r>
      <w:r w:rsidRPr="00BC5014">
        <w:rPr>
          <w:rFonts w:asciiTheme="minorHAnsi" w:hAnsiTheme="minorHAnsi" w:cstheme="minorHAnsi"/>
          <w:bCs/>
          <w:color w:val="000000"/>
          <w:sz w:val="22"/>
          <w:lang w:val="en-IN"/>
        </w:rPr>
        <w:t xml:space="preserve"> of records in NIKSHAY needs to be ensured in all the districts for quality data analysis and feedback. </w:t>
      </w:r>
    </w:p>
    <w:p w14:paraId="60E722B5" w14:textId="77777777" w:rsidR="00A30AB2" w:rsidRPr="00BC5014" w:rsidRDefault="00A30AB2" w:rsidP="009136E5">
      <w:pPr>
        <w:pStyle w:val="ListParagraph"/>
        <w:numPr>
          <w:ilvl w:val="0"/>
          <w:numId w:val="115"/>
        </w:numPr>
        <w:autoSpaceDE w:val="0"/>
        <w:autoSpaceDN w:val="0"/>
        <w:adjustRightInd w:val="0"/>
        <w:spacing w:before="0" w:after="0"/>
        <w:jc w:val="both"/>
        <w:rPr>
          <w:rFonts w:asciiTheme="minorHAnsi" w:hAnsiTheme="minorHAnsi" w:cstheme="minorHAnsi"/>
          <w:bCs/>
          <w:color w:val="000000"/>
          <w:sz w:val="22"/>
          <w:lang w:val="en-IN"/>
        </w:rPr>
      </w:pPr>
      <w:r w:rsidRPr="00BC5014">
        <w:rPr>
          <w:rFonts w:asciiTheme="minorHAnsi" w:hAnsiTheme="minorHAnsi" w:cstheme="minorHAnsi"/>
          <w:bCs/>
          <w:color w:val="000000"/>
          <w:sz w:val="22"/>
          <w:lang w:val="en-IN"/>
        </w:rPr>
        <w:t>Districts to establish sputum collection and transportation mechanism from the periphery to the CBNAAT laboratories as it has been observed that patients themselves are travelling to the CBNAAT site.</w:t>
      </w:r>
    </w:p>
    <w:p w14:paraId="78CB9A5D" w14:textId="35EDE117" w:rsidR="000F6DCA" w:rsidRDefault="000F6DCA" w:rsidP="00C129C4">
      <w:pPr>
        <w:spacing w:before="0" w:after="0"/>
        <w:jc w:val="both"/>
      </w:pPr>
      <w:r>
        <w:br w:type="page"/>
      </w:r>
    </w:p>
    <w:p w14:paraId="0758E808" w14:textId="1D8D9D90" w:rsidR="000F6DCA" w:rsidRPr="00734B6A" w:rsidRDefault="000F6DCA" w:rsidP="00663C3B">
      <w:pPr>
        <w:pStyle w:val="Heading1"/>
        <w:tabs>
          <w:tab w:val="num" w:pos="5670"/>
        </w:tabs>
        <w:spacing w:after="0"/>
        <w:rPr>
          <w:rFonts w:asciiTheme="minorHAnsi" w:hAnsiTheme="minorHAnsi" w:cstheme="minorHAnsi"/>
          <w:b/>
          <w:snapToGrid w:val="0"/>
          <w:color w:val="auto"/>
          <w:sz w:val="36"/>
        </w:rPr>
      </w:pPr>
      <w:r>
        <w:rPr>
          <w:rFonts w:asciiTheme="minorHAnsi" w:hAnsiTheme="minorHAnsi" w:cstheme="minorHAnsi"/>
          <w:b/>
          <w:snapToGrid w:val="0"/>
          <w:color w:val="auto"/>
          <w:sz w:val="36"/>
        </w:rPr>
        <w:lastRenderedPageBreak/>
        <w:t>Chapter 4</w:t>
      </w:r>
      <w:r w:rsidRPr="00734B6A">
        <w:rPr>
          <w:rFonts w:asciiTheme="minorHAnsi" w:hAnsiTheme="minorHAnsi" w:cstheme="minorHAnsi"/>
          <w:b/>
          <w:snapToGrid w:val="0"/>
          <w:color w:val="auto"/>
          <w:sz w:val="36"/>
        </w:rPr>
        <w:t xml:space="preserve"> </w:t>
      </w:r>
    </w:p>
    <w:p w14:paraId="01E0FA37" w14:textId="13E76EA4" w:rsidR="000F6DCA" w:rsidRPr="00650EAA" w:rsidRDefault="000F6DCA" w:rsidP="00663C3B">
      <w:pPr>
        <w:pStyle w:val="Heading1"/>
        <w:tabs>
          <w:tab w:val="num" w:pos="5670"/>
        </w:tabs>
        <w:rPr>
          <w:rFonts w:asciiTheme="minorHAnsi" w:hAnsiTheme="minorHAnsi" w:cstheme="minorHAnsi"/>
          <w:b/>
          <w:snapToGrid w:val="0"/>
          <w:color w:val="auto"/>
        </w:rPr>
      </w:pPr>
      <w:r w:rsidRPr="00650EAA">
        <w:rPr>
          <w:rFonts w:asciiTheme="minorHAnsi" w:hAnsiTheme="minorHAnsi" w:cstheme="minorHAnsi"/>
          <w:b/>
          <w:snapToGrid w:val="0"/>
          <w:color w:val="auto"/>
        </w:rPr>
        <w:t>SITUATION ANALYSIS</w:t>
      </w:r>
    </w:p>
    <w:p w14:paraId="437D15A4" w14:textId="77777777" w:rsidR="00693F1F" w:rsidRPr="00693F1F" w:rsidRDefault="00693F1F" w:rsidP="00442A67">
      <w:pPr>
        <w:pStyle w:val="ListParagraph"/>
        <w:numPr>
          <w:ilvl w:val="0"/>
          <w:numId w:val="18"/>
        </w:numPr>
        <w:jc w:val="both"/>
        <w:rPr>
          <w:rFonts w:asciiTheme="minorHAnsi" w:hAnsiTheme="minorHAnsi" w:cstheme="minorHAnsi"/>
          <w:vanish/>
          <w:sz w:val="22"/>
        </w:rPr>
      </w:pPr>
    </w:p>
    <w:p w14:paraId="03D3F07E" w14:textId="77777777" w:rsidR="00693F1F" w:rsidRPr="00693F1F" w:rsidRDefault="00693F1F" w:rsidP="00442A67">
      <w:pPr>
        <w:pStyle w:val="ListParagraph"/>
        <w:numPr>
          <w:ilvl w:val="0"/>
          <w:numId w:val="18"/>
        </w:numPr>
        <w:jc w:val="both"/>
        <w:rPr>
          <w:rFonts w:asciiTheme="minorHAnsi" w:hAnsiTheme="minorHAnsi" w:cstheme="minorHAnsi"/>
          <w:vanish/>
          <w:sz w:val="22"/>
        </w:rPr>
      </w:pPr>
    </w:p>
    <w:p w14:paraId="2C84B99C" w14:textId="77777777" w:rsidR="00693F1F" w:rsidRPr="00693F1F" w:rsidRDefault="00693F1F" w:rsidP="00442A67">
      <w:pPr>
        <w:pStyle w:val="ListParagraph"/>
        <w:numPr>
          <w:ilvl w:val="0"/>
          <w:numId w:val="18"/>
        </w:numPr>
        <w:jc w:val="both"/>
        <w:rPr>
          <w:rFonts w:asciiTheme="minorHAnsi" w:hAnsiTheme="minorHAnsi" w:cstheme="minorHAnsi"/>
          <w:vanish/>
          <w:sz w:val="22"/>
        </w:rPr>
      </w:pPr>
    </w:p>
    <w:p w14:paraId="4BB6340B" w14:textId="77777777" w:rsidR="00693F1F" w:rsidRPr="00693F1F" w:rsidRDefault="00693F1F" w:rsidP="00442A67">
      <w:pPr>
        <w:pStyle w:val="ListParagraph"/>
        <w:numPr>
          <w:ilvl w:val="0"/>
          <w:numId w:val="18"/>
        </w:numPr>
        <w:jc w:val="both"/>
        <w:rPr>
          <w:rFonts w:asciiTheme="minorHAnsi" w:hAnsiTheme="minorHAnsi" w:cstheme="minorHAnsi"/>
          <w:vanish/>
          <w:sz w:val="22"/>
        </w:rPr>
      </w:pPr>
    </w:p>
    <w:p w14:paraId="3FBDEBD2" w14:textId="25C7A2BA" w:rsidR="00F3316E" w:rsidRPr="00EC3830" w:rsidRDefault="00F3316E" w:rsidP="00442A67">
      <w:pPr>
        <w:pStyle w:val="ListParagraph"/>
        <w:numPr>
          <w:ilvl w:val="1"/>
          <w:numId w:val="18"/>
        </w:numPr>
        <w:ind w:left="450" w:hanging="450"/>
        <w:contextualSpacing w:val="0"/>
        <w:jc w:val="both"/>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 xml:space="preserve">TB epidemiology in India </w:t>
      </w:r>
    </w:p>
    <w:p w14:paraId="381EB6DA" w14:textId="1704134C" w:rsidR="00AB7EE6" w:rsidRPr="00AB7EE6" w:rsidRDefault="00AB7EE6" w:rsidP="00442A67">
      <w:pPr>
        <w:pStyle w:val="ListParagraph"/>
        <w:numPr>
          <w:ilvl w:val="2"/>
          <w:numId w:val="18"/>
        </w:numPr>
        <w:tabs>
          <w:tab w:val="left" w:pos="900"/>
        </w:tabs>
        <w:spacing w:after="0"/>
        <w:ind w:left="630" w:hanging="630"/>
        <w:jc w:val="both"/>
        <w:rPr>
          <w:rFonts w:asciiTheme="minorHAnsi" w:hAnsiTheme="minorHAnsi" w:cstheme="minorHAnsi"/>
          <w:b/>
          <w:sz w:val="22"/>
          <w:lang w:val="en"/>
        </w:rPr>
      </w:pPr>
      <w:r>
        <w:rPr>
          <w:rFonts w:asciiTheme="minorHAnsi" w:hAnsiTheme="minorHAnsi" w:cstheme="minorHAnsi"/>
          <w:sz w:val="22"/>
        </w:rPr>
        <w:t xml:space="preserve"> </w:t>
      </w:r>
      <w:r w:rsidRPr="00AB7EE6">
        <w:rPr>
          <w:rFonts w:asciiTheme="minorHAnsi" w:hAnsiTheme="minorHAnsi" w:cstheme="minorHAnsi"/>
          <w:b/>
          <w:sz w:val="22"/>
          <w:lang w:val="en"/>
        </w:rPr>
        <w:t>TB Incidence</w:t>
      </w:r>
      <w:r w:rsidR="00273FA3">
        <w:rPr>
          <w:rFonts w:asciiTheme="minorHAnsi" w:hAnsiTheme="minorHAnsi" w:cstheme="minorHAnsi"/>
          <w:b/>
          <w:sz w:val="22"/>
          <w:lang w:val="en"/>
        </w:rPr>
        <w:t xml:space="preserve">: </w:t>
      </w:r>
    </w:p>
    <w:p w14:paraId="0D59A5BC" w14:textId="58EE65F5" w:rsidR="00AB7EE6" w:rsidRDefault="00B256BA" w:rsidP="00B15F08">
      <w:pPr>
        <w:spacing w:before="0"/>
        <w:jc w:val="both"/>
        <w:rPr>
          <w:rFonts w:asciiTheme="minorHAnsi" w:hAnsiTheme="minorHAnsi" w:cstheme="minorHAnsi"/>
          <w:sz w:val="22"/>
          <w:lang w:val="en"/>
        </w:rPr>
      </w:pPr>
      <w:r w:rsidRPr="00B256BA">
        <w:rPr>
          <w:rFonts w:asciiTheme="minorHAnsi" w:hAnsiTheme="minorHAnsi" w:cstheme="minorHAnsi"/>
          <w:sz w:val="22"/>
          <w:lang w:val="en"/>
        </w:rPr>
        <w:t>In 2019, India notified 24</w:t>
      </w:r>
      <w:r w:rsidR="00693FC5" w:rsidRPr="00B256BA">
        <w:rPr>
          <w:rFonts w:asciiTheme="minorHAnsi" w:hAnsiTheme="minorHAnsi" w:cstheme="minorHAnsi"/>
          <w:sz w:val="22"/>
          <w:lang w:val="en"/>
        </w:rPr>
        <w:t>,04,815</w:t>
      </w:r>
      <w:r w:rsidRPr="00B256BA">
        <w:rPr>
          <w:rFonts w:asciiTheme="minorHAnsi" w:hAnsiTheme="minorHAnsi" w:cstheme="minorHAnsi"/>
          <w:sz w:val="22"/>
          <w:lang w:val="en"/>
        </w:rPr>
        <w:t xml:space="preserve"> (M-1511309, F-891210, TG-2296) patients, representing a 51% percent increase in total notifications as compared to 2015.  The total estimated TB incidence in 2018 was 199 patients per 100,000 persons (Male – 239, Female – 156) (95% Confidence Limits [95%CL]: 136–273).  TB incidence appears to be on the decline; with </w:t>
      </w:r>
      <w:r w:rsidR="00693FC5" w:rsidRPr="00B256BA">
        <w:rPr>
          <w:rFonts w:asciiTheme="minorHAnsi" w:hAnsiTheme="minorHAnsi" w:cstheme="minorHAnsi"/>
          <w:sz w:val="22"/>
          <w:lang w:val="en"/>
        </w:rPr>
        <w:t>an</w:t>
      </w:r>
      <w:r w:rsidRPr="00B256BA">
        <w:rPr>
          <w:rFonts w:asciiTheme="minorHAnsi" w:hAnsiTheme="minorHAnsi" w:cstheme="minorHAnsi"/>
          <w:sz w:val="22"/>
          <w:lang w:val="en"/>
        </w:rPr>
        <w:t xml:space="preserve"> 8.3 percent rate decrease since 2015 (2015 ir: 217; 95%CL: 112–355).   These trends appear to be consistent among new, previously treated and HIV positive patients (Figure </w:t>
      </w:r>
      <w:r w:rsidR="008A2F82">
        <w:rPr>
          <w:rFonts w:asciiTheme="minorHAnsi" w:hAnsiTheme="minorHAnsi" w:cstheme="minorHAnsi"/>
          <w:sz w:val="22"/>
          <w:lang w:val="en"/>
        </w:rPr>
        <w:t>4</w:t>
      </w:r>
      <w:r w:rsidRPr="00B256BA">
        <w:rPr>
          <w:rFonts w:asciiTheme="minorHAnsi" w:hAnsiTheme="minorHAnsi" w:cstheme="minorHAnsi"/>
          <w:sz w:val="22"/>
          <w:lang w:val="en"/>
        </w:rPr>
        <w:t xml:space="preserve">).   </w:t>
      </w:r>
      <w:r w:rsidR="00AB7EE6" w:rsidRPr="00AB7EE6">
        <w:rPr>
          <w:rFonts w:asciiTheme="minorHAnsi" w:hAnsiTheme="minorHAnsi" w:cstheme="minorHAnsi"/>
          <w:sz w:val="22"/>
          <w:lang w:val="en"/>
        </w:rPr>
        <w:t xml:space="preserve">   </w:t>
      </w:r>
    </w:p>
    <w:p w14:paraId="676AAAF3" w14:textId="5F84525E" w:rsidR="00E95663" w:rsidRPr="008A2F82" w:rsidRDefault="005A45E2" w:rsidP="00C129C4">
      <w:pPr>
        <w:spacing w:before="0" w:after="0"/>
        <w:jc w:val="both"/>
        <w:rPr>
          <w:rFonts w:asciiTheme="minorHAnsi" w:hAnsiTheme="minorHAnsi" w:cstheme="minorHAnsi"/>
          <w:b/>
          <w:szCs w:val="16"/>
          <w:lang w:val="en"/>
        </w:rPr>
      </w:pPr>
      <w:r w:rsidRPr="008A2F82">
        <w:rPr>
          <w:rFonts w:asciiTheme="minorHAnsi" w:hAnsiTheme="minorHAnsi" w:cstheme="minorHAnsi"/>
          <w:b/>
          <w:szCs w:val="16"/>
          <w:lang w:val="en"/>
        </w:rPr>
        <w:t>Figure 4</w:t>
      </w:r>
      <w:r w:rsidR="00E95663" w:rsidRPr="008A2F82">
        <w:rPr>
          <w:rFonts w:asciiTheme="minorHAnsi" w:hAnsiTheme="minorHAnsi" w:cstheme="minorHAnsi"/>
          <w:b/>
          <w:szCs w:val="16"/>
          <w:lang w:val="en"/>
        </w:rPr>
        <w:t>:  Trends in annual number of notified TB patients, estimated TB incidence among new, previously treated (relapse), and HIV positive – India: 2000–201</w:t>
      </w:r>
      <w:r w:rsidR="006D0DC2" w:rsidRPr="008A2F82">
        <w:rPr>
          <w:rFonts w:asciiTheme="minorHAnsi" w:hAnsiTheme="minorHAnsi" w:cstheme="minorHAnsi"/>
          <w:b/>
          <w:szCs w:val="16"/>
          <w:lang w:val="en"/>
        </w:rPr>
        <w:t>9</w:t>
      </w:r>
      <w:r w:rsidR="00E95663" w:rsidRPr="008A2F82">
        <w:rPr>
          <w:rFonts w:asciiTheme="minorHAnsi" w:hAnsiTheme="minorHAnsi" w:cstheme="minorHAnsi"/>
          <w:b/>
          <w:szCs w:val="16"/>
          <w:lang w:val="en"/>
        </w:rPr>
        <w:t xml:space="preserve">.  </w:t>
      </w:r>
    </w:p>
    <w:p w14:paraId="022D1D80" w14:textId="73EE62C0" w:rsidR="00E95663" w:rsidRPr="00495800" w:rsidRDefault="00E95663" w:rsidP="00C129C4">
      <w:pPr>
        <w:spacing w:before="0" w:after="0"/>
        <w:jc w:val="both"/>
        <w:rPr>
          <w:rFonts w:asciiTheme="minorHAnsi" w:hAnsiTheme="minorHAnsi" w:cstheme="minorHAnsi"/>
          <w:b/>
          <w:sz w:val="18"/>
          <w:szCs w:val="16"/>
          <w:lang w:val="en"/>
        </w:rPr>
      </w:pPr>
      <w:r w:rsidRPr="00495800">
        <w:rPr>
          <w:rFonts w:asciiTheme="minorHAnsi" w:hAnsiTheme="minorHAnsi" w:cstheme="minorHAnsi"/>
          <w:b/>
          <w:sz w:val="18"/>
          <w:szCs w:val="16"/>
          <w:lang w:val="en"/>
        </w:rPr>
        <w:t>Source: World Health Organization. WHO Global TB Report, 2019.</w:t>
      </w:r>
      <w:r w:rsidR="009E5FD0">
        <w:rPr>
          <w:rFonts w:asciiTheme="minorHAnsi" w:hAnsiTheme="minorHAnsi" w:cstheme="minorHAnsi"/>
          <w:b/>
          <w:sz w:val="18"/>
          <w:szCs w:val="16"/>
          <w:lang w:val="en"/>
        </w:rPr>
        <w:t xml:space="preserve"> Data for 2019 from NTEP</w:t>
      </w:r>
      <w:r w:rsidRPr="00495800">
        <w:rPr>
          <w:rFonts w:asciiTheme="minorHAnsi" w:hAnsiTheme="minorHAnsi" w:cstheme="minorHAnsi"/>
          <w:b/>
          <w:sz w:val="18"/>
          <w:szCs w:val="16"/>
          <w:lang w:val="en"/>
        </w:rPr>
        <w:t xml:space="preserve"> </w:t>
      </w:r>
    </w:p>
    <w:p w14:paraId="6372BA13" w14:textId="46D1B9D5" w:rsidR="00AB7EE6" w:rsidRDefault="009E5FD0" w:rsidP="00872D97">
      <w:pPr>
        <w:spacing w:before="0" w:after="0"/>
        <w:jc w:val="center"/>
        <w:rPr>
          <w:rFonts w:asciiTheme="minorHAnsi" w:hAnsiTheme="minorHAnsi" w:cstheme="minorHAnsi"/>
          <w:b/>
          <w:sz w:val="16"/>
          <w:szCs w:val="16"/>
          <w:lang w:val="en"/>
        </w:rPr>
      </w:pPr>
      <w:r w:rsidRPr="009E5FD0">
        <w:rPr>
          <w:noProof/>
          <w:lang w:val="en-IN" w:eastAsia="en-IN"/>
        </w:rPr>
        <w:drawing>
          <wp:inline distT="0" distB="0" distL="0" distR="0" wp14:anchorId="76D2F68B" wp14:editId="74B01C5E">
            <wp:extent cx="4705564" cy="2563638"/>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1163" cy="2566688"/>
                    </a:xfrm>
                    <a:prstGeom prst="rect">
                      <a:avLst/>
                    </a:prstGeom>
                  </pic:spPr>
                </pic:pic>
              </a:graphicData>
            </a:graphic>
          </wp:inline>
        </w:drawing>
      </w:r>
    </w:p>
    <w:p w14:paraId="1165698D" w14:textId="74E628BB" w:rsidR="00165996" w:rsidRDefault="00AB7EE6" w:rsidP="00C129C4">
      <w:pPr>
        <w:spacing w:before="0"/>
        <w:jc w:val="both"/>
        <w:rPr>
          <w:rFonts w:asciiTheme="minorHAnsi" w:hAnsiTheme="minorHAnsi" w:cstheme="minorHAnsi"/>
          <w:sz w:val="22"/>
          <w:lang w:val="en"/>
        </w:rPr>
      </w:pPr>
      <w:r w:rsidRPr="00AB7EE6">
        <w:rPr>
          <w:rFonts w:asciiTheme="minorHAnsi" w:hAnsiTheme="minorHAnsi" w:cstheme="minorHAnsi"/>
          <w:sz w:val="22"/>
          <w:lang w:val="en"/>
        </w:rPr>
        <w:t>It should be noted that current estimates of incidence rely on the extent of under-reporting (assumed at 40 percent based on expert opinion).  However, recent analysis of private drug sales data suggested that that an enormous number of TB patients are seeking treatment in the private sector (1.2–5.3 million patients per year). While it is unknown how many of the patients studied were over-diagnosed, there are concerns that the true incidence may be much higher than has been estimated, despite consistent and stable trends in drug sales.  The pending results of the national prevalence survey holds promise to recalibrate our assumptions and calculate more accurate burden estimates.</w:t>
      </w:r>
      <w:r w:rsidR="00B9731C">
        <w:rPr>
          <w:rFonts w:asciiTheme="minorHAnsi" w:hAnsiTheme="minorHAnsi" w:cstheme="minorHAnsi"/>
          <w:sz w:val="22"/>
          <w:lang w:val="en"/>
        </w:rPr>
        <w:t xml:space="preserve"> </w:t>
      </w:r>
    </w:p>
    <w:p w14:paraId="13446CAF" w14:textId="01088B0D" w:rsidR="00B9731C" w:rsidRPr="00B9731C" w:rsidRDefault="00B9731C" w:rsidP="00442A67">
      <w:pPr>
        <w:pStyle w:val="ListParagraph"/>
        <w:numPr>
          <w:ilvl w:val="2"/>
          <w:numId w:val="18"/>
        </w:numPr>
        <w:tabs>
          <w:tab w:val="left" w:pos="900"/>
        </w:tabs>
        <w:spacing w:after="0"/>
        <w:ind w:left="630" w:hanging="630"/>
        <w:jc w:val="both"/>
        <w:rPr>
          <w:rFonts w:asciiTheme="minorHAnsi" w:hAnsiTheme="minorHAnsi" w:cstheme="minorHAnsi"/>
          <w:b/>
          <w:sz w:val="22"/>
        </w:rPr>
      </w:pPr>
      <w:r w:rsidRPr="00B9731C">
        <w:rPr>
          <w:rFonts w:asciiTheme="minorHAnsi" w:hAnsiTheme="minorHAnsi" w:cstheme="minorHAnsi"/>
          <w:b/>
          <w:sz w:val="22"/>
        </w:rPr>
        <w:t>TB Prevalence</w:t>
      </w:r>
    </w:p>
    <w:p w14:paraId="7667A3EC" w14:textId="4FB72115" w:rsidR="00B9731C" w:rsidRPr="00B256BA" w:rsidRDefault="009D6A0C" w:rsidP="00C129C4">
      <w:pPr>
        <w:spacing w:before="0"/>
        <w:jc w:val="both"/>
        <w:rPr>
          <w:rFonts w:asciiTheme="minorHAnsi" w:hAnsiTheme="minorHAnsi" w:cstheme="minorHAnsi"/>
          <w:color w:val="FF0000"/>
          <w:sz w:val="22"/>
          <w:lang w:val="en"/>
        </w:rPr>
      </w:pPr>
      <w:r w:rsidRPr="009D6A0C">
        <w:rPr>
          <w:rFonts w:asciiTheme="minorHAnsi" w:hAnsiTheme="minorHAnsi" w:cstheme="minorHAnsi"/>
          <w:sz w:val="22"/>
          <w:lang w:val="en"/>
        </w:rPr>
        <w:t>Direct estimates of TB prevalence have not been obtained since the first nationwide prevalence survey in 1955–1958. Current estimates for national TB prevalence are mathematically derived from previously conducted state-based surveys.  In 2009, national TB prevalence was estimated at 301 per 100,000 population</w:t>
      </w:r>
      <w:r>
        <w:rPr>
          <w:rFonts w:asciiTheme="minorHAnsi" w:hAnsiTheme="minorHAnsi" w:cstheme="minorHAnsi"/>
          <w:sz w:val="22"/>
          <w:lang w:val="en"/>
        </w:rPr>
        <w:t xml:space="preserve">. </w:t>
      </w:r>
    </w:p>
    <w:p w14:paraId="13C1F944" w14:textId="3029EED0" w:rsidR="002D75FE" w:rsidRDefault="00995742" w:rsidP="00C129C4">
      <w:pPr>
        <w:spacing w:before="0"/>
        <w:jc w:val="both"/>
        <w:rPr>
          <w:rFonts w:asciiTheme="minorHAnsi" w:hAnsiTheme="minorHAnsi" w:cstheme="minorHAnsi"/>
          <w:sz w:val="22"/>
          <w:lang w:val="en"/>
        </w:rPr>
      </w:pPr>
      <w:r>
        <w:rPr>
          <w:rFonts w:asciiTheme="minorHAnsi" w:hAnsiTheme="minorHAnsi" w:cstheme="minorHAnsi"/>
          <w:sz w:val="22"/>
          <w:lang w:val="en"/>
        </w:rPr>
        <w:t>N</w:t>
      </w:r>
      <w:r w:rsidR="002D75FE" w:rsidRPr="002D75FE">
        <w:rPr>
          <w:rFonts w:asciiTheme="minorHAnsi" w:hAnsiTheme="minorHAnsi" w:cstheme="minorHAnsi"/>
          <w:sz w:val="22"/>
          <w:lang w:val="en"/>
        </w:rPr>
        <w:t>ationwide national prevalence survey has begun (September 2019),</w:t>
      </w:r>
      <w:r>
        <w:rPr>
          <w:rFonts w:asciiTheme="minorHAnsi" w:hAnsiTheme="minorHAnsi" w:cstheme="minorHAnsi"/>
          <w:sz w:val="22"/>
          <w:lang w:val="en"/>
        </w:rPr>
        <w:t xml:space="preserve"> and</w:t>
      </w:r>
      <w:r w:rsidR="002D75FE" w:rsidRPr="002D75FE">
        <w:rPr>
          <w:rFonts w:asciiTheme="minorHAnsi" w:hAnsiTheme="minorHAnsi" w:cstheme="minorHAnsi"/>
          <w:sz w:val="22"/>
          <w:lang w:val="en"/>
        </w:rPr>
        <w:t xml:space="preserve"> results from the 500,000</w:t>
      </w:r>
      <w:r>
        <w:rPr>
          <w:rFonts w:asciiTheme="minorHAnsi" w:hAnsiTheme="minorHAnsi" w:cstheme="minorHAnsi"/>
          <w:sz w:val="22"/>
          <w:lang w:val="en"/>
        </w:rPr>
        <w:t xml:space="preserve"> persons, 625 survey sites are likely to be available in 2021</w:t>
      </w:r>
      <w:r w:rsidR="002D75FE" w:rsidRPr="002D75FE">
        <w:rPr>
          <w:rFonts w:asciiTheme="minorHAnsi" w:hAnsiTheme="minorHAnsi" w:cstheme="minorHAnsi"/>
          <w:sz w:val="22"/>
          <w:lang w:val="en"/>
        </w:rPr>
        <w:t xml:space="preserve">.  In the interim, a recent publication </w:t>
      </w:r>
      <w:r w:rsidR="002D75FE" w:rsidRPr="002D75FE">
        <w:rPr>
          <w:rFonts w:asciiTheme="minorHAnsi" w:hAnsiTheme="minorHAnsi" w:cstheme="minorHAnsi"/>
          <w:sz w:val="22"/>
          <w:lang w:val="en"/>
        </w:rPr>
        <w:lastRenderedPageBreak/>
        <w:t>summarized recent sub-national surveys and revealed wide geographic variation and discordance with the corresponding annual notification rates (</w:t>
      </w:r>
      <w:r w:rsidR="002D75FE" w:rsidRPr="00872D97">
        <w:rPr>
          <w:rFonts w:asciiTheme="minorHAnsi" w:hAnsiTheme="minorHAnsi" w:cstheme="minorHAnsi"/>
          <w:sz w:val="22"/>
          <w:lang w:val="en"/>
        </w:rPr>
        <w:t xml:space="preserve">Table </w:t>
      </w:r>
      <w:r w:rsidR="00872D97">
        <w:rPr>
          <w:rFonts w:asciiTheme="minorHAnsi" w:hAnsiTheme="minorHAnsi" w:cstheme="minorHAnsi"/>
          <w:sz w:val="22"/>
          <w:lang w:val="en"/>
        </w:rPr>
        <w:t>4</w:t>
      </w:r>
      <w:r w:rsidR="002D75FE" w:rsidRPr="00872D97">
        <w:rPr>
          <w:rFonts w:asciiTheme="minorHAnsi" w:hAnsiTheme="minorHAnsi" w:cstheme="minorHAnsi"/>
          <w:sz w:val="22"/>
          <w:lang w:val="en"/>
        </w:rPr>
        <w:t>).</w:t>
      </w:r>
    </w:p>
    <w:p w14:paraId="74E166EC" w14:textId="1975DA47" w:rsidR="002D75FE" w:rsidRPr="00495800" w:rsidRDefault="002D75FE" w:rsidP="002D75FE">
      <w:pPr>
        <w:spacing w:before="0" w:after="0"/>
        <w:rPr>
          <w:rFonts w:asciiTheme="minorHAnsi" w:hAnsiTheme="minorHAnsi" w:cstheme="minorHAnsi"/>
          <w:b/>
          <w:sz w:val="18"/>
          <w:szCs w:val="16"/>
        </w:rPr>
      </w:pPr>
      <w:r w:rsidRPr="00495800">
        <w:rPr>
          <w:rFonts w:asciiTheme="minorHAnsi" w:hAnsiTheme="minorHAnsi" w:cstheme="minorHAnsi"/>
          <w:b/>
          <w:sz w:val="18"/>
          <w:szCs w:val="16"/>
        </w:rPr>
        <w:t xml:space="preserve">Table </w:t>
      </w:r>
      <w:r w:rsidR="005A45E2">
        <w:rPr>
          <w:rFonts w:asciiTheme="minorHAnsi" w:hAnsiTheme="minorHAnsi" w:cstheme="minorHAnsi"/>
          <w:b/>
          <w:sz w:val="18"/>
          <w:szCs w:val="16"/>
        </w:rPr>
        <w:t>4</w:t>
      </w:r>
      <w:r w:rsidRPr="00495800">
        <w:rPr>
          <w:rFonts w:asciiTheme="minorHAnsi" w:hAnsiTheme="minorHAnsi" w:cstheme="minorHAnsi"/>
          <w:b/>
          <w:sz w:val="18"/>
          <w:szCs w:val="16"/>
        </w:rPr>
        <w:t xml:space="preserve">. Subnational prevalence survey estimates, and prevalence to notification ratio. </w:t>
      </w:r>
    </w:p>
    <w:p w14:paraId="2E13B86A" w14:textId="3AA3C494" w:rsidR="00B85014" w:rsidRPr="00495800" w:rsidRDefault="00B85014" w:rsidP="002D75FE">
      <w:pPr>
        <w:spacing w:before="0" w:after="0"/>
        <w:rPr>
          <w:rFonts w:asciiTheme="minorHAnsi" w:hAnsiTheme="minorHAnsi" w:cstheme="minorHAnsi"/>
          <w:b/>
          <w:sz w:val="18"/>
          <w:szCs w:val="16"/>
        </w:rPr>
      </w:pPr>
      <w:r w:rsidRPr="00495800">
        <w:rPr>
          <w:rFonts w:asciiTheme="minorHAnsi" w:hAnsiTheme="minorHAnsi" w:cstheme="minorHAnsi"/>
          <w:b/>
          <w:sz w:val="18"/>
          <w:szCs w:val="16"/>
        </w:rPr>
        <w:t xml:space="preserve">Adapted from: Chadha VK, Anjinappa SM, Dave P, et al. 2019 </w:t>
      </w:r>
    </w:p>
    <w:p w14:paraId="5C2AE6B4" w14:textId="6F9D56D6" w:rsidR="002D75FE" w:rsidRDefault="002D75FE" w:rsidP="00872D97">
      <w:pPr>
        <w:spacing w:before="0"/>
        <w:ind w:hanging="360"/>
        <w:jc w:val="both"/>
        <w:rPr>
          <w:rFonts w:asciiTheme="minorHAnsi" w:hAnsiTheme="minorHAnsi" w:cstheme="minorHAnsi"/>
          <w:sz w:val="22"/>
          <w:lang w:val="en"/>
        </w:rPr>
      </w:pPr>
      <w:r w:rsidRPr="002F017E">
        <w:rPr>
          <w:rFonts w:asciiTheme="minorHAnsi" w:hAnsiTheme="minorHAnsi" w:cstheme="minorHAnsi"/>
          <w:b/>
          <w:noProof/>
          <w:sz w:val="22"/>
          <w:lang w:val="en-IN" w:eastAsia="en-IN"/>
        </w:rPr>
        <w:drawing>
          <wp:inline distT="0" distB="0" distL="0" distR="0" wp14:anchorId="02194D53" wp14:editId="233D43B4">
            <wp:extent cx="6289821" cy="1582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7332" cy="1584110"/>
                    </a:xfrm>
                    <a:prstGeom prst="rect">
                      <a:avLst/>
                    </a:prstGeom>
                  </pic:spPr>
                </pic:pic>
              </a:graphicData>
            </a:graphic>
          </wp:inline>
        </w:drawing>
      </w:r>
    </w:p>
    <w:p w14:paraId="5C8E3E5E" w14:textId="4BD32BAD" w:rsidR="00B9731C" w:rsidRPr="00376C25" w:rsidRDefault="00B9731C" w:rsidP="00442A67">
      <w:pPr>
        <w:pStyle w:val="ListParagraph"/>
        <w:numPr>
          <w:ilvl w:val="1"/>
          <w:numId w:val="18"/>
        </w:numPr>
        <w:ind w:left="450" w:hanging="450"/>
        <w:contextualSpacing w:val="0"/>
        <w:jc w:val="both"/>
        <w:rPr>
          <w:rFonts w:asciiTheme="minorHAnsi" w:hAnsiTheme="minorHAnsi" w:cstheme="minorHAnsi"/>
          <w:b/>
          <w:color w:val="C86A07" w:themeColor="accent2" w:themeShade="BF"/>
          <w:sz w:val="28"/>
        </w:rPr>
      </w:pPr>
      <w:r w:rsidRPr="006157E5">
        <w:rPr>
          <w:rFonts w:asciiTheme="minorHAnsi" w:hAnsiTheme="minorHAnsi" w:cstheme="minorHAnsi"/>
          <w:b/>
          <w:color w:val="C86A07" w:themeColor="accent2" w:themeShade="BF"/>
          <w:sz w:val="28"/>
        </w:rPr>
        <w:t>TB Mortality</w:t>
      </w:r>
      <w:r w:rsidR="00376C25">
        <w:rPr>
          <w:rFonts w:asciiTheme="minorHAnsi" w:hAnsiTheme="minorHAnsi" w:cstheme="minorHAnsi"/>
          <w:b/>
          <w:color w:val="FF0000"/>
          <w:sz w:val="28"/>
        </w:rPr>
        <w:t xml:space="preserve"> </w:t>
      </w:r>
    </w:p>
    <w:p w14:paraId="3B7992B5" w14:textId="4FD85329" w:rsidR="00B500EB" w:rsidRPr="00B500EB" w:rsidRDefault="00B500EB" w:rsidP="00491B74">
      <w:pPr>
        <w:spacing w:before="0" w:after="0"/>
        <w:jc w:val="both"/>
        <w:rPr>
          <w:rFonts w:asciiTheme="minorHAnsi" w:hAnsiTheme="minorHAnsi" w:cstheme="minorHAnsi"/>
          <w:sz w:val="22"/>
          <w:lang w:val="en"/>
        </w:rPr>
      </w:pPr>
      <w:r w:rsidRPr="00B500EB">
        <w:rPr>
          <w:rFonts w:asciiTheme="minorHAnsi" w:hAnsiTheme="minorHAnsi" w:cstheme="minorHAnsi"/>
          <w:sz w:val="22"/>
          <w:lang w:val="en"/>
        </w:rPr>
        <w:t xml:space="preserve">The </w:t>
      </w:r>
      <w:r>
        <w:rPr>
          <w:rFonts w:asciiTheme="minorHAnsi" w:hAnsiTheme="minorHAnsi" w:cstheme="minorHAnsi"/>
          <w:sz w:val="22"/>
          <w:lang w:val="en"/>
        </w:rPr>
        <w:t xml:space="preserve">estimated </w:t>
      </w:r>
      <w:r w:rsidRPr="00B500EB">
        <w:rPr>
          <w:rFonts w:asciiTheme="minorHAnsi" w:hAnsiTheme="minorHAnsi" w:cstheme="minorHAnsi"/>
          <w:sz w:val="22"/>
          <w:lang w:val="en"/>
        </w:rPr>
        <w:t xml:space="preserve">mortality rate in India declined from </w:t>
      </w:r>
      <w:r w:rsidR="00B256BA">
        <w:rPr>
          <w:rFonts w:asciiTheme="minorHAnsi" w:hAnsiTheme="minorHAnsi" w:cstheme="minorHAnsi"/>
          <w:sz w:val="22"/>
          <w:lang w:val="en"/>
        </w:rPr>
        <w:t>almost 58</w:t>
      </w:r>
      <w:r w:rsidRPr="00B500EB">
        <w:rPr>
          <w:rFonts w:asciiTheme="minorHAnsi" w:hAnsiTheme="minorHAnsi" w:cstheme="minorHAnsi"/>
          <w:sz w:val="22"/>
          <w:lang w:val="en"/>
        </w:rPr>
        <w:t xml:space="preserve"> deaths per lakh population (HIV-negative) in 2000 to 32 per lakh in 2018, while the global mortality rate declined at the same rate, from 30</w:t>
      </w:r>
      <w:r w:rsidR="00B256BA">
        <w:rPr>
          <w:rFonts w:asciiTheme="minorHAnsi" w:hAnsiTheme="minorHAnsi" w:cstheme="minorHAnsi"/>
          <w:sz w:val="22"/>
          <w:lang w:val="en"/>
        </w:rPr>
        <w:t xml:space="preserve"> per </w:t>
      </w:r>
      <w:r w:rsidRPr="00B500EB">
        <w:rPr>
          <w:rFonts w:asciiTheme="minorHAnsi" w:hAnsiTheme="minorHAnsi" w:cstheme="minorHAnsi"/>
          <w:sz w:val="22"/>
          <w:lang w:val="en"/>
        </w:rPr>
        <w:t>lakh to 16</w:t>
      </w:r>
      <w:r w:rsidR="00B256BA">
        <w:rPr>
          <w:rFonts w:asciiTheme="minorHAnsi" w:hAnsiTheme="minorHAnsi" w:cstheme="minorHAnsi"/>
          <w:sz w:val="22"/>
          <w:lang w:val="en"/>
        </w:rPr>
        <w:t xml:space="preserve"> per </w:t>
      </w:r>
      <w:r w:rsidRPr="00B500EB">
        <w:rPr>
          <w:rFonts w:asciiTheme="minorHAnsi" w:hAnsiTheme="minorHAnsi" w:cstheme="minorHAnsi"/>
          <w:sz w:val="22"/>
          <w:lang w:val="en"/>
        </w:rPr>
        <w:t>lakh.</w:t>
      </w:r>
    </w:p>
    <w:p w14:paraId="2EE4A240" w14:textId="0FE7096D" w:rsidR="00376C25" w:rsidRPr="008A2F82" w:rsidRDefault="00B500EB" w:rsidP="00376C25">
      <w:pPr>
        <w:tabs>
          <w:tab w:val="left" w:pos="900"/>
        </w:tabs>
        <w:spacing w:before="0" w:after="0"/>
        <w:jc w:val="both"/>
        <w:rPr>
          <w:rFonts w:asciiTheme="minorHAnsi" w:hAnsiTheme="minorHAnsi" w:cstheme="minorHAnsi"/>
          <w:b/>
          <w:szCs w:val="18"/>
          <w:lang w:val="en"/>
        </w:rPr>
      </w:pPr>
      <w:r w:rsidRPr="008A2F82">
        <w:rPr>
          <w:rFonts w:asciiTheme="minorHAnsi" w:hAnsiTheme="minorHAnsi" w:cstheme="minorHAnsi"/>
          <w:b/>
          <w:szCs w:val="18"/>
          <w:lang w:val="en"/>
        </w:rPr>
        <w:t xml:space="preserve">Figure </w:t>
      </w:r>
      <w:r w:rsidR="005A45E2" w:rsidRPr="008A2F82">
        <w:rPr>
          <w:rFonts w:asciiTheme="minorHAnsi" w:hAnsiTheme="minorHAnsi" w:cstheme="minorHAnsi"/>
          <w:b/>
          <w:szCs w:val="18"/>
          <w:lang w:val="en"/>
        </w:rPr>
        <w:t>5</w:t>
      </w:r>
      <w:r w:rsidRPr="008A2F82">
        <w:rPr>
          <w:rFonts w:asciiTheme="minorHAnsi" w:hAnsiTheme="minorHAnsi" w:cstheme="minorHAnsi"/>
          <w:b/>
          <w:szCs w:val="18"/>
          <w:lang w:val="en"/>
        </w:rPr>
        <w:t xml:space="preserve">: </w:t>
      </w:r>
      <w:r w:rsidR="00376C25" w:rsidRPr="008A2F82">
        <w:rPr>
          <w:rFonts w:asciiTheme="minorHAnsi" w:hAnsiTheme="minorHAnsi" w:cstheme="minorHAnsi"/>
          <w:b/>
          <w:szCs w:val="18"/>
          <w:lang w:val="en"/>
        </w:rPr>
        <w:t xml:space="preserve">HIV-Negative TB mortality </w:t>
      </w:r>
    </w:p>
    <w:p w14:paraId="73B3EB90" w14:textId="42791554" w:rsidR="00376C25" w:rsidRPr="00872D97" w:rsidRDefault="00376C25" w:rsidP="00376C25">
      <w:pPr>
        <w:tabs>
          <w:tab w:val="left" w:pos="900"/>
        </w:tabs>
        <w:spacing w:before="0" w:after="0"/>
        <w:jc w:val="both"/>
        <w:rPr>
          <w:rFonts w:asciiTheme="minorHAnsi" w:hAnsiTheme="minorHAnsi" w:cstheme="minorHAnsi"/>
          <w:b/>
          <w:sz w:val="18"/>
          <w:szCs w:val="18"/>
          <w:lang w:val="en"/>
        </w:rPr>
      </w:pPr>
      <w:r w:rsidRPr="00872D97">
        <w:rPr>
          <w:rFonts w:asciiTheme="minorHAnsi" w:hAnsiTheme="minorHAnsi" w:cstheme="minorHAnsi"/>
          <w:b/>
          <w:sz w:val="18"/>
          <w:szCs w:val="18"/>
          <w:lang w:val="en"/>
        </w:rPr>
        <w:t>Rate per 100,000 population per year</w:t>
      </w:r>
    </w:p>
    <w:p w14:paraId="327B6D7A" w14:textId="56CFC57B" w:rsidR="00376C25" w:rsidRPr="006157E5" w:rsidRDefault="00376C25" w:rsidP="00376C25">
      <w:pPr>
        <w:pStyle w:val="ListParagraph"/>
        <w:ind w:left="0"/>
        <w:contextualSpacing w:val="0"/>
        <w:jc w:val="both"/>
        <w:rPr>
          <w:rFonts w:asciiTheme="minorHAnsi" w:hAnsiTheme="minorHAnsi" w:cstheme="minorHAnsi"/>
          <w:b/>
          <w:color w:val="C86A07" w:themeColor="accent2" w:themeShade="BF"/>
          <w:sz w:val="28"/>
        </w:rPr>
      </w:pPr>
      <w:r w:rsidRPr="00376C25">
        <w:rPr>
          <w:noProof/>
          <w:lang w:val="en-IN" w:eastAsia="en-IN"/>
        </w:rPr>
        <w:drawing>
          <wp:inline distT="0" distB="0" distL="0" distR="0" wp14:anchorId="7BD7F17F" wp14:editId="005B061E">
            <wp:extent cx="2445249" cy="11295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3692" cy="1142639"/>
                    </a:xfrm>
                    <a:prstGeom prst="rect">
                      <a:avLst/>
                    </a:prstGeom>
                  </pic:spPr>
                </pic:pic>
              </a:graphicData>
            </a:graphic>
          </wp:inline>
        </w:drawing>
      </w:r>
    </w:p>
    <w:p w14:paraId="740CAFDA" w14:textId="7322A7E0" w:rsidR="00F3316E" w:rsidRPr="00EC3830" w:rsidRDefault="007B135B" w:rsidP="00442A67">
      <w:pPr>
        <w:pStyle w:val="ListParagraph"/>
        <w:numPr>
          <w:ilvl w:val="1"/>
          <w:numId w:val="18"/>
        </w:numPr>
        <w:ind w:left="450" w:hanging="450"/>
        <w:contextualSpacing w:val="0"/>
        <w:jc w:val="both"/>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NTEP</w:t>
      </w:r>
      <w:r w:rsidR="00F3316E" w:rsidRPr="00EC3830">
        <w:rPr>
          <w:rFonts w:asciiTheme="minorHAnsi" w:hAnsiTheme="minorHAnsi" w:cstheme="minorHAnsi"/>
          <w:b/>
          <w:color w:val="C86A07" w:themeColor="accent2" w:themeShade="BF"/>
          <w:sz w:val="28"/>
        </w:rPr>
        <w:t xml:space="preserve"> Performance and impact</w:t>
      </w:r>
    </w:p>
    <w:p w14:paraId="438DECE7" w14:textId="77777777" w:rsidR="00051DEE" w:rsidRPr="00051DEE" w:rsidRDefault="006E499A" w:rsidP="00442A67">
      <w:pPr>
        <w:pStyle w:val="ListParagraph"/>
        <w:numPr>
          <w:ilvl w:val="2"/>
          <w:numId w:val="18"/>
        </w:numPr>
        <w:tabs>
          <w:tab w:val="left" w:pos="900"/>
        </w:tabs>
        <w:spacing w:after="0"/>
        <w:ind w:left="634" w:hanging="634"/>
        <w:contextualSpacing w:val="0"/>
        <w:jc w:val="both"/>
        <w:rPr>
          <w:rFonts w:asciiTheme="minorHAnsi" w:hAnsiTheme="minorHAnsi" w:cstheme="minorHAnsi"/>
          <w:sz w:val="24"/>
        </w:rPr>
      </w:pPr>
      <w:r>
        <w:rPr>
          <w:rFonts w:asciiTheme="minorHAnsi" w:hAnsiTheme="minorHAnsi" w:cstheme="minorHAnsi"/>
          <w:b/>
          <w:sz w:val="24"/>
        </w:rPr>
        <w:t xml:space="preserve">Case </w:t>
      </w:r>
      <w:r w:rsidRPr="006E499A">
        <w:rPr>
          <w:rFonts w:asciiTheme="minorHAnsi" w:hAnsiTheme="minorHAnsi" w:cstheme="minorHAnsi"/>
          <w:b/>
          <w:sz w:val="22"/>
        </w:rPr>
        <w:t>notification</w:t>
      </w:r>
      <w:r w:rsidR="00273FA3">
        <w:rPr>
          <w:rFonts w:asciiTheme="minorHAnsi" w:hAnsiTheme="minorHAnsi" w:cstheme="minorHAnsi"/>
          <w:b/>
          <w:sz w:val="22"/>
        </w:rPr>
        <w:t xml:space="preserve">: </w:t>
      </w:r>
    </w:p>
    <w:p w14:paraId="4C9828AE" w14:textId="026242DC" w:rsidR="006E499A" w:rsidRDefault="00273FA3" w:rsidP="00491B74">
      <w:pPr>
        <w:tabs>
          <w:tab w:val="left" w:pos="900"/>
        </w:tabs>
        <w:spacing w:before="0" w:after="0"/>
        <w:jc w:val="both"/>
        <w:rPr>
          <w:rFonts w:asciiTheme="minorHAnsi" w:hAnsiTheme="minorHAnsi" w:cstheme="minorHAnsi"/>
          <w:sz w:val="22"/>
          <w:lang w:val="en"/>
        </w:rPr>
      </w:pPr>
      <w:r w:rsidRPr="00051DEE">
        <w:rPr>
          <w:rFonts w:asciiTheme="minorHAnsi" w:hAnsiTheme="minorHAnsi" w:cstheme="minorHAnsi"/>
          <w:sz w:val="22"/>
          <w:lang w:val="en"/>
        </w:rPr>
        <w:t>A significant year-after-year case notification increas</w:t>
      </w:r>
      <w:r w:rsidR="00B500EB">
        <w:rPr>
          <w:rFonts w:asciiTheme="minorHAnsi" w:hAnsiTheme="minorHAnsi" w:cstheme="minorHAnsi"/>
          <w:sz w:val="22"/>
          <w:lang w:val="en"/>
        </w:rPr>
        <w:t>e has been observed since 2015</w:t>
      </w:r>
      <w:r w:rsidR="00B256BA">
        <w:rPr>
          <w:rFonts w:asciiTheme="minorHAnsi" w:hAnsiTheme="minorHAnsi" w:cstheme="minorHAnsi"/>
          <w:sz w:val="22"/>
          <w:lang w:val="en"/>
        </w:rPr>
        <w:t>, including a 12</w:t>
      </w:r>
      <w:r w:rsidRPr="00051DEE">
        <w:rPr>
          <w:rFonts w:asciiTheme="minorHAnsi" w:hAnsiTheme="minorHAnsi" w:cstheme="minorHAnsi"/>
          <w:sz w:val="22"/>
          <w:lang w:val="en"/>
        </w:rPr>
        <w:t xml:space="preserve"> percent increase in overall notifications from 201</w:t>
      </w:r>
      <w:r w:rsidR="00B256BA">
        <w:rPr>
          <w:rFonts w:asciiTheme="minorHAnsi" w:hAnsiTheme="minorHAnsi" w:cstheme="minorHAnsi"/>
          <w:sz w:val="22"/>
          <w:lang w:val="en"/>
        </w:rPr>
        <w:t>8 and 2019</w:t>
      </w:r>
      <w:r w:rsidRPr="00051DEE">
        <w:rPr>
          <w:rFonts w:asciiTheme="minorHAnsi" w:hAnsiTheme="minorHAnsi" w:cstheme="minorHAnsi"/>
          <w:sz w:val="22"/>
          <w:lang w:val="en"/>
        </w:rPr>
        <w:t xml:space="preserve">. </w:t>
      </w:r>
    </w:p>
    <w:p w14:paraId="30BADB93" w14:textId="0B7B23DE" w:rsidR="0051463E" w:rsidRPr="008A2F82" w:rsidRDefault="0051463E" w:rsidP="00C129C4">
      <w:pPr>
        <w:tabs>
          <w:tab w:val="left" w:pos="900"/>
        </w:tabs>
        <w:spacing w:before="0" w:after="0"/>
        <w:jc w:val="both"/>
        <w:rPr>
          <w:rFonts w:asciiTheme="minorHAnsi" w:hAnsiTheme="minorHAnsi" w:cstheme="minorHAnsi"/>
          <w:b/>
          <w:szCs w:val="16"/>
          <w:lang w:val="en"/>
        </w:rPr>
      </w:pPr>
      <w:r w:rsidRPr="008A2F82">
        <w:rPr>
          <w:rFonts w:asciiTheme="minorHAnsi" w:hAnsiTheme="minorHAnsi" w:cstheme="minorHAnsi"/>
          <w:b/>
          <w:szCs w:val="16"/>
          <w:lang w:val="en"/>
        </w:rPr>
        <w:t xml:space="preserve">Figure </w:t>
      </w:r>
      <w:r w:rsidR="005A45E2" w:rsidRPr="008A2F82">
        <w:rPr>
          <w:rFonts w:asciiTheme="minorHAnsi" w:hAnsiTheme="minorHAnsi" w:cstheme="minorHAnsi"/>
          <w:b/>
          <w:szCs w:val="16"/>
          <w:lang w:val="en"/>
        </w:rPr>
        <w:t>6</w:t>
      </w:r>
      <w:r w:rsidRPr="008A2F82">
        <w:rPr>
          <w:rFonts w:asciiTheme="minorHAnsi" w:hAnsiTheme="minorHAnsi" w:cstheme="minorHAnsi"/>
          <w:b/>
          <w:szCs w:val="16"/>
          <w:lang w:val="en"/>
        </w:rPr>
        <w:t xml:space="preserve">: Percent annual notification difference from the preceding reporting year – India, 2006–2018. </w:t>
      </w:r>
    </w:p>
    <w:p w14:paraId="272292C2" w14:textId="781F7694" w:rsidR="0051463E" w:rsidRPr="0032362B" w:rsidRDefault="0051463E" w:rsidP="00C129C4">
      <w:pPr>
        <w:tabs>
          <w:tab w:val="left" w:pos="900"/>
        </w:tabs>
        <w:spacing w:before="0" w:after="0"/>
        <w:jc w:val="both"/>
        <w:rPr>
          <w:rFonts w:asciiTheme="minorHAnsi" w:hAnsiTheme="minorHAnsi" w:cstheme="minorHAnsi"/>
          <w:sz w:val="24"/>
          <w:lang w:val="en"/>
        </w:rPr>
      </w:pPr>
      <w:r w:rsidRPr="0032362B">
        <w:rPr>
          <w:rFonts w:asciiTheme="minorHAnsi" w:hAnsiTheme="minorHAnsi" w:cstheme="minorHAnsi"/>
          <w:b/>
          <w:sz w:val="18"/>
          <w:szCs w:val="16"/>
          <w:lang w:val="en"/>
        </w:rPr>
        <w:t xml:space="preserve">Source:  </w:t>
      </w:r>
      <w:r w:rsidR="007B135B" w:rsidRPr="0032362B">
        <w:rPr>
          <w:rFonts w:asciiTheme="minorHAnsi" w:hAnsiTheme="minorHAnsi" w:cstheme="minorHAnsi"/>
          <w:b/>
          <w:sz w:val="18"/>
          <w:szCs w:val="16"/>
          <w:lang w:val="en"/>
        </w:rPr>
        <w:t>NTEP</w:t>
      </w:r>
      <w:r w:rsidRPr="0032362B">
        <w:rPr>
          <w:rFonts w:asciiTheme="minorHAnsi" w:hAnsiTheme="minorHAnsi" w:cstheme="minorHAnsi"/>
          <w:b/>
          <w:sz w:val="18"/>
          <w:szCs w:val="16"/>
          <w:lang w:val="en"/>
        </w:rPr>
        <w:t xml:space="preserve"> Programme Data, 2019</w:t>
      </w:r>
    </w:p>
    <w:p w14:paraId="7C55252D" w14:textId="0D27334F" w:rsidR="00F51B5F" w:rsidRDefault="00B85014" w:rsidP="00B500EB">
      <w:pPr>
        <w:tabs>
          <w:tab w:val="left" w:pos="900"/>
        </w:tabs>
        <w:spacing w:before="0"/>
        <w:jc w:val="both"/>
        <w:rPr>
          <w:rFonts w:asciiTheme="minorHAnsi" w:hAnsiTheme="minorHAnsi" w:cstheme="minorHAnsi"/>
          <w:sz w:val="22"/>
          <w:lang w:val="en"/>
        </w:rPr>
      </w:pPr>
      <w:r w:rsidRPr="002F017E">
        <w:rPr>
          <w:rFonts w:asciiTheme="minorHAnsi" w:hAnsiTheme="minorHAnsi" w:cstheme="minorHAnsi"/>
          <w:b/>
          <w:noProof/>
          <w:sz w:val="22"/>
          <w:lang w:val="en-IN" w:eastAsia="en-IN"/>
        </w:rPr>
        <w:drawing>
          <wp:inline distT="0" distB="0" distL="0" distR="0" wp14:anchorId="42F2F1D9" wp14:editId="3F066971">
            <wp:extent cx="5907640" cy="2018535"/>
            <wp:effectExtent l="0" t="0" r="0" b="1270"/>
            <wp:docPr id="24" name="Picture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05D2A67-467B-4E93-849B-3AB181F8D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05D2A67-467B-4E93-849B-3AB181F8D925}"/>
                        </a:ext>
                      </a:extLst>
                    </pic:cNvPr>
                    <pic:cNvPicPr>
                      <a:picLocks noChangeAspect="1"/>
                    </pic:cNvPicPr>
                  </pic:nvPicPr>
                  <pic:blipFill rotWithShape="1">
                    <a:blip r:embed="rId30"/>
                    <a:srcRect t="4378" b="16238"/>
                    <a:stretch/>
                  </pic:blipFill>
                  <pic:spPr bwMode="auto">
                    <a:xfrm>
                      <a:off x="0" y="0"/>
                      <a:ext cx="5920626" cy="2022972"/>
                    </a:xfrm>
                    <a:prstGeom prst="rect">
                      <a:avLst/>
                    </a:prstGeom>
                    <a:ln>
                      <a:noFill/>
                    </a:ln>
                    <a:extLst>
                      <a:ext uri="{53640926-AAD7-44D8-BBD7-CCE9431645EC}">
                        <a14:shadowObscured xmlns:a14="http://schemas.microsoft.com/office/drawing/2010/main"/>
                      </a:ext>
                    </a:extLst>
                  </pic:spPr>
                </pic:pic>
              </a:graphicData>
            </a:graphic>
          </wp:inline>
        </w:drawing>
      </w:r>
      <w:r w:rsidR="00F51B5F" w:rsidRPr="00F51B5F">
        <w:rPr>
          <w:rFonts w:asciiTheme="minorHAnsi" w:hAnsiTheme="minorHAnsi" w:cstheme="minorHAnsi"/>
          <w:sz w:val="22"/>
          <w:lang w:val="en"/>
        </w:rPr>
        <w:t>This has been primarily owing to an increase in the proportion of patients notified from the private sector</w:t>
      </w:r>
      <w:r w:rsidR="00E52EA8">
        <w:rPr>
          <w:rFonts w:asciiTheme="minorHAnsi" w:hAnsiTheme="minorHAnsi" w:cstheme="minorHAnsi"/>
          <w:sz w:val="22"/>
          <w:lang w:val="en"/>
        </w:rPr>
        <w:t xml:space="preserve"> which</w:t>
      </w:r>
      <w:r w:rsidR="00F51B5F" w:rsidRPr="00F51B5F">
        <w:rPr>
          <w:rFonts w:asciiTheme="minorHAnsi" w:hAnsiTheme="minorHAnsi" w:cstheme="minorHAnsi"/>
          <w:sz w:val="22"/>
          <w:lang w:val="en"/>
        </w:rPr>
        <w:t xml:space="preserve"> has</w:t>
      </w:r>
      <w:r w:rsidR="00E52EA8">
        <w:rPr>
          <w:rFonts w:asciiTheme="minorHAnsi" w:hAnsiTheme="minorHAnsi" w:cstheme="minorHAnsi"/>
          <w:sz w:val="22"/>
          <w:lang w:val="en"/>
        </w:rPr>
        <w:t xml:space="preserve"> increased substantially</w:t>
      </w:r>
      <w:r w:rsidR="00F51B5F" w:rsidRPr="00F51B5F">
        <w:rPr>
          <w:rFonts w:asciiTheme="minorHAnsi" w:hAnsiTheme="minorHAnsi" w:cstheme="minorHAnsi"/>
          <w:sz w:val="22"/>
          <w:lang w:val="en"/>
        </w:rPr>
        <w:t>.  In 2013, only 2 percent of all notified patients were from the private sector; this proportion has increased to 28 percent in 2019</w:t>
      </w:r>
      <w:r w:rsidR="00B500EB">
        <w:rPr>
          <w:rFonts w:asciiTheme="minorHAnsi" w:hAnsiTheme="minorHAnsi" w:cstheme="minorHAnsi"/>
          <w:sz w:val="22"/>
          <w:lang w:val="en"/>
        </w:rPr>
        <w:t xml:space="preserve">. </w:t>
      </w:r>
      <w:r w:rsidR="00F51B5F">
        <w:rPr>
          <w:rFonts w:asciiTheme="minorHAnsi" w:hAnsiTheme="minorHAnsi" w:cstheme="minorHAnsi"/>
          <w:sz w:val="22"/>
          <w:lang w:val="en"/>
        </w:rPr>
        <w:t xml:space="preserve"> </w:t>
      </w:r>
    </w:p>
    <w:p w14:paraId="3A004052" w14:textId="77777777" w:rsidR="00872D97" w:rsidRDefault="00872D97" w:rsidP="00C129C4">
      <w:pPr>
        <w:tabs>
          <w:tab w:val="left" w:pos="900"/>
        </w:tabs>
        <w:spacing w:before="0" w:after="0"/>
        <w:jc w:val="both"/>
        <w:rPr>
          <w:rFonts w:asciiTheme="minorHAnsi" w:hAnsiTheme="minorHAnsi" w:cstheme="minorHAnsi"/>
          <w:b/>
          <w:sz w:val="18"/>
          <w:szCs w:val="16"/>
          <w:lang w:val="en"/>
        </w:rPr>
      </w:pPr>
    </w:p>
    <w:p w14:paraId="36B055D8" w14:textId="77777777" w:rsidR="00872D97" w:rsidRDefault="00872D97" w:rsidP="00C129C4">
      <w:pPr>
        <w:tabs>
          <w:tab w:val="left" w:pos="900"/>
        </w:tabs>
        <w:spacing w:before="0" w:after="0"/>
        <w:jc w:val="both"/>
        <w:rPr>
          <w:rFonts w:asciiTheme="minorHAnsi" w:hAnsiTheme="minorHAnsi" w:cstheme="minorHAnsi"/>
          <w:b/>
          <w:sz w:val="18"/>
          <w:szCs w:val="16"/>
          <w:lang w:val="en"/>
        </w:rPr>
      </w:pPr>
    </w:p>
    <w:p w14:paraId="1F92067C" w14:textId="025F35D4" w:rsidR="0051463E" w:rsidRPr="008A2F82" w:rsidRDefault="00B500EB" w:rsidP="00C129C4">
      <w:pPr>
        <w:tabs>
          <w:tab w:val="left" w:pos="900"/>
        </w:tabs>
        <w:spacing w:before="0" w:after="0"/>
        <w:jc w:val="both"/>
        <w:rPr>
          <w:rFonts w:asciiTheme="minorHAnsi" w:hAnsiTheme="minorHAnsi" w:cstheme="minorHAnsi"/>
          <w:b/>
          <w:szCs w:val="16"/>
          <w:lang w:val="en"/>
        </w:rPr>
      </w:pPr>
      <w:r w:rsidRPr="008A2F82">
        <w:rPr>
          <w:rFonts w:asciiTheme="minorHAnsi" w:hAnsiTheme="minorHAnsi" w:cstheme="minorHAnsi"/>
          <w:b/>
          <w:szCs w:val="16"/>
          <w:lang w:val="en"/>
        </w:rPr>
        <w:lastRenderedPageBreak/>
        <w:t xml:space="preserve">Figure </w:t>
      </w:r>
      <w:r w:rsidR="005A45E2" w:rsidRPr="008A2F82">
        <w:rPr>
          <w:rFonts w:asciiTheme="minorHAnsi" w:hAnsiTheme="minorHAnsi" w:cstheme="minorHAnsi"/>
          <w:b/>
          <w:szCs w:val="16"/>
          <w:lang w:val="en"/>
        </w:rPr>
        <w:t>7</w:t>
      </w:r>
      <w:r w:rsidR="0051463E" w:rsidRPr="008A2F82">
        <w:rPr>
          <w:rFonts w:asciiTheme="minorHAnsi" w:hAnsiTheme="minorHAnsi" w:cstheme="minorHAnsi"/>
          <w:b/>
          <w:szCs w:val="16"/>
          <w:lang w:val="en"/>
        </w:rPr>
        <w:t xml:space="preserve">:  Number of notified TB patients from public and private sectors, 2000–2019. </w:t>
      </w:r>
    </w:p>
    <w:p w14:paraId="400F8E80" w14:textId="42E1EF51" w:rsidR="0051463E" w:rsidRPr="0032362B" w:rsidRDefault="0051463E" w:rsidP="00C129C4">
      <w:pPr>
        <w:tabs>
          <w:tab w:val="left" w:pos="900"/>
        </w:tabs>
        <w:spacing w:before="0" w:after="0"/>
        <w:jc w:val="both"/>
        <w:rPr>
          <w:rFonts w:asciiTheme="minorHAnsi" w:hAnsiTheme="minorHAnsi" w:cstheme="minorHAnsi"/>
          <w:b/>
          <w:sz w:val="18"/>
          <w:szCs w:val="16"/>
          <w:lang w:val="en"/>
        </w:rPr>
      </w:pPr>
      <w:r w:rsidRPr="0032362B">
        <w:rPr>
          <w:rFonts w:asciiTheme="minorHAnsi" w:hAnsiTheme="minorHAnsi" w:cstheme="minorHAnsi"/>
          <w:b/>
          <w:sz w:val="18"/>
          <w:szCs w:val="16"/>
          <w:lang w:val="en"/>
        </w:rPr>
        <w:t xml:space="preserve">Source:  </w:t>
      </w:r>
      <w:r w:rsidR="007B135B" w:rsidRPr="0032362B">
        <w:rPr>
          <w:rFonts w:asciiTheme="minorHAnsi" w:hAnsiTheme="minorHAnsi" w:cstheme="minorHAnsi"/>
          <w:b/>
          <w:sz w:val="18"/>
          <w:szCs w:val="16"/>
          <w:lang w:val="en"/>
        </w:rPr>
        <w:t>NTEP</w:t>
      </w:r>
      <w:r w:rsidR="00720200">
        <w:rPr>
          <w:rFonts w:asciiTheme="minorHAnsi" w:hAnsiTheme="minorHAnsi" w:cstheme="minorHAnsi"/>
          <w:b/>
          <w:sz w:val="18"/>
          <w:szCs w:val="16"/>
          <w:lang w:val="en"/>
        </w:rPr>
        <w:t xml:space="preserve"> Programme Data, 2020</w:t>
      </w:r>
      <w:r w:rsidRPr="0032362B">
        <w:rPr>
          <w:rFonts w:asciiTheme="minorHAnsi" w:hAnsiTheme="minorHAnsi" w:cstheme="minorHAnsi"/>
          <w:b/>
          <w:sz w:val="18"/>
          <w:szCs w:val="16"/>
          <w:lang w:val="en"/>
        </w:rPr>
        <w:t xml:space="preserve">.  </w:t>
      </w:r>
    </w:p>
    <w:p w14:paraId="71116BCE" w14:textId="2D955BB7" w:rsidR="0051463E" w:rsidRDefault="0057194D" w:rsidP="003F51BA">
      <w:pPr>
        <w:tabs>
          <w:tab w:val="left" w:pos="900"/>
        </w:tabs>
        <w:spacing w:before="0"/>
        <w:jc w:val="center"/>
        <w:rPr>
          <w:rFonts w:asciiTheme="minorHAnsi" w:hAnsiTheme="minorHAnsi" w:cstheme="minorHAnsi"/>
          <w:b/>
          <w:sz w:val="16"/>
          <w:szCs w:val="16"/>
          <w:lang w:val="en"/>
        </w:rPr>
      </w:pPr>
      <w:r w:rsidRPr="0057194D">
        <w:rPr>
          <w:noProof/>
          <w:lang w:val="en-IN" w:eastAsia="en-IN"/>
        </w:rPr>
        <w:drawing>
          <wp:inline distT="0" distB="0" distL="0" distR="0" wp14:anchorId="55EC3FD0" wp14:editId="7407E4E6">
            <wp:extent cx="5037513" cy="2714911"/>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7408" cy="2720244"/>
                    </a:xfrm>
                    <a:prstGeom prst="rect">
                      <a:avLst/>
                    </a:prstGeom>
                  </pic:spPr>
                </pic:pic>
              </a:graphicData>
            </a:graphic>
          </wp:inline>
        </w:drawing>
      </w:r>
    </w:p>
    <w:p w14:paraId="3C141AA4" w14:textId="36DEF363" w:rsidR="0020312B" w:rsidRPr="005B002A" w:rsidRDefault="005B002A" w:rsidP="00C129C4">
      <w:pPr>
        <w:tabs>
          <w:tab w:val="left" w:pos="900"/>
        </w:tabs>
        <w:spacing w:before="0" w:after="0"/>
        <w:jc w:val="both"/>
        <w:rPr>
          <w:rFonts w:asciiTheme="minorHAnsi" w:hAnsiTheme="minorHAnsi" w:cstheme="minorHAnsi"/>
          <w:sz w:val="22"/>
          <w:szCs w:val="16"/>
          <w:lang w:val="en"/>
        </w:rPr>
      </w:pPr>
      <w:r w:rsidRPr="005B002A">
        <w:rPr>
          <w:rFonts w:asciiTheme="minorHAnsi" w:hAnsiTheme="minorHAnsi" w:cstheme="minorHAnsi"/>
          <w:sz w:val="22"/>
          <w:szCs w:val="16"/>
          <w:lang w:val="en"/>
        </w:rPr>
        <w:t>It remains unclear if the positive trend for increases case notifications resulted in more TB contact investigations, more opportunities to prevent transmission, or reduced the progression from infection to disease with impacting overall incidence</w:t>
      </w:r>
    </w:p>
    <w:p w14:paraId="23BE6515" w14:textId="18B9BDB2" w:rsidR="005B002A" w:rsidRPr="005B002A" w:rsidRDefault="005B002A" w:rsidP="00442A67">
      <w:pPr>
        <w:pStyle w:val="ListParagraph"/>
        <w:numPr>
          <w:ilvl w:val="2"/>
          <w:numId w:val="18"/>
        </w:numPr>
        <w:tabs>
          <w:tab w:val="left" w:pos="900"/>
        </w:tabs>
        <w:spacing w:after="0"/>
        <w:ind w:left="634" w:hanging="634"/>
        <w:contextualSpacing w:val="0"/>
        <w:jc w:val="both"/>
        <w:rPr>
          <w:rFonts w:asciiTheme="minorHAnsi" w:hAnsiTheme="minorHAnsi" w:cstheme="minorHAnsi"/>
          <w:b/>
          <w:sz w:val="24"/>
        </w:rPr>
      </w:pPr>
      <w:r w:rsidRPr="005B002A">
        <w:rPr>
          <w:rFonts w:asciiTheme="minorHAnsi" w:hAnsiTheme="minorHAnsi" w:cstheme="minorHAnsi"/>
          <w:b/>
          <w:sz w:val="24"/>
        </w:rPr>
        <w:t>Presumptive examinations, bacteriologic confirmation</w:t>
      </w:r>
    </w:p>
    <w:p w14:paraId="5A388C34" w14:textId="1DDBE395" w:rsidR="005B002A" w:rsidRDefault="005B002A" w:rsidP="00B500EB">
      <w:pPr>
        <w:tabs>
          <w:tab w:val="left" w:pos="900"/>
        </w:tabs>
        <w:spacing w:before="0"/>
        <w:jc w:val="both"/>
        <w:rPr>
          <w:rFonts w:asciiTheme="minorHAnsi" w:hAnsiTheme="minorHAnsi" w:cstheme="minorHAnsi"/>
          <w:sz w:val="22"/>
          <w:szCs w:val="16"/>
          <w:lang w:val="en"/>
        </w:rPr>
      </w:pPr>
      <w:r w:rsidRPr="005B002A">
        <w:rPr>
          <w:rFonts w:asciiTheme="minorHAnsi" w:hAnsiTheme="minorHAnsi" w:cstheme="minorHAnsi"/>
          <w:sz w:val="22"/>
          <w:szCs w:val="16"/>
          <w:lang w:val="en"/>
        </w:rPr>
        <w:t xml:space="preserve">Bacteriologic confirmation of TB disease is essential for starting the most effective treatment course and to monitor clinical outcomes.  Since 2012, bacteriologic confirmation amongst new and previously treated patients in the public sector has remained relatively stable (Figure </w:t>
      </w:r>
      <w:r w:rsidR="008A2F82">
        <w:rPr>
          <w:rFonts w:asciiTheme="minorHAnsi" w:hAnsiTheme="minorHAnsi" w:cstheme="minorHAnsi"/>
          <w:sz w:val="22"/>
          <w:szCs w:val="16"/>
          <w:lang w:val="en"/>
        </w:rPr>
        <w:t>8</w:t>
      </w:r>
      <w:r w:rsidRPr="005B002A">
        <w:rPr>
          <w:rFonts w:asciiTheme="minorHAnsi" w:hAnsiTheme="minorHAnsi" w:cstheme="minorHAnsi"/>
          <w:sz w:val="22"/>
          <w:szCs w:val="16"/>
          <w:lang w:val="en"/>
        </w:rPr>
        <w:t>).  This is despite the number of presumptive examinations increasing over time with wid</w:t>
      </w:r>
      <w:r w:rsidR="00995742">
        <w:rPr>
          <w:rFonts w:asciiTheme="minorHAnsi" w:hAnsiTheme="minorHAnsi" w:cstheme="minorHAnsi"/>
          <w:sz w:val="22"/>
          <w:szCs w:val="16"/>
          <w:lang w:val="en"/>
        </w:rPr>
        <w:t>e geographic variation</w:t>
      </w:r>
      <w:r w:rsidRPr="005B002A">
        <w:rPr>
          <w:rFonts w:asciiTheme="minorHAnsi" w:hAnsiTheme="minorHAnsi" w:cstheme="minorHAnsi"/>
          <w:sz w:val="22"/>
          <w:szCs w:val="16"/>
          <w:lang w:val="en"/>
        </w:rPr>
        <w:t xml:space="preserve">. </w:t>
      </w:r>
    </w:p>
    <w:p w14:paraId="05947852" w14:textId="5D1B85CA" w:rsidR="005B002A" w:rsidRPr="008A2F82" w:rsidRDefault="00491B74" w:rsidP="00C129C4">
      <w:pPr>
        <w:spacing w:before="0" w:after="0"/>
        <w:jc w:val="both"/>
        <w:rPr>
          <w:rFonts w:asciiTheme="minorHAnsi" w:eastAsia="Times New Roman" w:hAnsiTheme="minorHAnsi" w:cstheme="minorHAnsi"/>
          <w:b/>
          <w:szCs w:val="20"/>
        </w:rPr>
      </w:pPr>
      <w:r w:rsidRPr="008A2F82">
        <w:rPr>
          <w:rFonts w:asciiTheme="minorHAnsi" w:eastAsia="Times New Roman" w:hAnsiTheme="minorHAnsi" w:cstheme="minorHAnsi"/>
          <w:b/>
          <w:szCs w:val="20"/>
        </w:rPr>
        <w:t xml:space="preserve">Figure </w:t>
      </w:r>
      <w:r w:rsidR="005A45E2" w:rsidRPr="008A2F82">
        <w:rPr>
          <w:rFonts w:asciiTheme="minorHAnsi" w:eastAsia="Times New Roman" w:hAnsiTheme="minorHAnsi" w:cstheme="minorHAnsi"/>
          <w:b/>
          <w:szCs w:val="20"/>
        </w:rPr>
        <w:t>8</w:t>
      </w:r>
      <w:r w:rsidR="005B002A" w:rsidRPr="008A2F82">
        <w:rPr>
          <w:rFonts w:asciiTheme="minorHAnsi" w:eastAsia="Times New Roman" w:hAnsiTheme="minorHAnsi" w:cstheme="minorHAnsi"/>
          <w:b/>
          <w:szCs w:val="20"/>
        </w:rPr>
        <w:t>. Bacteriologically confirmed notifications amongst new and previously treated</w:t>
      </w:r>
      <w:r w:rsidR="0057194D" w:rsidRPr="008A2F82">
        <w:rPr>
          <w:rFonts w:asciiTheme="minorHAnsi" w:eastAsia="Times New Roman" w:hAnsiTheme="minorHAnsi" w:cstheme="minorHAnsi"/>
          <w:b/>
          <w:szCs w:val="20"/>
        </w:rPr>
        <w:t xml:space="preserve"> (RT)</w:t>
      </w:r>
      <w:r w:rsidR="005B002A" w:rsidRPr="008A2F82">
        <w:rPr>
          <w:rFonts w:asciiTheme="minorHAnsi" w:eastAsia="Times New Roman" w:hAnsiTheme="minorHAnsi" w:cstheme="minorHAnsi"/>
          <w:b/>
          <w:szCs w:val="20"/>
        </w:rPr>
        <w:t xml:space="preserve"> patients – India, 2012–2018.</w:t>
      </w:r>
    </w:p>
    <w:p w14:paraId="2BD89172" w14:textId="28B09392" w:rsidR="005B002A" w:rsidRPr="0032362B" w:rsidRDefault="005B002A" w:rsidP="00C129C4">
      <w:pPr>
        <w:spacing w:before="0"/>
        <w:jc w:val="both"/>
        <w:rPr>
          <w:rFonts w:asciiTheme="minorHAnsi" w:eastAsia="Times New Roman" w:hAnsiTheme="minorHAnsi" w:cstheme="minorHAnsi"/>
          <w:b/>
          <w:sz w:val="18"/>
          <w:szCs w:val="18"/>
        </w:rPr>
      </w:pPr>
      <w:r w:rsidRPr="0032362B">
        <w:rPr>
          <w:rFonts w:asciiTheme="minorHAnsi" w:eastAsia="Times New Roman" w:hAnsiTheme="minorHAnsi" w:cstheme="minorHAnsi"/>
          <w:b/>
          <w:sz w:val="18"/>
          <w:szCs w:val="18"/>
        </w:rPr>
        <w:t xml:space="preserve">Source:  </w:t>
      </w:r>
      <w:r w:rsidR="007B135B" w:rsidRPr="0032362B">
        <w:rPr>
          <w:rFonts w:asciiTheme="minorHAnsi" w:eastAsia="Times New Roman" w:hAnsiTheme="minorHAnsi" w:cstheme="minorHAnsi"/>
          <w:b/>
          <w:sz w:val="18"/>
          <w:szCs w:val="18"/>
        </w:rPr>
        <w:t>NTEP</w:t>
      </w:r>
      <w:r w:rsidR="00720200">
        <w:rPr>
          <w:rFonts w:asciiTheme="minorHAnsi" w:eastAsia="Times New Roman" w:hAnsiTheme="minorHAnsi" w:cstheme="minorHAnsi"/>
          <w:b/>
          <w:sz w:val="18"/>
          <w:szCs w:val="18"/>
        </w:rPr>
        <w:t xml:space="preserve"> Programme Data, 2020</w:t>
      </w:r>
      <w:r w:rsidRPr="0032362B">
        <w:rPr>
          <w:rFonts w:asciiTheme="minorHAnsi" w:eastAsia="Times New Roman" w:hAnsiTheme="minorHAnsi" w:cstheme="minorHAnsi"/>
          <w:b/>
          <w:sz w:val="18"/>
          <w:szCs w:val="18"/>
        </w:rPr>
        <w:t xml:space="preserve">.   </w:t>
      </w:r>
    </w:p>
    <w:p w14:paraId="62646817" w14:textId="515C8867" w:rsidR="005B002A" w:rsidRDefault="0057194D" w:rsidP="002E0B7B">
      <w:pPr>
        <w:spacing w:before="0"/>
        <w:jc w:val="center"/>
        <w:rPr>
          <w:rFonts w:asciiTheme="minorHAnsi" w:eastAsia="Times New Roman" w:hAnsiTheme="minorHAnsi" w:cstheme="minorHAnsi"/>
          <w:b/>
          <w:sz w:val="16"/>
          <w:szCs w:val="18"/>
        </w:rPr>
      </w:pPr>
      <w:r w:rsidRPr="0057194D">
        <w:rPr>
          <w:noProof/>
          <w:lang w:val="en-IN" w:eastAsia="en-IN"/>
        </w:rPr>
        <w:drawing>
          <wp:inline distT="0" distB="0" distL="0" distR="0" wp14:anchorId="65E9B2C1" wp14:editId="6DE53367">
            <wp:extent cx="5349229" cy="2948683"/>
            <wp:effectExtent l="0" t="0" r="444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9531" cy="2954362"/>
                    </a:xfrm>
                    <a:prstGeom prst="rect">
                      <a:avLst/>
                    </a:prstGeom>
                  </pic:spPr>
                </pic:pic>
              </a:graphicData>
            </a:graphic>
          </wp:inline>
        </w:drawing>
      </w:r>
    </w:p>
    <w:p w14:paraId="253DBAA5" w14:textId="77777777" w:rsidR="00395AA9" w:rsidRDefault="00395AA9" w:rsidP="00C129C4">
      <w:pPr>
        <w:spacing w:before="0" w:after="0"/>
        <w:jc w:val="both"/>
        <w:rPr>
          <w:rFonts w:asciiTheme="minorHAnsi" w:eastAsia="Times New Roman" w:hAnsiTheme="minorHAnsi" w:cstheme="minorHAnsi"/>
          <w:b/>
          <w:sz w:val="18"/>
          <w:szCs w:val="18"/>
        </w:rPr>
      </w:pPr>
    </w:p>
    <w:p w14:paraId="4C2E210F" w14:textId="77777777" w:rsidR="00395AA9" w:rsidRDefault="00395AA9" w:rsidP="00C129C4">
      <w:pPr>
        <w:spacing w:before="0" w:after="0"/>
        <w:jc w:val="both"/>
        <w:rPr>
          <w:rFonts w:asciiTheme="minorHAnsi" w:eastAsia="Times New Roman" w:hAnsiTheme="minorHAnsi" w:cstheme="minorHAnsi"/>
          <w:b/>
          <w:sz w:val="18"/>
          <w:szCs w:val="18"/>
        </w:rPr>
      </w:pPr>
    </w:p>
    <w:p w14:paraId="2E15BFA3" w14:textId="77777777" w:rsidR="00B15F08" w:rsidRDefault="00B15F08" w:rsidP="00C129C4">
      <w:pPr>
        <w:spacing w:before="0" w:after="0"/>
        <w:jc w:val="both"/>
        <w:rPr>
          <w:rFonts w:asciiTheme="minorHAnsi" w:eastAsia="Times New Roman" w:hAnsiTheme="minorHAnsi" w:cstheme="minorHAnsi"/>
          <w:b/>
          <w:sz w:val="18"/>
          <w:szCs w:val="18"/>
        </w:rPr>
      </w:pPr>
    </w:p>
    <w:p w14:paraId="13659560" w14:textId="77777777" w:rsidR="00B15F08" w:rsidRDefault="00B15F08" w:rsidP="00C129C4">
      <w:pPr>
        <w:spacing w:before="0" w:after="0"/>
        <w:jc w:val="both"/>
        <w:rPr>
          <w:rFonts w:asciiTheme="minorHAnsi" w:eastAsia="Times New Roman" w:hAnsiTheme="minorHAnsi" w:cstheme="minorHAnsi"/>
          <w:b/>
          <w:sz w:val="18"/>
          <w:szCs w:val="18"/>
        </w:rPr>
      </w:pPr>
    </w:p>
    <w:p w14:paraId="60889178" w14:textId="0F14579C" w:rsidR="00E35AC1" w:rsidRPr="008A2F82" w:rsidRDefault="00491B74" w:rsidP="00C129C4">
      <w:pPr>
        <w:spacing w:before="0" w:after="0"/>
        <w:jc w:val="both"/>
        <w:rPr>
          <w:rFonts w:asciiTheme="minorHAnsi" w:eastAsia="Times New Roman" w:hAnsiTheme="minorHAnsi" w:cstheme="minorHAnsi"/>
          <w:b/>
          <w:szCs w:val="18"/>
        </w:rPr>
      </w:pPr>
      <w:r w:rsidRPr="008A2F82">
        <w:rPr>
          <w:rFonts w:asciiTheme="minorHAnsi" w:eastAsia="Times New Roman" w:hAnsiTheme="minorHAnsi" w:cstheme="minorHAnsi"/>
          <w:b/>
          <w:szCs w:val="18"/>
        </w:rPr>
        <w:t xml:space="preserve">Figure </w:t>
      </w:r>
      <w:r w:rsidR="00DB311B" w:rsidRPr="008A2F82">
        <w:rPr>
          <w:rFonts w:asciiTheme="minorHAnsi" w:eastAsia="Times New Roman" w:hAnsiTheme="minorHAnsi" w:cstheme="minorHAnsi"/>
          <w:b/>
          <w:szCs w:val="18"/>
        </w:rPr>
        <w:t>9</w:t>
      </w:r>
      <w:r w:rsidR="00E35AC1" w:rsidRPr="008A2F82">
        <w:rPr>
          <w:rFonts w:asciiTheme="minorHAnsi" w:eastAsia="Times New Roman" w:hAnsiTheme="minorHAnsi" w:cstheme="minorHAnsi"/>
          <w:b/>
          <w:szCs w:val="18"/>
        </w:rPr>
        <w:t>: Number of and rate examinations amongst presumptive TB patients – India, 2000–201</w:t>
      </w:r>
      <w:r w:rsidR="00AB6761" w:rsidRPr="008A2F82">
        <w:rPr>
          <w:rFonts w:asciiTheme="minorHAnsi" w:eastAsia="Times New Roman" w:hAnsiTheme="minorHAnsi" w:cstheme="minorHAnsi"/>
          <w:b/>
          <w:szCs w:val="18"/>
        </w:rPr>
        <w:t>9</w:t>
      </w:r>
      <w:r w:rsidR="00E35AC1" w:rsidRPr="008A2F82">
        <w:rPr>
          <w:rFonts w:asciiTheme="minorHAnsi" w:eastAsia="Times New Roman" w:hAnsiTheme="minorHAnsi" w:cstheme="minorHAnsi"/>
          <w:b/>
          <w:szCs w:val="18"/>
        </w:rPr>
        <w:t>.</w:t>
      </w:r>
    </w:p>
    <w:p w14:paraId="7241819B" w14:textId="4FA01F46" w:rsidR="00E35AC1" w:rsidRPr="0032362B" w:rsidRDefault="00E35AC1" w:rsidP="00C129C4">
      <w:pPr>
        <w:spacing w:before="0" w:after="0"/>
        <w:jc w:val="both"/>
        <w:rPr>
          <w:rFonts w:asciiTheme="minorHAnsi" w:eastAsia="Times New Roman" w:hAnsiTheme="minorHAnsi" w:cstheme="minorHAnsi"/>
          <w:b/>
          <w:sz w:val="18"/>
          <w:szCs w:val="18"/>
        </w:rPr>
      </w:pPr>
      <w:r w:rsidRPr="0032362B">
        <w:rPr>
          <w:rFonts w:asciiTheme="minorHAnsi" w:eastAsia="Times New Roman" w:hAnsiTheme="minorHAnsi" w:cstheme="minorHAnsi"/>
          <w:b/>
          <w:sz w:val="18"/>
          <w:szCs w:val="18"/>
        </w:rPr>
        <w:t xml:space="preserve">Source:  </w:t>
      </w:r>
      <w:r w:rsidR="007B135B" w:rsidRPr="0032362B">
        <w:rPr>
          <w:rFonts w:asciiTheme="minorHAnsi" w:eastAsia="Times New Roman" w:hAnsiTheme="minorHAnsi" w:cstheme="minorHAnsi"/>
          <w:b/>
          <w:sz w:val="18"/>
          <w:szCs w:val="18"/>
        </w:rPr>
        <w:t>NTEP</w:t>
      </w:r>
      <w:r w:rsidR="00720200">
        <w:rPr>
          <w:rFonts w:asciiTheme="minorHAnsi" w:eastAsia="Times New Roman" w:hAnsiTheme="minorHAnsi" w:cstheme="minorHAnsi"/>
          <w:b/>
          <w:sz w:val="18"/>
          <w:szCs w:val="18"/>
        </w:rPr>
        <w:t xml:space="preserve"> Programme Data, 2020</w:t>
      </w:r>
      <w:r w:rsidRPr="0032362B">
        <w:rPr>
          <w:rFonts w:asciiTheme="minorHAnsi" w:eastAsia="Times New Roman" w:hAnsiTheme="minorHAnsi" w:cstheme="minorHAnsi"/>
          <w:b/>
          <w:sz w:val="18"/>
          <w:szCs w:val="18"/>
        </w:rPr>
        <w:t xml:space="preserve">.  </w:t>
      </w:r>
    </w:p>
    <w:p w14:paraId="6D02E955" w14:textId="37358A7A" w:rsidR="005B002A" w:rsidRPr="005B002A" w:rsidRDefault="003F5383" w:rsidP="00C129C4">
      <w:pPr>
        <w:tabs>
          <w:tab w:val="left" w:pos="900"/>
        </w:tabs>
        <w:spacing w:before="0" w:after="0"/>
        <w:jc w:val="both"/>
        <w:rPr>
          <w:rFonts w:asciiTheme="minorHAnsi" w:hAnsiTheme="minorHAnsi" w:cstheme="minorHAnsi"/>
          <w:sz w:val="22"/>
          <w:szCs w:val="16"/>
          <w:lang w:val="en"/>
        </w:rPr>
      </w:pPr>
      <w:r w:rsidRPr="003F5383">
        <w:rPr>
          <w:noProof/>
          <w:lang w:val="en-IN" w:eastAsia="en-IN"/>
        </w:rPr>
        <w:drawing>
          <wp:inline distT="0" distB="0" distL="0" distR="0" wp14:anchorId="1C0E2A3D" wp14:editId="0CF1ED55">
            <wp:extent cx="5732145" cy="2284095"/>
            <wp:effectExtent l="0" t="0" r="190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2284095"/>
                    </a:xfrm>
                    <a:prstGeom prst="rect">
                      <a:avLst/>
                    </a:prstGeom>
                  </pic:spPr>
                </pic:pic>
              </a:graphicData>
            </a:graphic>
          </wp:inline>
        </w:drawing>
      </w:r>
    </w:p>
    <w:p w14:paraId="7E76FB45" w14:textId="432926EC" w:rsidR="00C50733" w:rsidRPr="00C50733" w:rsidRDefault="00C50733" w:rsidP="00442A67">
      <w:pPr>
        <w:pStyle w:val="ListParagraph"/>
        <w:numPr>
          <w:ilvl w:val="2"/>
          <w:numId w:val="18"/>
        </w:numPr>
        <w:tabs>
          <w:tab w:val="left" w:pos="900"/>
        </w:tabs>
        <w:spacing w:after="0"/>
        <w:ind w:left="634" w:hanging="634"/>
        <w:contextualSpacing w:val="0"/>
        <w:jc w:val="both"/>
        <w:rPr>
          <w:rFonts w:asciiTheme="minorHAnsi" w:hAnsiTheme="minorHAnsi" w:cstheme="minorHAnsi"/>
          <w:b/>
          <w:sz w:val="24"/>
        </w:rPr>
      </w:pPr>
      <w:r w:rsidRPr="00C50733">
        <w:rPr>
          <w:rFonts w:asciiTheme="minorHAnsi" w:hAnsiTheme="minorHAnsi" w:cstheme="minorHAnsi"/>
          <w:b/>
          <w:sz w:val="24"/>
        </w:rPr>
        <w:t>Drug resistant tuberculosis</w:t>
      </w:r>
      <w:r w:rsidR="009F08D3">
        <w:rPr>
          <w:rFonts w:asciiTheme="minorHAnsi" w:hAnsiTheme="minorHAnsi" w:cstheme="minorHAnsi"/>
          <w:b/>
          <w:sz w:val="24"/>
        </w:rPr>
        <w:tab/>
      </w:r>
    </w:p>
    <w:p w14:paraId="3592793B" w14:textId="55B97A23" w:rsidR="00C50733" w:rsidRPr="007E218C" w:rsidRDefault="00C50733" w:rsidP="00C129C4">
      <w:pPr>
        <w:jc w:val="both"/>
        <w:rPr>
          <w:rFonts w:asciiTheme="minorHAnsi" w:eastAsia="Times New Roman" w:hAnsiTheme="minorHAnsi" w:cstheme="minorHAnsi"/>
          <w:sz w:val="22"/>
        </w:rPr>
      </w:pPr>
      <w:r w:rsidRPr="00C50733">
        <w:rPr>
          <w:rFonts w:asciiTheme="minorHAnsi" w:eastAsia="Times New Roman" w:hAnsiTheme="minorHAnsi" w:cstheme="minorHAnsi"/>
          <w:sz w:val="22"/>
        </w:rPr>
        <w:t xml:space="preserve">During 2007–2018, India tested 2,798,599 patients using CB-NAAT and line-probe assays (LPAs).  These tests — which remarkably reduce the time to MDR identification from months to days — detected 236,725 drug-resistant TB patients.  Among those tested, 166,472 (70%) were started on MDR-TB treatment, including 11,948 patients with a more severe form of extensively drug resistant TB (XDR-TB).  </w:t>
      </w:r>
      <w:r>
        <w:rPr>
          <w:rFonts w:asciiTheme="minorHAnsi" w:eastAsia="Times New Roman" w:hAnsiTheme="minorHAnsi" w:cstheme="minorHAnsi"/>
          <w:sz w:val="22"/>
        </w:rPr>
        <w:t xml:space="preserve">While the </w:t>
      </w:r>
      <w:r w:rsidRPr="00C50733">
        <w:rPr>
          <w:rFonts w:asciiTheme="minorHAnsi" w:eastAsia="Times New Roman" w:hAnsiTheme="minorHAnsi" w:cstheme="minorHAnsi"/>
          <w:sz w:val="22"/>
        </w:rPr>
        <w:t>scale up</w:t>
      </w:r>
      <w:r>
        <w:rPr>
          <w:rFonts w:asciiTheme="minorHAnsi" w:eastAsia="Times New Roman" w:hAnsiTheme="minorHAnsi" w:cstheme="minorHAnsi"/>
          <w:sz w:val="22"/>
        </w:rPr>
        <w:t xml:space="preserve"> </w:t>
      </w:r>
      <w:r w:rsidRPr="00C50733">
        <w:rPr>
          <w:rFonts w:asciiTheme="minorHAnsi" w:eastAsia="Times New Roman" w:hAnsiTheme="minorHAnsi" w:cstheme="minorHAnsi"/>
          <w:sz w:val="22"/>
        </w:rPr>
        <w:t>and performance in a relatively short period of time</w:t>
      </w:r>
      <w:r>
        <w:rPr>
          <w:rFonts w:asciiTheme="minorHAnsi" w:eastAsia="Times New Roman" w:hAnsiTheme="minorHAnsi" w:cstheme="minorHAnsi"/>
          <w:sz w:val="22"/>
        </w:rPr>
        <w:t xml:space="preserve"> is </w:t>
      </w:r>
      <w:r w:rsidRPr="00C50733">
        <w:rPr>
          <w:rFonts w:asciiTheme="minorHAnsi" w:eastAsia="Times New Roman" w:hAnsiTheme="minorHAnsi" w:cstheme="minorHAnsi"/>
          <w:sz w:val="22"/>
        </w:rPr>
        <w:t>impressive</w:t>
      </w:r>
      <w:r>
        <w:rPr>
          <w:rFonts w:asciiTheme="minorHAnsi" w:eastAsia="Times New Roman" w:hAnsiTheme="minorHAnsi" w:cstheme="minorHAnsi"/>
          <w:sz w:val="22"/>
        </w:rPr>
        <w:t xml:space="preserve">, </w:t>
      </w:r>
      <w:r w:rsidRPr="00C50733">
        <w:rPr>
          <w:rFonts w:asciiTheme="minorHAnsi" w:eastAsia="Times New Roman" w:hAnsiTheme="minorHAnsi" w:cstheme="minorHAnsi"/>
          <w:sz w:val="22"/>
        </w:rPr>
        <w:t>a substantial proportion of patients (approximately 45 percent) remain without an accurate diagnosis and/or effective DST-guided treatment.  In 2018, WHO reported an estimated 130,000 (95% CL: 77,000, 198,000) patients with RR-TB, and an estimated 9 RR-TB patients per 100,000 population.</w:t>
      </w:r>
    </w:p>
    <w:p w14:paraId="25A2D0F2" w14:textId="77777777" w:rsidR="00C50733" w:rsidRPr="00C50733" w:rsidRDefault="00C50733" w:rsidP="00442A67">
      <w:pPr>
        <w:pStyle w:val="ListParagraph"/>
        <w:numPr>
          <w:ilvl w:val="2"/>
          <w:numId w:val="18"/>
        </w:numPr>
        <w:tabs>
          <w:tab w:val="left" w:pos="900"/>
        </w:tabs>
        <w:spacing w:after="0"/>
        <w:ind w:left="634" w:hanging="634"/>
        <w:contextualSpacing w:val="0"/>
        <w:jc w:val="both"/>
        <w:rPr>
          <w:rFonts w:asciiTheme="minorHAnsi" w:hAnsiTheme="minorHAnsi" w:cstheme="minorHAnsi"/>
          <w:b/>
          <w:sz w:val="24"/>
        </w:rPr>
      </w:pPr>
      <w:r w:rsidRPr="00C50733">
        <w:rPr>
          <w:rFonts w:asciiTheme="minorHAnsi" w:hAnsiTheme="minorHAnsi" w:cstheme="minorHAnsi"/>
          <w:b/>
          <w:sz w:val="24"/>
        </w:rPr>
        <w:t>Treatment outcomes</w:t>
      </w:r>
    </w:p>
    <w:p w14:paraId="7236A98E" w14:textId="2791698A" w:rsidR="00C50733" w:rsidRPr="00C50733" w:rsidRDefault="00C50733" w:rsidP="00A3362D">
      <w:pPr>
        <w:spacing w:before="0" w:after="0"/>
        <w:jc w:val="both"/>
        <w:rPr>
          <w:rFonts w:asciiTheme="minorHAnsi" w:eastAsia="Times New Roman" w:hAnsiTheme="minorHAnsi" w:cstheme="minorHAnsi"/>
          <w:sz w:val="22"/>
        </w:rPr>
      </w:pPr>
      <w:r w:rsidRPr="00C50733">
        <w:rPr>
          <w:rFonts w:asciiTheme="minorHAnsi" w:eastAsia="Times New Roman" w:hAnsiTheme="minorHAnsi" w:cstheme="minorHAnsi"/>
          <w:sz w:val="22"/>
        </w:rPr>
        <w:t xml:space="preserve">At a national-level, treatment success (i.e. completing treatment or sputum-smear conversion) has been relatively stable amongst new sputum-smear positive patients (Figure </w:t>
      </w:r>
      <w:r w:rsidR="004D3907">
        <w:rPr>
          <w:rFonts w:asciiTheme="minorHAnsi" w:eastAsia="Times New Roman" w:hAnsiTheme="minorHAnsi" w:cstheme="minorHAnsi"/>
          <w:sz w:val="22"/>
        </w:rPr>
        <w:t>10</w:t>
      </w:r>
      <w:r w:rsidRPr="00C50733">
        <w:rPr>
          <w:rFonts w:asciiTheme="minorHAnsi" w:eastAsia="Times New Roman" w:hAnsiTheme="minorHAnsi" w:cstheme="minorHAnsi"/>
          <w:sz w:val="22"/>
        </w:rPr>
        <w:t>)</w:t>
      </w:r>
      <w:r w:rsidR="00DF5566">
        <w:rPr>
          <w:rFonts w:asciiTheme="minorHAnsi" w:eastAsia="Times New Roman" w:hAnsiTheme="minorHAnsi" w:cstheme="minorHAnsi"/>
          <w:sz w:val="22"/>
        </w:rPr>
        <w:t xml:space="preserve">. </w:t>
      </w:r>
      <w:r w:rsidRPr="007E218C">
        <w:rPr>
          <w:rFonts w:asciiTheme="minorHAnsi" w:eastAsia="Times New Roman" w:hAnsiTheme="minorHAnsi" w:cstheme="minorHAnsi"/>
          <w:sz w:val="22"/>
        </w:rPr>
        <w:t xml:space="preserve">However, treatment success remains </w:t>
      </w:r>
      <w:r w:rsidR="004C2A66" w:rsidRPr="007E218C">
        <w:rPr>
          <w:rFonts w:asciiTheme="minorHAnsi" w:eastAsia="Times New Roman" w:hAnsiTheme="minorHAnsi" w:cstheme="minorHAnsi"/>
          <w:sz w:val="22"/>
        </w:rPr>
        <w:t>below fifty</w:t>
      </w:r>
      <w:r w:rsidR="00112168" w:rsidRPr="007E218C">
        <w:rPr>
          <w:rFonts w:asciiTheme="minorHAnsi" w:eastAsia="Times New Roman" w:hAnsiTheme="minorHAnsi" w:cstheme="minorHAnsi"/>
          <w:sz w:val="22"/>
        </w:rPr>
        <w:t xml:space="preserve"> percent</w:t>
      </w:r>
      <w:r w:rsidRPr="007E218C">
        <w:rPr>
          <w:rFonts w:asciiTheme="minorHAnsi" w:eastAsia="Times New Roman" w:hAnsiTheme="minorHAnsi" w:cstheme="minorHAnsi"/>
          <w:sz w:val="22"/>
        </w:rPr>
        <w:t xml:space="preserve"> and there has been </w:t>
      </w:r>
      <w:r w:rsidR="00112168" w:rsidRPr="007E218C">
        <w:rPr>
          <w:rFonts w:asciiTheme="minorHAnsi" w:eastAsia="Times New Roman" w:hAnsiTheme="minorHAnsi" w:cstheme="minorHAnsi"/>
          <w:sz w:val="22"/>
        </w:rPr>
        <w:t xml:space="preserve">marginal change over the last five </w:t>
      </w:r>
      <w:r w:rsidRPr="007E218C">
        <w:rPr>
          <w:rFonts w:asciiTheme="minorHAnsi" w:eastAsia="Times New Roman" w:hAnsiTheme="minorHAnsi" w:cstheme="minorHAnsi"/>
          <w:sz w:val="22"/>
        </w:rPr>
        <w:t xml:space="preserve">years amongst drug-resistant patients.  There is a worrisome trend for decline in </w:t>
      </w:r>
      <w:r w:rsidRPr="00C50733">
        <w:rPr>
          <w:rFonts w:asciiTheme="minorHAnsi" w:eastAsia="Times New Roman" w:hAnsiTheme="minorHAnsi" w:cstheme="minorHAnsi"/>
          <w:sz w:val="22"/>
        </w:rPr>
        <w:t>treatment success amon</w:t>
      </w:r>
      <w:r w:rsidR="00B15F08">
        <w:rPr>
          <w:rFonts w:asciiTheme="minorHAnsi" w:eastAsia="Times New Roman" w:hAnsiTheme="minorHAnsi" w:cstheme="minorHAnsi"/>
          <w:sz w:val="22"/>
        </w:rPr>
        <w:t>gst previously treated patients</w:t>
      </w:r>
      <w:r w:rsidRPr="00C50733">
        <w:rPr>
          <w:rFonts w:asciiTheme="minorHAnsi" w:eastAsia="Times New Roman" w:hAnsiTheme="minorHAnsi" w:cstheme="minorHAnsi"/>
          <w:sz w:val="22"/>
        </w:rPr>
        <w:t>.  Death during DR treatment remains high at 20 percent, and a substantial proportion of drug-resistant patients are lost to follow-up (18 percent).  It is unknown what proportion of these lost patients died but were misclassified as lost to follow-up.  A recent study suggested a significant proportion of death during MDR-TB treatment may be attributed to tuberculosis-related causes.</w:t>
      </w:r>
    </w:p>
    <w:p w14:paraId="3EBA8E7B" w14:textId="26251B15" w:rsidR="00872D97" w:rsidRPr="008A2F82" w:rsidRDefault="00C50733" w:rsidP="00872D97">
      <w:pPr>
        <w:spacing w:before="0" w:after="0" w:line="216" w:lineRule="auto"/>
        <w:jc w:val="both"/>
        <w:rPr>
          <w:rFonts w:asciiTheme="minorHAnsi" w:eastAsia="Times New Roman" w:hAnsiTheme="minorHAnsi" w:cstheme="minorHAnsi"/>
          <w:b/>
          <w:szCs w:val="18"/>
        </w:rPr>
      </w:pPr>
      <w:r w:rsidRPr="008A2F82">
        <w:rPr>
          <w:rFonts w:asciiTheme="minorHAnsi" w:eastAsia="Times New Roman" w:hAnsiTheme="minorHAnsi" w:cstheme="minorHAnsi"/>
          <w:b/>
          <w:szCs w:val="18"/>
        </w:rPr>
        <w:t xml:space="preserve"> Figure </w:t>
      </w:r>
      <w:r w:rsidR="00DB311B" w:rsidRPr="008A2F82">
        <w:rPr>
          <w:rFonts w:asciiTheme="minorHAnsi" w:eastAsia="Times New Roman" w:hAnsiTheme="minorHAnsi" w:cstheme="minorHAnsi"/>
          <w:b/>
          <w:szCs w:val="18"/>
        </w:rPr>
        <w:t>10</w:t>
      </w:r>
      <w:r w:rsidRPr="008A2F82">
        <w:rPr>
          <w:rFonts w:asciiTheme="minorHAnsi" w:eastAsia="Times New Roman" w:hAnsiTheme="minorHAnsi" w:cstheme="minorHAnsi"/>
          <w:b/>
          <w:szCs w:val="18"/>
        </w:rPr>
        <w:t>: Annual proportions of successful treatment outcome among new sputum-smear positives, previously treated, and drug-resistant TB patient cohorts– India, 2012–2018*</w:t>
      </w:r>
      <w:r w:rsidR="00872D97" w:rsidRPr="008A2F82">
        <w:rPr>
          <w:rFonts w:asciiTheme="minorHAnsi" w:eastAsia="Times New Roman" w:hAnsiTheme="minorHAnsi" w:cstheme="minorHAnsi"/>
          <w:b/>
          <w:szCs w:val="18"/>
        </w:rPr>
        <w:t xml:space="preserve"> </w:t>
      </w:r>
    </w:p>
    <w:p w14:paraId="52649CC1" w14:textId="035DB18A" w:rsidR="00C50733" w:rsidRPr="0032362B" w:rsidRDefault="00C50733" w:rsidP="00872D97">
      <w:pPr>
        <w:spacing w:before="0" w:after="0" w:line="216" w:lineRule="auto"/>
        <w:jc w:val="both"/>
        <w:rPr>
          <w:rFonts w:asciiTheme="minorHAnsi" w:eastAsia="Times New Roman" w:hAnsiTheme="minorHAnsi" w:cstheme="minorHAnsi"/>
          <w:b/>
          <w:sz w:val="18"/>
          <w:szCs w:val="18"/>
        </w:rPr>
      </w:pPr>
      <w:r w:rsidRPr="0032362B">
        <w:rPr>
          <w:rFonts w:asciiTheme="minorHAnsi" w:eastAsia="Times New Roman" w:hAnsiTheme="minorHAnsi" w:cstheme="minorHAnsi"/>
          <w:b/>
          <w:sz w:val="18"/>
          <w:szCs w:val="18"/>
        </w:rPr>
        <w:t xml:space="preserve">Source:  </w:t>
      </w:r>
      <w:r w:rsidR="007B135B" w:rsidRPr="0032362B">
        <w:rPr>
          <w:rFonts w:asciiTheme="minorHAnsi" w:eastAsia="Times New Roman" w:hAnsiTheme="minorHAnsi" w:cstheme="minorHAnsi"/>
          <w:b/>
          <w:sz w:val="18"/>
          <w:szCs w:val="18"/>
        </w:rPr>
        <w:t>NTEP</w:t>
      </w:r>
      <w:r w:rsidR="00720200">
        <w:rPr>
          <w:rFonts w:asciiTheme="minorHAnsi" w:eastAsia="Times New Roman" w:hAnsiTheme="minorHAnsi" w:cstheme="minorHAnsi"/>
          <w:b/>
          <w:sz w:val="18"/>
          <w:szCs w:val="18"/>
        </w:rPr>
        <w:t xml:space="preserve"> Programme Data, 2020</w:t>
      </w:r>
      <w:r w:rsidRPr="0032362B">
        <w:rPr>
          <w:rFonts w:asciiTheme="minorHAnsi" w:eastAsia="Times New Roman" w:hAnsiTheme="minorHAnsi" w:cstheme="minorHAnsi"/>
          <w:b/>
          <w:sz w:val="18"/>
          <w:szCs w:val="18"/>
        </w:rPr>
        <w:t>.  *MDR cohort for 2017 not available.</w:t>
      </w:r>
      <w:r w:rsidR="00DF5566" w:rsidRPr="0032362B">
        <w:rPr>
          <w:rFonts w:asciiTheme="minorHAnsi" w:eastAsia="Times New Roman" w:hAnsiTheme="minorHAnsi" w:cstheme="minorHAnsi"/>
          <w:b/>
          <w:sz w:val="18"/>
          <w:szCs w:val="18"/>
        </w:rPr>
        <w:t xml:space="preserve"> </w:t>
      </w:r>
    </w:p>
    <w:p w14:paraId="74A31DA5" w14:textId="5DACF318" w:rsidR="00DF5566" w:rsidRDefault="00872D97" w:rsidP="003F51BA">
      <w:pPr>
        <w:spacing w:before="0" w:after="0"/>
        <w:jc w:val="center"/>
        <w:rPr>
          <w:rFonts w:asciiTheme="minorHAnsi" w:eastAsia="Times New Roman" w:hAnsiTheme="minorHAnsi" w:cstheme="minorHAnsi"/>
          <w:sz w:val="18"/>
          <w:szCs w:val="18"/>
        </w:rPr>
      </w:pPr>
      <w:r w:rsidRPr="00872D97">
        <w:rPr>
          <w:noProof/>
          <w:lang w:val="en-IN" w:eastAsia="en-IN"/>
        </w:rPr>
        <w:drawing>
          <wp:inline distT="0" distB="0" distL="0" distR="0" wp14:anchorId="4EF6B570" wp14:editId="382A938C">
            <wp:extent cx="4581119" cy="18751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065" b="1782"/>
                    <a:stretch/>
                  </pic:blipFill>
                  <pic:spPr bwMode="auto">
                    <a:xfrm>
                      <a:off x="0" y="0"/>
                      <a:ext cx="4678611" cy="1915023"/>
                    </a:xfrm>
                    <a:prstGeom prst="rect">
                      <a:avLst/>
                    </a:prstGeom>
                    <a:ln>
                      <a:noFill/>
                    </a:ln>
                    <a:extLst>
                      <a:ext uri="{53640926-AAD7-44D8-BBD7-CCE9431645EC}">
                        <a14:shadowObscured xmlns:a14="http://schemas.microsoft.com/office/drawing/2010/main"/>
                      </a:ext>
                    </a:extLst>
                  </pic:spPr>
                </pic:pic>
              </a:graphicData>
            </a:graphic>
          </wp:inline>
        </w:drawing>
      </w:r>
    </w:p>
    <w:p w14:paraId="625602E4" w14:textId="6864D581" w:rsidR="00990347" w:rsidRPr="00C50733" w:rsidRDefault="00990347" w:rsidP="00442A67">
      <w:pPr>
        <w:pStyle w:val="ListParagraph"/>
        <w:numPr>
          <w:ilvl w:val="2"/>
          <w:numId w:val="18"/>
        </w:numPr>
        <w:tabs>
          <w:tab w:val="left" w:pos="900"/>
        </w:tabs>
        <w:ind w:left="634" w:hanging="634"/>
        <w:contextualSpacing w:val="0"/>
        <w:jc w:val="both"/>
        <w:rPr>
          <w:rFonts w:asciiTheme="minorHAnsi" w:hAnsiTheme="minorHAnsi" w:cstheme="minorHAnsi"/>
          <w:b/>
          <w:sz w:val="24"/>
        </w:rPr>
      </w:pPr>
      <w:r>
        <w:rPr>
          <w:rFonts w:asciiTheme="minorHAnsi" w:hAnsiTheme="minorHAnsi" w:cstheme="minorHAnsi"/>
          <w:b/>
          <w:sz w:val="24"/>
        </w:rPr>
        <w:lastRenderedPageBreak/>
        <w:t>TB HIV</w:t>
      </w:r>
    </w:p>
    <w:p w14:paraId="24CAD04B" w14:textId="6403BC38" w:rsidR="00AB6761" w:rsidRDefault="00263335" w:rsidP="00AB6761">
      <w:pPr>
        <w:tabs>
          <w:tab w:val="left" w:pos="900"/>
        </w:tabs>
        <w:spacing w:before="0" w:after="0"/>
        <w:jc w:val="both"/>
        <w:rPr>
          <w:rFonts w:asciiTheme="minorHAnsi" w:hAnsiTheme="minorHAnsi" w:cstheme="minorHAnsi"/>
          <w:sz w:val="22"/>
          <w:szCs w:val="16"/>
          <w:lang w:val="en"/>
        </w:rPr>
      </w:pPr>
      <w:r w:rsidRPr="00263335">
        <w:rPr>
          <w:rFonts w:asciiTheme="minorHAnsi" w:hAnsiTheme="minorHAnsi" w:cstheme="minorHAnsi"/>
          <w:sz w:val="22"/>
          <w:szCs w:val="16"/>
          <w:lang w:val="en"/>
        </w:rPr>
        <w:t xml:space="preserve">HIV testing has substantially increased overtime; from around 11 percent in tested 2008 to more than 81 percent tested in 2019.  During this time, the percent with positive results has significantly declined (Figure </w:t>
      </w:r>
      <w:r w:rsidR="004D3907">
        <w:rPr>
          <w:rFonts w:asciiTheme="minorHAnsi" w:hAnsiTheme="minorHAnsi" w:cstheme="minorHAnsi"/>
          <w:sz w:val="22"/>
          <w:szCs w:val="16"/>
          <w:lang w:val="en"/>
        </w:rPr>
        <w:t>11</w:t>
      </w:r>
      <w:r w:rsidRPr="00263335">
        <w:rPr>
          <w:rFonts w:asciiTheme="minorHAnsi" w:hAnsiTheme="minorHAnsi" w:cstheme="minorHAnsi"/>
          <w:sz w:val="22"/>
          <w:szCs w:val="16"/>
          <w:lang w:val="en"/>
        </w:rPr>
        <w:t>).  In 2019, 46,741 TB patients tested positive for HIV</w:t>
      </w:r>
      <w:r w:rsidR="00AB6761">
        <w:rPr>
          <w:rFonts w:asciiTheme="minorHAnsi" w:hAnsiTheme="minorHAnsi" w:cstheme="minorHAnsi"/>
          <w:sz w:val="22"/>
          <w:szCs w:val="16"/>
          <w:lang w:val="en"/>
        </w:rPr>
        <w:t xml:space="preserve"> </w:t>
      </w:r>
      <w:r w:rsidR="00AB6761" w:rsidRPr="00263335">
        <w:rPr>
          <w:rFonts w:asciiTheme="minorHAnsi" w:hAnsiTheme="minorHAnsi" w:cstheme="minorHAnsi"/>
          <w:sz w:val="22"/>
          <w:szCs w:val="16"/>
          <w:lang w:val="en"/>
        </w:rPr>
        <w:t>44,</w:t>
      </w:r>
      <w:r w:rsidR="00AB6761">
        <w:rPr>
          <w:rFonts w:asciiTheme="minorHAnsi" w:hAnsiTheme="minorHAnsi" w:cstheme="minorHAnsi"/>
          <w:sz w:val="22"/>
          <w:szCs w:val="16"/>
          <w:lang w:val="en"/>
        </w:rPr>
        <w:t xml:space="preserve">517 </w:t>
      </w:r>
      <w:r w:rsidR="00AB6761" w:rsidRPr="00263335">
        <w:rPr>
          <w:rFonts w:asciiTheme="minorHAnsi" w:hAnsiTheme="minorHAnsi" w:cstheme="minorHAnsi"/>
          <w:sz w:val="22"/>
          <w:szCs w:val="16"/>
          <w:lang w:val="en"/>
        </w:rPr>
        <w:t>(9</w:t>
      </w:r>
      <w:r w:rsidR="00AB6761">
        <w:rPr>
          <w:rFonts w:asciiTheme="minorHAnsi" w:hAnsiTheme="minorHAnsi" w:cstheme="minorHAnsi"/>
          <w:sz w:val="22"/>
          <w:szCs w:val="16"/>
          <w:lang w:val="en"/>
        </w:rPr>
        <w:t>5</w:t>
      </w:r>
      <w:r w:rsidR="00AB6761" w:rsidRPr="00263335">
        <w:rPr>
          <w:rFonts w:asciiTheme="minorHAnsi" w:hAnsiTheme="minorHAnsi" w:cstheme="minorHAnsi"/>
          <w:sz w:val="22"/>
          <w:szCs w:val="16"/>
          <w:lang w:val="en"/>
        </w:rPr>
        <w:t xml:space="preserve"> percent)</w:t>
      </w:r>
      <w:r w:rsidR="00AB6761">
        <w:rPr>
          <w:rFonts w:asciiTheme="minorHAnsi" w:hAnsiTheme="minorHAnsi" w:cstheme="minorHAnsi"/>
          <w:sz w:val="22"/>
          <w:szCs w:val="16"/>
          <w:lang w:val="en"/>
        </w:rPr>
        <w:t xml:space="preserve"> (M - 30290, F - 14112, TG - 115)</w:t>
      </w:r>
      <w:r w:rsidR="00AB6761" w:rsidRPr="00263335">
        <w:rPr>
          <w:rFonts w:asciiTheme="minorHAnsi" w:hAnsiTheme="minorHAnsi" w:cstheme="minorHAnsi"/>
          <w:sz w:val="22"/>
          <w:szCs w:val="16"/>
          <w:lang w:val="en"/>
        </w:rPr>
        <w:t xml:space="preserve"> received ART.      </w:t>
      </w:r>
    </w:p>
    <w:p w14:paraId="6E0C65A8" w14:textId="33386F69" w:rsidR="00990347" w:rsidRPr="0032362B" w:rsidRDefault="00491B74" w:rsidP="00C129C4">
      <w:pPr>
        <w:tabs>
          <w:tab w:val="left" w:pos="900"/>
        </w:tabs>
        <w:spacing w:before="0" w:after="0"/>
        <w:jc w:val="both"/>
        <w:rPr>
          <w:rFonts w:asciiTheme="minorHAnsi" w:hAnsiTheme="minorHAnsi" w:cstheme="minorHAnsi"/>
          <w:b/>
          <w:sz w:val="18"/>
          <w:szCs w:val="16"/>
          <w:lang w:val="en"/>
        </w:rPr>
      </w:pPr>
      <w:r>
        <w:rPr>
          <w:rFonts w:asciiTheme="minorHAnsi" w:hAnsiTheme="minorHAnsi" w:cstheme="minorHAnsi"/>
          <w:b/>
          <w:sz w:val="18"/>
          <w:szCs w:val="16"/>
          <w:lang w:val="en"/>
        </w:rPr>
        <w:t xml:space="preserve">Figure </w:t>
      </w:r>
      <w:r w:rsidR="00DB311B">
        <w:rPr>
          <w:rFonts w:asciiTheme="minorHAnsi" w:hAnsiTheme="minorHAnsi" w:cstheme="minorHAnsi"/>
          <w:b/>
          <w:sz w:val="18"/>
          <w:szCs w:val="16"/>
          <w:lang w:val="en"/>
        </w:rPr>
        <w:t>11</w:t>
      </w:r>
      <w:r w:rsidR="00990347" w:rsidRPr="0032362B">
        <w:rPr>
          <w:rFonts w:asciiTheme="minorHAnsi" w:hAnsiTheme="minorHAnsi" w:cstheme="minorHAnsi"/>
          <w:b/>
          <w:sz w:val="18"/>
          <w:szCs w:val="16"/>
          <w:lang w:val="en"/>
        </w:rPr>
        <w:t>: Number of TB patients tested for HIV and percent with pos</w:t>
      </w:r>
      <w:r w:rsidR="00263335">
        <w:rPr>
          <w:rFonts w:asciiTheme="minorHAnsi" w:hAnsiTheme="minorHAnsi" w:cstheme="minorHAnsi"/>
          <w:b/>
          <w:sz w:val="18"/>
          <w:szCs w:val="16"/>
          <w:lang w:val="en"/>
        </w:rPr>
        <w:t>itive results – India, 2000–2019</w:t>
      </w:r>
      <w:r w:rsidR="00990347" w:rsidRPr="0032362B">
        <w:rPr>
          <w:rFonts w:asciiTheme="minorHAnsi" w:hAnsiTheme="minorHAnsi" w:cstheme="minorHAnsi"/>
          <w:b/>
          <w:sz w:val="18"/>
          <w:szCs w:val="16"/>
          <w:lang w:val="en"/>
        </w:rPr>
        <w:t>.</w:t>
      </w:r>
    </w:p>
    <w:p w14:paraId="6CA4D35E" w14:textId="3591A113" w:rsidR="00990347" w:rsidRPr="0032362B" w:rsidRDefault="00990347" w:rsidP="00C129C4">
      <w:pPr>
        <w:tabs>
          <w:tab w:val="left" w:pos="900"/>
        </w:tabs>
        <w:spacing w:before="0" w:after="0"/>
        <w:jc w:val="both"/>
        <w:rPr>
          <w:rFonts w:asciiTheme="minorHAnsi" w:hAnsiTheme="minorHAnsi" w:cstheme="minorHAnsi"/>
          <w:b/>
          <w:sz w:val="18"/>
          <w:szCs w:val="16"/>
          <w:lang w:val="en"/>
        </w:rPr>
      </w:pPr>
      <w:r w:rsidRPr="0032362B">
        <w:rPr>
          <w:rFonts w:asciiTheme="minorHAnsi" w:hAnsiTheme="minorHAnsi" w:cstheme="minorHAnsi"/>
          <w:b/>
          <w:sz w:val="18"/>
          <w:szCs w:val="16"/>
          <w:lang w:val="en"/>
        </w:rPr>
        <w:t xml:space="preserve">Source:  </w:t>
      </w:r>
      <w:r w:rsidR="007B135B" w:rsidRPr="0032362B">
        <w:rPr>
          <w:rFonts w:asciiTheme="minorHAnsi" w:hAnsiTheme="minorHAnsi" w:cstheme="minorHAnsi"/>
          <w:b/>
          <w:sz w:val="18"/>
          <w:szCs w:val="16"/>
          <w:lang w:val="en"/>
        </w:rPr>
        <w:t>NTEP</w:t>
      </w:r>
      <w:r w:rsidR="00263335">
        <w:rPr>
          <w:rFonts w:asciiTheme="minorHAnsi" w:hAnsiTheme="minorHAnsi" w:cstheme="minorHAnsi"/>
          <w:b/>
          <w:sz w:val="18"/>
          <w:szCs w:val="16"/>
          <w:lang w:val="en"/>
        </w:rPr>
        <w:t xml:space="preserve"> Programme Data, 2020</w:t>
      </w:r>
      <w:r w:rsidRPr="0032362B">
        <w:rPr>
          <w:rFonts w:asciiTheme="minorHAnsi" w:hAnsiTheme="minorHAnsi" w:cstheme="minorHAnsi"/>
          <w:b/>
          <w:sz w:val="18"/>
          <w:szCs w:val="16"/>
          <w:lang w:val="en"/>
        </w:rPr>
        <w:t xml:space="preserve">.  </w:t>
      </w:r>
    </w:p>
    <w:p w14:paraId="0A4DA860" w14:textId="1C6AAC40" w:rsidR="00990347" w:rsidRPr="00C50733" w:rsidRDefault="004D0F85" w:rsidP="003F51BA">
      <w:pPr>
        <w:tabs>
          <w:tab w:val="left" w:pos="900"/>
        </w:tabs>
        <w:spacing w:before="0" w:after="0"/>
        <w:jc w:val="center"/>
        <w:rPr>
          <w:rFonts w:asciiTheme="minorHAnsi" w:hAnsiTheme="minorHAnsi" w:cstheme="minorHAnsi"/>
          <w:b/>
          <w:sz w:val="16"/>
          <w:szCs w:val="16"/>
          <w:lang w:val="en"/>
        </w:rPr>
      </w:pPr>
      <w:r w:rsidRPr="004D0F85">
        <w:rPr>
          <w:noProof/>
          <w:lang w:val="en-IN" w:eastAsia="en-IN"/>
        </w:rPr>
        <w:drawing>
          <wp:inline distT="0" distB="0" distL="0" distR="0" wp14:anchorId="435ECAEC" wp14:editId="546B2824">
            <wp:extent cx="5732145" cy="32385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3238500"/>
                    </a:xfrm>
                    <a:prstGeom prst="rect">
                      <a:avLst/>
                    </a:prstGeom>
                  </pic:spPr>
                </pic:pic>
              </a:graphicData>
            </a:graphic>
          </wp:inline>
        </w:drawing>
      </w:r>
    </w:p>
    <w:p w14:paraId="1288B657" w14:textId="356BC8DF" w:rsidR="005B002A" w:rsidRPr="00DF5566" w:rsidRDefault="00DF5566" w:rsidP="00442A67">
      <w:pPr>
        <w:pStyle w:val="ListParagraph"/>
        <w:numPr>
          <w:ilvl w:val="2"/>
          <w:numId w:val="18"/>
        </w:numPr>
        <w:tabs>
          <w:tab w:val="left" w:pos="900"/>
        </w:tabs>
        <w:ind w:left="634" w:hanging="634"/>
        <w:contextualSpacing w:val="0"/>
        <w:jc w:val="both"/>
        <w:rPr>
          <w:rFonts w:asciiTheme="minorHAnsi" w:hAnsiTheme="minorHAnsi" w:cstheme="minorHAnsi"/>
          <w:b/>
          <w:sz w:val="24"/>
        </w:rPr>
      </w:pPr>
      <w:r w:rsidRPr="00DF5566">
        <w:rPr>
          <w:rFonts w:asciiTheme="minorHAnsi" w:hAnsiTheme="minorHAnsi" w:cstheme="minorHAnsi"/>
          <w:b/>
          <w:sz w:val="24"/>
        </w:rPr>
        <w:t>Vulnerable populations: children, elderly, women</w:t>
      </w:r>
    </w:p>
    <w:p w14:paraId="05365A1A" w14:textId="3C764E32" w:rsidR="000D04B0" w:rsidRDefault="00AB6761" w:rsidP="00DF067C">
      <w:pPr>
        <w:spacing w:before="0" w:after="0"/>
        <w:jc w:val="both"/>
        <w:rPr>
          <w:rFonts w:asciiTheme="minorHAnsi" w:hAnsiTheme="minorHAnsi" w:cstheme="minorHAnsi"/>
          <w:b/>
          <w:sz w:val="18"/>
          <w:szCs w:val="16"/>
        </w:rPr>
      </w:pPr>
      <w:r w:rsidRPr="00AB6761">
        <w:rPr>
          <w:rFonts w:asciiTheme="minorHAnsi" w:eastAsia="Times New Roman" w:hAnsiTheme="minorHAnsi" w:cstheme="minorHAnsi"/>
          <w:sz w:val="22"/>
        </w:rPr>
        <w:t>India also contributes to nearly one-third of all pediatric cases in the world and about 13 percent of all notified cases were estimated to be in children aged 0 – 14 years. Children continue to be relatively underrepresented in the national TB surveillance system. While, the number of notifications amongst 0–14-year-old patients substantially increased over the past five years (n=85,780 in 2015 to n=151,286 in 2019) (M - 75771, F - 75354, TG - 161), children are only a minor fraction of total notifications each year (around six percent annually).  There also appears to be substantial geographic variation in pediatric notification. The Geriatric age group constitutes about 12% of the TB notification in the country.</w:t>
      </w:r>
    </w:p>
    <w:p w14:paraId="372972B3" w14:textId="47E64776" w:rsidR="00DF067C" w:rsidRPr="0032362B" w:rsidRDefault="00DF067C" w:rsidP="00DF067C">
      <w:pPr>
        <w:spacing w:before="0" w:after="0"/>
        <w:jc w:val="both"/>
        <w:rPr>
          <w:rFonts w:asciiTheme="minorHAnsi" w:hAnsiTheme="minorHAnsi" w:cstheme="minorHAnsi"/>
          <w:b/>
          <w:sz w:val="18"/>
          <w:szCs w:val="16"/>
        </w:rPr>
      </w:pPr>
      <w:r w:rsidRPr="0032362B">
        <w:rPr>
          <w:rFonts w:asciiTheme="minorHAnsi" w:hAnsiTheme="minorHAnsi" w:cstheme="minorHAnsi"/>
          <w:b/>
          <w:sz w:val="18"/>
          <w:szCs w:val="16"/>
        </w:rPr>
        <w:t xml:space="preserve">Figure </w:t>
      </w:r>
      <w:r w:rsidR="00DB311B">
        <w:rPr>
          <w:rFonts w:asciiTheme="minorHAnsi" w:hAnsiTheme="minorHAnsi" w:cstheme="minorHAnsi"/>
          <w:b/>
          <w:sz w:val="18"/>
          <w:szCs w:val="16"/>
        </w:rPr>
        <w:t>12</w:t>
      </w:r>
      <w:r w:rsidRPr="0032362B">
        <w:rPr>
          <w:rFonts w:asciiTheme="minorHAnsi" w:hAnsiTheme="minorHAnsi" w:cstheme="minorHAnsi"/>
          <w:b/>
          <w:sz w:val="18"/>
          <w:szCs w:val="16"/>
        </w:rPr>
        <w:t>.  Proportion of pediatric notifications (0–14 year old) amongst all notifica</w:t>
      </w:r>
      <w:r w:rsidR="00DB311B">
        <w:rPr>
          <w:rFonts w:asciiTheme="minorHAnsi" w:hAnsiTheme="minorHAnsi" w:cstheme="minorHAnsi"/>
          <w:b/>
          <w:sz w:val="18"/>
          <w:szCs w:val="16"/>
        </w:rPr>
        <w:t>tions by geography – India, 2019</w:t>
      </w:r>
      <w:r w:rsidRPr="0032362B">
        <w:rPr>
          <w:rFonts w:asciiTheme="minorHAnsi" w:hAnsiTheme="minorHAnsi" w:cstheme="minorHAnsi"/>
          <w:b/>
          <w:sz w:val="18"/>
          <w:szCs w:val="16"/>
        </w:rPr>
        <w:t>.</w:t>
      </w:r>
    </w:p>
    <w:p w14:paraId="79E6B1BD" w14:textId="38C19B5C" w:rsidR="00DF067C" w:rsidRPr="0032362B" w:rsidRDefault="00DF067C" w:rsidP="00DF067C">
      <w:pPr>
        <w:spacing w:before="0" w:after="0"/>
        <w:rPr>
          <w:rFonts w:asciiTheme="minorHAnsi" w:hAnsiTheme="minorHAnsi" w:cstheme="minorHAnsi"/>
          <w:b/>
          <w:sz w:val="18"/>
          <w:szCs w:val="16"/>
        </w:rPr>
      </w:pPr>
      <w:r w:rsidRPr="0032362B">
        <w:rPr>
          <w:rFonts w:asciiTheme="minorHAnsi" w:hAnsiTheme="minorHAnsi" w:cstheme="minorHAnsi"/>
          <w:b/>
          <w:sz w:val="18"/>
          <w:szCs w:val="16"/>
        </w:rPr>
        <w:t xml:space="preserve">Source:  </w:t>
      </w:r>
      <w:r w:rsidR="007B135B" w:rsidRPr="0032362B">
        <w:rPr>
          <w:rFonts w:asciiTheme="minorHAnsi" w:hAnsiTheme="minorHAnsi" w:cstheme="minorHAnsi"/>
          <w:b/>
          <w:sz w:val="18"/>
          <w:szCs w:val="16"/>
        </w:rPr>
        <w:t>NTEP</w:t>
      </w:r>
      <w:r w:rsidR="00720200">
        <w:rPr>
          <w:rFonts w:asciiTheme="minorHAnsi" w:hAnsiTheme="minorHAnsi" w:cstheme="minorHAnsi"/>
          <w:b/>
          <w:sz w:val="18"/>
          <w:szCs w:val="16"/>
        </w:rPr>
        <w:t xml:space="preserve"> Programme Data, 2020</w:t>
      </w:r>
      <w:r w:rsidRPr="0032362B">
        <w:rPr>
          <w:rFonts w:asciiTheme="minorHAnsi" w:hAnsiTheme="minorHAnsi" w:cstheme="minorHAnsi"/>
          <w:b/>
          <w:sz w:val="18"/>
          <w:szCs w:val="16"/>
        </w:rPr>
        <w:t xml:space="preserve">.  </w:t>
      </w:r>
    </w:p>
    <w:p w14:paraId="5AFBB832" w14:textId="2C629289" w:rsidR="004D6242" w:rsidRDefault="004D6242" w:rsidP="00DF067C">
      <w:pPr>
        <w:tabs>
          <w:tab w:val="left" w:pos="900"/>
        </w:tabs>
        <w:spacing w:before="0" w:after="0"/>
        <w:jc w:val="both"/>
        <w:rPr>
          <w:rFonts w:asciiTheme="minorHAnsi" w:eastAsia="Times New Roman" w:hAnsiTheme="minorHAnsi" w:cstheme="minorHAnsi"/>
          <w:sz w:val="22"/>
          <w:lang w:val="en"/>
        </w:rPr>
      </w:pPr>
      <w:r w:rsidRPr="004D6242">
        <w:rPr>
          <w:noProof/>
          <w:lang w:val="en-IN" w:eastAsia="en-IN"/>
        </w:rPr>
        <w:drawing>
          <wp:inline distT="0" distB="0" distL="0" distR="0" wp14:anchorId="5C9C5F9E" wp14:editId="2DEFD574">
            <wp:extent cx="6042378" cy="21781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45408" cy="2179213"/>
                    </a:xfrm>
                    <a:prstGeom prst="rect">
                      <a:avLst/>
                    </a:prstGeom>
                  </pic:spPr>
                </pic:pic>
              </a:graphicData>
            </a:graphic>
          </wp:inline>
        </w:drawing>
      </w:r>
    </w:p>
    <w:p w14:paraId="2369CDEA" w14:textId="4EEFC6ED" w:rsidR="0022752C" w:rsidRPr="0022752C" w:rsidRDefault="0022752C" w:rsidP="00C129C4">
      <w:pPr>
        <w:tabs>
          <w:tab w:val="left" w:pos="900"/>
        </w:tabs>
        <w:spacing w:before="0" w:after="0"/>
        <w:jc w:val="both"/>
        <w:rPr>
          <w:rFonts w:asciiTheme="minorHAnsi" w:eastAsia="Times New Roman" w:hAnsiTheme="minorHAnsi" w:cstheme="minorHAnsi"/>
          <w:sz w:val="22"/>
          <w:lang w:val="en"/>
        </w:rPr>
      </w:pPr>
      <w:r w:rsidRPr="0022752C">
        <w:rPr>
          <w:rFonts w:asciiTheme="minorHAnsi" w:eastAsia="Times New Roman" w:hAnsiTheme="minorHAnsi" w:cstheme="minorHAnsi"/>
          <w:sz w:val="22"/>
          <w:lang w:val="en"/>
        </w:rPr>
        <w:lastRenderedPageBreak/>
        <w:t>Women-specific TB notifications have increased across all age strata since 2012, but TB notifications are substanti</w:t>
      </w:r>
      <w:r w:rsidR="004D3907">
        <w:rPr>
          <w:rFonts w:asciiTheme="minorHAnsi" w:eastAsia="Times New Roman" w:hAnsiTheme="minorHAnsi" w:cstheme="minorHAnsi"/>
          <w:sz w:val="22"/>
          <w:lang w:val="en"/>
        </w:rPr>
        <w:t>ally more amongst men (Figure 13</w:t>
      </w:r>
      <w:r w:rsidRPr="0022752C">
        <w:rPr>
          <w:rFonts w:asciiTheme="minorHAnsi" w:eastAsia="Times New Roman" w:hAnsiTheme="minorHAnsi" w:cstheme="minorHAnsi"/>
          <w:sz w:val="22"/>
          <w:lang w:val="en"/>
        </w:rPr>
        <w:t>).</w:t>
      </w:r>
    </w:p>
    <w:p w14:paraId="733E2A36" w14:textId="3C79C8A3" w:rsidR="0022752C" w:rsidRPr="0032362B" w:rsidRDefault="00491B74" w:rsidP="00C129C4">
      <w:pPr>
        <w:spacing w:before="0" w:after="0"/>
        <w:jc w:val="both"/>
        <w:rPr>
          <w:rFonts w:asciiTheme="minorHAnsi" w:eastAsia="Times New Roman" w:hAnsiTheme="minorHAnsi" w:cstheme="minorHAnsi"/>
          <w:b/>
          <w:sz w:val="18"/>
          <w:szCs w:val="16"/>
        </w:rPr>
      </w:pPr>
      <w:r>
        <w:rPr>
          <w:rFonts w:asciiTheme="minorHAnsi" w:eastAsia="Times New Roman" w:hAnsiTheme="minorHAnsi" w:cstheme="minorHAnsi"/>
          <w:b/>
          <w:sz w:val="18"/>
          <w:szCs w:val="16"/>
        </w:rPr>
        <w:t>Figure 1</w:t>
      </w:r>
      <w:r w:rsidR="000D18DE">
        <w:rPr>
          <w:rFonts w:asciiTheme="minorHAnsi" w:eastAsia="Times New Roman" w:hAnsiTheme="minorHAnsi" w:cstheme="minorHAnsi"/>
          <w:b/>
          <w:sz w:val="18"/>
          <w:szCs w:val="16"/>
        </w:rPr>
        <w:t>3</w:t>
      </w:r>
      <w:r w:rsidR="0022752C" w:rsidRPr="0032362B">
        <w:rPr>
          <w:rFonts w:asciiTheme="minorHAnsi" w:eastAsia="Times New Roman" w:hAnsiTheme="minorHAnsi" w:cstheme="minorHAnsi"/>
          <w:b/>
          <w:sz w:val="18"/>
          <w:szCs w:val="16"/>
        </w:rPr>
        <w:t>.  Age and sex</w:t>
      </w:r>
      <w:r w:rsidR="003F5383">
        <w:rPr>
          <w:rFonts w:asciiTheme="minorHAnsi" w:eastAsia="Times New Roman" w:hAnsiTheme="minorHAnsi" w:cstheme="minorHAnsi"/>
          <w:b/>
          <w:sz w:val="18"/>
          <w:szCs w:val="16"/>
        </w:rPr>
        <w:t xml:space="preserve"> </w:t>
      </w:r>
      <w:r w:rsidR="0022752C" w:rsidRPr="0032362B">
        <w:rPr>
          <w:rFonts w:asciiTheme="minorHAnsi" w:eastAsia="Times New Roman" w:hAnsiTheme="minorHAnsi" w:cstheme="minorHAnsi"/>
          <w:b/>
          <w:sz w:val="18"/>
          <w:szCs w:val="16"/>
        </w:rPr>
        <w:t>specific notification per 100,000 person</w:t>
      </w:r>
      <w:r w:rsidR="003F5383">
        <w:rPr>
          <w:rFonts w:asciiTheme="minorHAnsi" w:eastAsia="Times New Roman" w:hAnsiTheme="minorHAnsi" w:cstheme="minorHAnsi"/>
          <w:b/>
          <w:sz w:val="18"/>
          <w:szCs w:val="16"/>
        </w:rPr>
        <w:t>: India, 2012 and 2019</w:t>
      </w:r>
      <w:r w:rsidR="0022752C" w:rsidRPr="0032362B">
        <w:rPr>
          <w:rFonts w:asciiTheme="minorHAnsi" w:eastAsia="Times New Roman" w:hAnsiTheme="minorHAnsi" w:cstheme="minorHAnsi"/>
          <w:b/>
          <w:sz w:val="18"/>
          <w:szCs w:val="16"/>
        </w:rPr>
        <w:t>.</w:t>
      </w:r>
    </w:p>
    <w:p w14:paraId="32E65387" w14:textId="23294E6B" w:rsidR="0022752C" w:rsidRPr="0032362B" w:rsidRDefault="0022752C" w:rsidP="00C129C4">
      <w:pPr>
        <w:spacing w:before="0" w:after="0"/>
        <w:jc w:val="both"/>
        <w:rPr>
          <w:rFonts w:asciiTheme="minorHAnsi" w:eastAsia="Times New Roman" w:hAnsiTheme="minorHAnsi" w:cstheme="minorHAnsi"/>
          <w:b/>
          <w:sz w:val="18"/>
          <w:szCs w:val="16"/>
        </w:rPr>
      </w:pPr>
      <w:r w:rsidRPr="0032362B">
        <w:rPr>
          <w:rFonts w:asciiTheme="minorHAnsi" w:eastAsia="Times New Roman" w:hAnsiTheme="minorHAnsi" w:cstheme="minorHAnsi"/>
          <w:b/>
          <w:sz w:val="18"/>
          <w:szCs w:val="16"/>
        </w:rPr>
        <w:t xml:space="preserve">Source:  </w:t>
      </w:r>
      <w:r w:rsidR="007B135B" w:rsidRPr="0032362B">
        <w:rPr>
          <w:rFonts w:asciiTheme="minorHAnsi" w:eastAsia="Times New Roman" w:hAnsiTheme="minorHAnsi" w:cstheme="minorHAnsi"/>
          <w:b/>
          <w:sz w:val="18"/>
          <w:szCs w:val="16"/>
        </w:rPr>
        <w:t>NTEP</w:t>
      </w:r>
      <w:r w:rsidR="003F5383">
        <w:rPr>
          <w:rFonts w:asciiTheme="minorHAnsi" w:eastAsia="Times New Roman" w:hAnsiTheme="minorHAnsi" w:cstheme="minorHAnsi"/>
          <w:b/>
          <w:sz w:val="18"/>
          <w:szCs w:val="16"/>
        </w:rPr>
        <w:t xml:space="preserve"> Programme Data, 2020</w:t>
      </w:r>
      <w:r w:rsidRPr="0032362B">
        <w:rPr>
          <w:rFonts w:asciiTheme="minorHAnsi" w:eastAsia="Times New Roman" w:hAnsiTheme="minorHAnsi" w:cstheme="minorHAnsi"/>
          <w:b/>
          <w:sz w:val="18"/>
          <w:szCs w:val="16"/>
        </w:rPr>
        <w:t xml:space="preserve">.  </w:t>
      </w:r>
    </w:p>
    <w:p w14:paraId="32A32488" w14:textId="7E314630" w:rsidR="00DF067C" w:rsidRPr="0022752C" w:rsidRDefault="003F5383" w:rsidP="0014117A">
      <w:pPr>
        <w:spacing w:before="0" w:after="0"/>
        <w:jc w:val="both"/>
        <w:rPr>
          <w:rFonts w:ascii="Times New Roman" w:eastAsia="Times New Roman" w:hAnsi="Times New Roman"/>
          <w:b/>
          <w:sz w:val="16"/>
          <w:szCs w:val="16"/>
        </w:rPr>
      </w:pPr>
      <w:r w:rsidRPr="003F5383">
        <w:rPr>
          <w:noProof/>
          <w:lang w:val="en-IN" w:eastAsia="en-IN"/>
        </w:rPr>
        <w:drawing>
          <wp:inline distT="0" distB="0" distL="0" distR="0" wp14:anchorId="435EAD94" wp14:editId="64DC9DF4">
            <wp:extent cx="5227093" cy="2372372"/>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6431" cy="2376610"/>
                    </a:xfrm>
                    <a:prstGeom prst="rect">
                      <a:avLst/>
                    </a:prstGeom>
                  </pic:spPr>
                </pic:pic>
              </a:graphicData>
            </a:graphic>
          </wp:inline>
        </w:drawing>
      </w:r>
    </w:p>
    <w:p w14:paraId="25C332DC" w14:textId="638B5811" w:rsidR="00F3316E" w:rsidRPr="00EC3830" w:rsidRDefault="00F3316E" w:rsidP="00442A67">
      <w:pPr>
        <w:pStyle w:val="ListParagraph"/>
        <w:numPr>
          <w:ilvl w:val="1"/>
          <w:numId w:val="18"/>
        </w:numPr>
        <w:ind w:left="450" w:hanging="450"/>
        <w:contextualSpacing w:val="0"/>
        <w:jc w:val="both"/>
        <w:rPr>
          <w:rFonts w:asciiTheme="minorHAnsi" w:hAnsiTheme="minorHAnsi" w:cstheme="minorHAnsi"/>
          <w:b/>
          <w:color w:val="C86A07" w:themeColor="accent2" w:themeShade="BF"/>
          <w:sz w:val="28"/>
        </w:rPr>
      </w:pPr>
      <w:r w:rsidRPr="00EC3830">
        <w:rPr>
          <w:rFonts w:asciiTheme="minorHAnsi" w:hAnsiTheme="minorHAnsi" w:cstheme="minorHAnsi"/>
          <w:b/>
          <w:color w:val="C86A07" w:themeColor="accent2" w:themeShade="BF"/>
          <w:sz w:val="28"/>
        </w:rPr>
        <w:t>Progress towards addressing the social determinants of TB (UHC, SDG3)</w:t>
      </w:r>
      <w:r w:rsidR="00693F1F" w:rsidRPr="00EC3830">
        <w:rPr>
          <w:rFonts w:asciiTheme="minorHAnsi" w:hAnsiTheme="minorHAnsi" w:cstheme="minorHAnsi"/>
          <w:b/>
          <w:color w:val="C86A07" w:themeColor="accent2" w:themeShade="BF"/>
          <w:sz w:val="28"/>
        </w:rPr>
        <w:t xml:space="preserve"> </w:t>
      </w:r>
      <w:r w:rsidRPr="00EC3830">
        <w:rPr>
          <w:rFonts w:asciiTheme="minorHAnsi" w:hAnsiTheme="minorHAnsi" w:cstheme="minorHAnsi"/>
          <w:b/>
          <w:color w:val="C86A07" w:themeColor="accent2" w:themeShade="BF"/>
          <w:sz w:val="28"/>
        </w:rPr>
        <w:t>and the Global</w:t>
      </w:r>
      <w:r w:rsidR="00693F1F" w:rsidRPr="00EC3830">
        <w:rPr>
          <w:rFonts w:asciiTheme="minorHAnsi" w:hAnsiTheme="minorHAnsi" w:cstheme="minorHAnsi"/>
          <w:b/>
          <w:color w:val="C86A07" w:themeColor="accent2" w:themeShade="BF"/>
          <w:sz w:val="28"/>
        </w:rPr>
        <w:t xml:space="preserve"> </w:t>
      </w:r>
      <w:r w:rsidRPr="00EC3830">
        <w:rPr>
          <w:rFonts w:asciiTheme="minorHAnsi" w:hAnsiTheme="minorHAnsi" w:cstheme="minorHAnsi"/>
          <w:b/>
          <w:color w:val="C86A07" w:themeColor="accent2" w:themeShade="BF"/>
          <w:sz w:val="28"/>
        </w:rPr>
        <w:t>commitments</w:t>
      </w:r>
      <w:r w:rsidR="00284E7D" w:rsidRPr="00EC3830">
        <w:rPr>
          <w:rFonts w:asciiTheme="minorHAnsi" w:hAnsiTheme="minorHAnsi" w:cstheme="minorHAnsi"/>
          <w:b/>
          <w:color w:val="C86A07" w:themeColor="accent2" w:themeShade="BF"/>
          <w:sz w:val="28"/>
        </w:rPr>
        <w:t xml:space="preserve"> </w:t>
      </w:r>
    </w:p>
    <w:p w14:paraId="2286B5ED" w14:textId="2EFACE4D" w:rsidR="00293B20" w:rsidRDefault="00284E7D" w:rsidP="00293B20">
      <w:pPr>
        <w:spacing w:after="0"/>
        <w:jc w:val="both"/>
        <w:rPr>
          <w:rFonts w:asciiTheme="minorHAnsi" w:eastAsia="Times New Roman" w:hAnsiTheme="minorHAnsi" w:cstheme="minorHAnsi"/>
          <w:sz w:val="22"/>
        </w:rPr>
      </w:pPr>
      <w:r w:rsidRPr="0027705A">
        <w:rPr>
          <w:rFonts w:asciiTheme="minorHAnsi" w:eastAsia="Times New Roman" w:hAnsiTheme="minorHAnsi" w:cstheme="minorHAnsi"/>
          <w:sz w:val="22"/>
        </w:rPr>
        <w:t>India is simultaneously burdened by multiple health conditions that have been associated with TB, including undernutrition, diabetes, excessive alcohol use, and tobacco smoking.  These syn</w:t>
      </w:r>
      <w:r w:rsidR="008C22D0" w:rsidRPr="0027705A">
        <w:rPr>
          <w:rFonts w:asciiTheme="minorHAnsi" w:eastAsia="Times New Roman" w:hAnsiTheme="minorHAnsi" w:cstheme="minorHAnsi"/>
          <w:sz w:val="22"/>
        </w:rPr>
        <w:t>demics</w:t>
      </w:r>
      <w:r w:rsidR="008C22D0" w:rsidRPr="0027705A">
        <w:rPr>
          <w:rStyle w:val="FootnoteReference"/>
          <w:rFonts w:asciiTheme="minorHAnsi" w:eastAsia="Times New Roman" w:hAnsiTheme="minorHAnsi" w:cstheme="minorHAnsi"/>
          <w:sz w:val="22"/>
          <w:szCs w:val="22"/>
        </w:rPr>
        <w:footnoteReference w:id="25"/>
      </w:r>
      <w:r w:rsidRPr="0027705A">
        <w:rPr>
          <w:rFonts w:asciiTheme="minorHAnsi" w:eastAsia="Times New Roman" w:hAnsiTheme="minorHAnsi" w:cstheme="minorHAnsi"/>
          <w:color w:val="3C4043"/>
          <w:sz w:val="22"/>
          <w:highlight w:val="white"/>
        </w:rPr>
        <w:t xml:space="preserve"> </w:t>
      </w:r>
      <w:r w:rsidRPr="0027705A">
        <w:rPr>
          <w:rFonts w:asciiTheme="minorHAnsi" w:eastAsia="Times New Roman" w:hAnsiTheme="minorHAnsi" w:cstheme="minorHAnsi"/>
          <w:sz w:val="22"/>
        </w:rPr>
        <w:t xml:space="preserve">are further fueled by poverty, indoor (e.g. solid cooking fuels) and outdoor air pollution, and overcrowding.  WHO published estimates of the number of TB patients attributable to the five main risk factors (HIV, diabetes, smoking, harmful use of alcohol, and undernourishment) based on mathematical </w:t>
      </w:r>
      <w:r w:rsidRPr="00872D97">
        <w:rPr>
          <w:rFonts w:asciiTheme="minorHAnsi" w:eastAsia="Times New Roman" w:hAnsiTheme="minorHAnsi" w:cstheme="minorHAnsi"/>
          <w:sz w:val="22"/>
        </w:rPr>
        <w:t>modeling and assum</w:t>
      </w:r>
      <w:r w:rsidR="008C22D0" w:rsidRPr="00872D97">
        <w:rPr>
          <w:rFonts w:asciiTheme="minorHAnsi" w:eastAsia="Times New Roman" w:hAnsiTheme="minorHAnsi" w:cstheme="minorHAnsi"/>
          <w:sz w:val="22"/>
        </w:rPr>
        <w:t>ptions</w:t>
      </w:r>
      <w:r w:rsidRPr="00872D97">
        <w:rPr>
          <w:rFonts w:asciiTheme="minorHAnsi" w:eastAsia="Times New Roman" w:hAnsiTheme="minorHAnsi" w:cstheme="minorHAnsi"/>
          <w:sz w:val="22"/>
        </w:rPr>
        <w:t xml:space="preserve"> from the Global Burden of Disease study</w:t>
      </w:r>
      <w:r w:rsidRPr="00872D97">
        <w:rPr>
          <w:rFonts w:asciiTheme="minorHAnsi" w:eastAsia="Times New Roman" w:hAnsiTheme="minorHAnsi" w:cstheme="minorHAnsi"/>
          <w:b/>
          <w:sz w:val="22"/>
        </w:rPr>
        <w:t xml:space="preserve"> </w:t>
      </w:r>
      <w:r w:rsidRPr="00872D97">
        <w:rPr>
          <w:rFonts w:asciiTheme="minorHAnsi" w:eastAsia="Times New Roman" w:hAnsiTheme="minorHAnsi" w:cstheme="minorHAnsi"/>
          <w:sz w:val="22"/>
        </w:rPr>
        <w:t>and other sources (</w:t>
      </w:r>
      <w:r w:rsidR="00872D97" w:rsidRPr="00872D97">
        <w:rPr>
          <w:rFonts w:asciiTheme="minorHAnsi" w:eastAsia="Times New Roman" w:hAnsiTheme="minorHAnsi" w:cstheme="minorHAnsi"/>
          <w:sz w:val="22"/>
        </w:rPr>
        <w:t xml:space="preserve">Figure </w:t>
      </w:r>
      <w:r w:rsidR="00872D97">
        <w:rPr>
          <w:rFonts w:asciiTheme="minorHAnsi" w:eastAsia="Times New Roman" w:hAnsiTheme="minorHAnsi" w:cstheme="minorHAnsi"/>
          <w:sz w:val="22"/>
        </w:rPr>
        <w:t>1</w:t>
      </w:r>
      <w:r w:rsidR="004D3907">
        <w:rPr>
          <w:rFonts w:asciiTheme="minorHAnsi" w:eastAsia="Times New Roman" w:hAnsiTheme="minorHAnsi" w:cstheme="minorHAnsi"/>
          <w:sz w:val="22"/>
        </w:rPr>
        <w:t>4</w:t>
      </w:r>
      <w:r w:rsidRPr="0027705A">
        <w:rPr>
          <w:rFonts w:asciiTheme="minorHAnsi" w:eastAsia="Times New Roman" w:hAnsiTheme="minorHAnsi" w:cstheme="minorHAnsi"/>
          <w:sz w:val="22"/>
        </w:rPr>
        <w:t>).   Based on this analysis, undernutrition contributed the largest fraction of TB patients in 2018, followed by harmful alcohol use, smoking, diabetes, and HIV, respectively.</w:t>
      </w:r>
      <w:r w:rsidR="00401099" w:rsidRPr="0027705A">
        <w:rPr>
          <w:rFonts w:asciiTheme="minorHAnsi" w:eastAsia="Times New Roman" w:hAnsiTheme="minorHAnsi" w:cstheme="minorHAnsi"/>
          <w:sz w:val="22"/>
        </w:rPr>
        <w:t xml:space="preserve"> </w:t>
      </w:r>
    </w:p>
    <w:p w14:paraId="2BA0668E" w14:textId="7935E56F" w:rsidR="00401099" w:rsidRPr="000D18DE" w:rsidRDefault="006D36F5" w:rsidP="00293B20">
      <w:pPr>
        <w:spacing w:before="0" w:after="0"/>
        <w:jc w:val="both"/>
        <w:rPr>
          <w:rFonts w:asciiTheme="minorHAnsi" w:eastAsia="Times New Roman" w:hAnsiTheme="minorHAnsi" w:cstheme="minorHAnsi"/>
          <w:b/>
          <w:szCs w:val="16"/>
        </w:rPr>
      </w:pPr>
      <w:r w:rsidRPr="000D18DE">
        <w:rPr>
          <w:rFonts w:asciiTheme="minorHAnsi" w:eastAsia="Times New Roman" w:hAnsiTheme="minorHAnsi" w:cstheme="minorHAnsi"/>
          <w:b/>
          <w:szCs w:val="16"/>
        </w:rPr>
        <w:t xml:space="preserve">Figure </w:t>
      </w:r>
      <w:r w:rsidR="00356CFA" w:rsidRPr="000D18DE">
        <w:rPr>
          <w:rFonts w:asciiTheme="minorHAnsi" w:eastAsia="Times New Roman" w:hAnsiTheme="minorHAnsi" w:cstheme="minorHAnsi"/>
          <w:b/>
          <w:szCs w:val="16"/>
        </w:rPr>
        <w:t>1</w:t>
      </w:r>
      <w:r w:rsidR="000D18DE" w:rsidRPr="000D18DE">
        <w:rPr>
          <w:rFonts w:asciiTheme="minorHAnsi" w:eastAsia="Times New Roman" w:hAnsiTheme="minorHAnsi" w:cstheme="minorHAnsi"/>
          <w:b/>
          <w:szCs w:val="16"/>
        </w:rPr>
        <w:t>4</w:t>
      </w:r>
      <w:r w:rsidRPr="000D18DE">
        <w:rPr>
          <w:rFonts w:asciiTheme="minorHAnsi" w:eastAsia="Times New Roman" w:hAnsiTheme="minorHAnsi" w:cstheme="minorHAnsi"/>
          <w:b/>
          <w:szCs w:val="16"/>
        </w:rPr>
        <w:t xml:space="preserve">: </w:t>
      </w:r>
      <w:r w:rsidR="00401099" w:rsidRPr="000D18DE">
        <w:rPr>
          <w:rFonts w:asciiTheme="minorHAnsi" w:eastAsia="Times New Roman" w:hAnsiTheme="minorHAnsi" w:cstheme="minorHAnsi"/>
          <w:b/>
          <w:szCs w:val="16"/>
        </w:rPr>
        <w:t xml:space="preserve">Estimated number of TB patients attributable to social determinants of disease – India, 2018. </w:t>
      </w:r>
    </w:p>
    <w:p w14:paraId="5280EC1F" w14:textId="2BD9E1F8" w:rsidR="00401099" w:rsidRPr="0032362B" w:rsidRDefault="00401099" w:rsidP="00C129C4">
      <w:pPr>
        <w:spacing w:before="0" w:after="0"/>
        <w:jc w:val="both"/>
        <w:rPr>
          <w:rFonts w:asciiTheme="minorHAnsi" w:eastAsia="Times New Roman" w:hAnsiTheme="minorHAnsi" w:cstheme="minorHAnsi"/>
          <w:b/>
          <w:sz w:val="18"/>
          <w:szCs w:val="16"/>
        </w:rPr>
      </w:pPr>
      <w:r w:rsidRPr="0032362B">
        <w:rPr>
          <w:rFonts w:asciiTheme="minorHAnsi" w:eastAsia="Times New Roman" w:hAnsiTheme="minorHAnsi" w:cstheme="minorHAnsi"/>
          <w:b/>
          <w:sz w:val="18"/>
          <w:szCs w:val="16"/>
        </w:rPr>
        <w:t>Source. World Health Organization.  Global tuberculosis report, 2019.  WHO: Geneva, 2019. (WHO/CDS/TB/2019.15).</w:t>
      </w:r>
    </w:p>
    <w:p w14:paraId="70662BA3" w14:textId="7BDC8E84" w:rsidR="0027696F" w:rsidRDefault="00772BBE" w:rsidP="00C129C4">
      <w:pPr>
        <w:spacing w:before="0"/>
        <w:jc w:val="both"/>
        <w:rPr>
          <w:rFonts w:asciiTheme="minorHAnsi" w:hAnsiTheme="minorHAnsi" w:cstheme="minorHAnsi"/>
          <w:sz w:val="22"/>
        </w:rPr>
      </w:pPr>
      <w:r w:rsidRPr="00772BBE">
        <w:rPr>
          <w:noProof/>
          <w:lang w:val="en-IN" w:eastAsia="en-IN"/>
        </w:rPr>
        <w:drawing>
          <wp:anchor distT="0" distB="0" distL="114300" distR="114300" simplePos="0" relativeHeight="251651072" behindDoc="0" locked="0" layoutInCell="1" allowOverlap="1" wp14:anchorId="0D85263E" wp14:editId="7EA4792C">
            <wp:simplePos x="0" y="0"/>
            <wp:positionH relativeFrom="column">
              <wp:posOffset>0</wp:posOffset>
            </wp:positionH>
            <wp:positionV relativeFrom="paragraph">
              <wp:posOffset>3175</wp:posOffset>
            </wp:positionV>
            <wp:extent cx="5008880" cy="1257300"/>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495"/>
                    <a:stretch/>
                  </pic:blipFill>
                  <pic:spPr bwMode="auto">
                    <a:xfrm>
                      <a:off x="0" y="0"/>
                      <a:ext cx="5008880" cy="1257300"/>
                    </a:xfrm>
                    <a:prstGeom prst="rect">
                      <a:avLst/>
                    </a:prstGeom>
                    <a:ln>
                      <a:noFill/>
                    </a:ln>
                    <a:extLst>
                      <a:ext uri="{53640926-AAD7-44D8-BBD7-CCE9431645EC}">
                        <a14:shadowObscured xmlns:a14="http://schemas.microsoft.com/office/drawing/2010/main"/>
                      </a:ext>
                    </a:extLst>
                  </pic:spPr>
                </pic:pic>
              </a:graphicData>
            </a:graphic>
          </wp:anchor>
        </w:drawing>
      </w:r>
      <w:r w:rsidR="00284E7D" w:rsidRPr="00284E7D">
        <w:rPr>
          <w:rFonts w:asciiTheme="minorHAnsi" w:eastAsia="Times New Roman" w:hAnsiTheme="minorHAnsi" w:cstheme="minorHAnsi"/>
          <w:sz w:val="22"/>
        </w:rPr>
        <w:t>To date, there has been no nationally representative study of catastrophic costs for TB in India.  Smaller, local studies (with varying methodologies, populations and settings) suggest that 7 to 32 percent of TB patients in India experience catastrophic costs during the diagnosis and treatment of TB.</w:t>
      </w:r>
      <w:r w:rsidR="00FF42C9">
        <w:rPr>
          <w:rFonts w:asciiTheme="minorHAnsi" w:eastAsia="Times New Roman" w:hAnsiTheme="minorHAnsi" w:cstheme="minorHAnsi"/>
          <w:sz w:val="22"/>
        </w:rPr>
        <w:t xml:space="preserve"> </w:t>
      </w:r>
      <w:r w:rsidR="00FF5741">
        <w:rPr>
          <w:rFonts w:asciiTheme="minorHAnsi" w:hAnsiTheme="minorHAnsi" w:cstheme="minorHAnsi"/>
          <w:sz w:val="22"/>
          <w:shd w:val="clear" w:color="auto" w:fill="FFFFFF"/>
        </w:rPr>
        <w:t xml:space="preserve">While the </w:t>
      </w:r>
      <w:r w:rsidR="0050507C">
        <w:rPr>
          <w:rFonts w:asciiTheme="minorHAnsi" w:hAnsiTheme="minorHAnsi" w:cstheme="minorHAnsi"/>
          <w:sz w:val="22"/>
          <w:shd w:val="clear" w:color="auto" w:fill="FFFFFF"/>
        </w:rPr>
        <w:t>NTEP</w:t>
      </w:r>
      <w:r w:rsidR="00CA74AB" w:rsidRPr="00772BBE">
        <w:rPr>
          <w:rFonts w:asciiTheme="minorHAnsi" w:hAnsiTheme="minorHAnsi" w:cstheme="minorHAnsi"/>
          <w:sz w:val="22"/>
          <w:shd w:val="clear" w:color="auto" w:fill="FFFFFF"/>
        </w:rPr>
        <w:t xml:space="preserve"> acknowledge</w:t>
      </w:r>
      <w:r w:rsidR="00FF5741">
        <w:rPr>
          <w:rFonts w:asciiTheme="minorHAnsi" w:hAnsiTheme="minorHAnsi" w:cstheme="minorHAnsi"/>
          <w:sz w:val="22"/>
          <w:shd w:val="clear" w:color="auto" w:fill="FFFFFF"/>
        </w:rPr>
        <w:t>s</w:t>
      </w:r>
      <w:r w:rsidR="00CA74AB" w:rsidRPr="00772BBE">
        <w:rPr>
          <w:rFonts w:asciiTheme="minorHAnsi" w:hAnsiTheme="minorHAnsi" w:cstheme="minorHAnsi"/>
          <w:sz w:val="22"/>
          <w:shd w:val="clear" w:color="auto" w:fill="FFFFFF"/>
        </w:rPr>
        <w:t xml:space="preserve"> that progress towards UHC is essential to ending the epidemic, </w:t>
      </w:r>
      <w:r w:rsidR="00FF5741">
        <w:rPr>
          <w:rFonts w:asciiTheme="minorHAnsi" w:hAnsiTheme="minorHAnsi" w:cstheme="minorHAnsi"/>
          <w:sz w:val="22"/>
          <w:shd w:val="clear" w:color="auto" w:fill="FFFFFF"/>
        </w:rPr>
        <w:t>it also believes that</w:t>
      </w:r>
      <w:r w:rsidR="00CA74AB" w:rsidRPr="00772BBE">
        <w:rPr>
          <w:rFonts w:asciiTheme="minorHAnsi" w:hAnsiTheme="minorHAnsi" w:cstheme="minorHAnsi"/>
          <w:sz w:val="22"/>
          <w:shd w:val="clear" w:color="auto" w:fill="FFFFFF"/>
        </w:rPr>
        <w:t xml:space="preserve"> guaranteeing UHC will be insufficient to address the tuberculosis epidemic. Social protection interventions that prevent or mitigate other financial risks associated with tuberculosis, such as income losses and non-medical expenditures, must also be considered</w:t>
      </w:r>
      <w:r w:rsidR="00F60998" w:rsidRPr="00772BBE">
        <w:rPr>
          <w:rStyle w:val="FootnoteReference"/>
          <w:rFonts w:asciiTheme="minorHAnsi" w:hAnsiTheme="minorHAnsi" w:cstheme="minorHAnsi"/>
          <w:sz w:val="22"/>
          <w:szCs w:val="22"/>
          <w:shd w:val="clear" w:color="auto" w:fill="FFFFFF"/>
        </w:rPr>
        <w:footnoteReference w:id="26"/>
      </w:r>
      <w:r w:rsidR="00CA74AB" w:rsidRPr="00772BBE">
        <w:rPr>
          <w:rFonts w:asciiTheme="minorHAnsi" w:hAnsiTheme="minorHAnsi" w:cstheme="minorHAnsi"/>
          <w:sz w:val="22"/>
          <w:shd w:val="clear" w:color="auto" w:fill="FFFFFF"/>
        </w:rPr>
        <w:t>.</w:t>
      </w:r>
    </w:p>
    <w:p w14:paraId="57546619" w14:textId="77777777" w:rsidR="00CA74AB" w:rsidRPr="0027696F" w:rsidRDefault="00CA74AB" w:rsidP="0027696F">
      <w:pPr>
        <w:rPr>
          <w:rFonts w:asciiTheme="minorHAnsi" w:hAnsiTheme="minorHAnsi" w:cstheme="minorHAnsi"/>
          <w:sz w:val="22"/>
        </w:rPr>
      </w:pPr>
    </w:p>
    <w:p w14:paraId="1DDB424F" w14:textId="70A3084D" w:rsidR="00E94E92" w:rsidRPr="00734B6A" w:rsidRDefault="00E94E92" w:rsidP="00663C3B">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t xml:space="preserve">Chapter </w:t>
      </w:r>
      <w:r w:rsidR="00663C3B">
        <w:rPr>
          <w:rFonts w:asciiTheme="minorHAnsi" w:hAnsiTheme="minorHAnsi" w:cstheme="minorHAnsi"/>
          <w:b/>
          <w:snapToGrid w:val="0"/>
          <w:color w:val="auto"/>
          <w:sz w:val="36"/>
        </w:rPr>
        <w:t>5</w:t>
      </w:r>
      <w:r w:rsidRPr="00734B6A">
        <w:rPr>
          <w:rFonts w:asciiTheme="minorHAnsi" w:hAnsiTheme="minorHAnsi" w:cstheme="minorHAnsi"/>
          <w:b/>
          <w:snapToGrid w:val="0"/>
          <w:color w:val="auto"/>
          <w:sz w:val="36"/>
        </w:rPr>
        <w:t xml:space="preserve"> </w:t>
      </w:r>
    </w:p>
    <w:p w14:paraId="4C82F4B8" w14:textId="09690D7C" w:rsidR="00F3316E" w:rsidRDefault="00E94E92" w:rsidP="002D44BE">
      <w:pPr>
        <w:pStyle w:val="Heading1"/>
        <w:tabs>
          <w:tab w:val="num" w:pos="5670"/>
        </w:tabs>
        <w:ind w:firstLine="2250"/>
        <w:rPr>
          <w:rFonts w:asciiTheme="minorHAnsi" w:hAnsiTheme="minorHAnsi" w:cstheme="minorHAnsi"/>
          <w:b/>
          <w:snapToGrid w:val="0"/>
          <w:color w:val="auto"/>
        </w:rPr>
      </w:pPr>
      <w:r>
        <w:rPr>
          <w:rFonts w:asciiTheme="minorHAnsi" w:hAnsiTheme="minorHAnsi" w:cstheme="minorHAnsi"/>
          <w:b/>
          <w:snapToGrid w:val="0"/>
          <w:color w:val="auto"/>
        </w:rPr>
        <w:t>Environment</w:t>
      </w:r>
      <w:r w:rsidR="002D44BE">
        <w:rPr>
          <w:rFonts w:asciiTheme="minorHAnsi" w:hAnsiTheme="minorHAnsi" w:cstheme="minorHAnsi"/>
          <w:b/>
          <w:snapToGrid w:val="0"/>
          <w:color w:val="auto"/>
        </w:rPr>
        <w:t xml:space="preserve">al ANalysis of NTEP </w:t>
      </w:r>
      <w:r>
        <w:rPr>
          <w:rFonts w:asciiTheme="minorHAnsi" w:hAnsiTheme="minorHAnsi" w:cstheme="minorHAnsi"/>
          <w:b/>
          <w:snapToGrid w:val="0"/>
          <w:color w:val="auto"/>
        </w:rPr>
        <w:t xml:space="preserve"> </w:t>
      </w:r>
    </w:p>
    <w:p w14:paraId="7B8FE5FA" w14:textId="62456E0E" w:rsidR="00E74A3F" w:rsidRDefault="00E74A3F" w:rsidP="00E74A3F">
      <w:pPr>
        <w:rPr>
          <w:rFonts w:asciiTheme="minorHAnsi" w:hAnsiTheme="minorHAnsi" w:cstheme="minorHAnsi"/>
          <w:b/>
          <w:color w:val="C86A07" w:themeColor="accent2" w:themeShade="BF"/>
          <w:sz w:val="28"/>
        </w:rPr>
      </w:pPr>
      <w:r w:rsidRPr="00E74A3F">
        <w:rPr>
          <w:rFonts w:asciiTheme="minorHAnsi" w:hAnsiTheme="minorHAnsi" w:cstheme="minorHAnsi"/>
          <w:b/>
          <w:color w:val="C86A07" w:themeColor="accent2" w:themeShade="BF"/>
          <w:sz w:val="28"/>
        </w:rPr>
        <w:t>5</w:t>
      </w:r>
      <w:r>
        <w:rPr>
          <w:rFonts w:asciiTheme="minorHAnsi" w:hAnsiTheme="minorHAnsi" w:cstheme="minorHAnsi"/>
          <w:b/>
          <w:color w:val="C86A07" w:themeColor="accent2" w:themeShade="BF"/>
          <w:sz w:val="28"/>
        </w:rPr>
        <w:t>.</w:t>
      </w:r>
      <w:r w:rsidRPr="00E74A3F">
        <w:rPr>
          <w:rFonts w:asciiTheme="minorHAnsi" w:hAnsiTheme="minorHAnsi" w:cstheme="minorHAnsi"/>
          <w:b/>
          <w:color w:val="C86A07" w:themeColor="accent2" w:themeShade="BF"/>
          <w:sz w:val="28"/>
        </w:rPr>
        <w:t>1. SWOT analysis</w:t>
      </w:r>
      <w:r w:rsidR="000D18DE">
        <w:rPr>
          <w:rFonts w:asciiTheme="minorHAnsi" w:hAnsiTheme="minorHAnsi" w:cstheme="minorHAnsi"/>
          <w:b/>
          <w:color w:val="C86A07" w:themeColor="accent2" w:themeShade="BF"/>
          <w:sz w:val="28"/>
        </w:rPr>
        <w:t xml:space="preserve"> </w:t>
      </w:r>
    </w:p>
    <w:p w14:paraId="60381333" w14:textId="016A4419" w:rsidR="000D18DE" w:rsidRPr="000D18DE" w:rsidRDefault="000D18DE" w:rsidP="000D18DE">
      <w:pPr>
        <w:spacing w:before="0" w:after="0"/>
        <w:jc w:val="both"/>
        <w:rPr>
          <w:rFonts w:asciiTheme="minorHAnsi" w:eastAsia="Times New Roman" w:hAnsiTheme="minorHAnsi" w:cstheme="minorHAnsi"/>
          <w:b/>
          <w:szCs w:val="16"/>
        </w:rPr>
      </w:pPr>
      <w:r w:rsidRPr="000D18DE">
        <w:rPr>
          <w:rFonts w:asciiTheme="minorHAnsi" w:eastAsia="Times New Roman" w:hAnsiTheme="minorHAnsi" w:cstheme="minorHAnsi"/>
          <w:b/>
          <w:szCs w:val="16"/>
        </w:rPr>
        <w:t>Table</w:t>
      </w:r>
      <w:r>
        <w:rPr>
          <w:rFonts w:asciiTheme="minorHAnsi" w:eastAsia="Times New Roman" w:hAnsiTheme="minorHAnsi" w:cstheme="minorHAnsi"/>
          <w:b/>
          <w:szCs w:val="16"/>
        </w:rPr>
        <w:t xml:space="preserve"> 5</w:t>
      </w:r>
      <w:r w:rsidRPr="000D18DE">
        <w:rPr>
          <w:rFonts w:asciiTheme="minorHAnsi" w:eastAsia="Times New Roman" w:hAnsiTheme="minorHAnsi" w:cstheme="minorHAnsi"/>
          <w:b/>
          <w:szCs w:val="16"/>
        </w:rPr>
        <w:t>:</w:t>
      </w:r>
      <w:r>
        <w:rPr>
          <w:rFonts w:asciiTheme="minorHAnsi" w:eastAsia="Times New Roman" w:hAnsiTheme="minorHAnsi" w:cstheme="minorHAnsi"/>
          <w:b/>
          <w:szCs w:val="16"/>
        </w:rPr>
        <w:t xml:space="preserve"> SWOT Analysis of NTEP</w:t>
      </w:r>
      <w:r w:rsidRPr="000D18DE">
        <w:rPr>
          <w:rFonts w:asciiTheme="minorHAnsi" w:eastAsia="Times New Roman" w:hAnsiTheme="minorHAnsi" w:cstheme="minorHAnsi"/>
          <w:b/>
          <w:szCs w:val="16"/>
        </w:rPr>
        <w:t xml:space="preserve"> </w:t>
      </w:r>
    </w:p>
    <w:tbl>
      <w:tblPr>
        <w:tblStyle w:val="TableGrid4"/>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4878"/>
        <w:gridCol w:w="4320"/>
      </w:tblGrid>
      <w:tr w:rsidR="007068B9" w:rsidRPr="00B17D91" w14:paraId="20F1BF6D" w14:textId="77777777" w:rsidTr="00E859CF">
        <w:trPr>
          <w:cnfStyle w:val="100000000000" w:firstRow="1" w:lastRow="0" w:firstColumn="0" w:lastColumn="0" w:oddVBand="0" w:evenVBand="0" w:oddHBand="0" w:evenHBand="0" w:firstRowFirstColumn="0" w:firstRowLastColumn="0" w:lastRowFirstColumn="0" w:lastRowLastColumn="0"/>
        </w:trPr>
        <w:tc>
          <w:tcPr>
            <w:tcW w:w="4878" w:type="dxa"/>
            <w:shd w:val="clear" w:color="auto" w:fill="17365D" w:themeFill="text2" w:themeFillShade="BF"/>
          </w:tcPr>
          <w:p w14:paraId="5756207A" w14:textId="77777777" w:rsidR="007068B9" w:rsidRPr="00B17D91" w:rsidRDefault="007068B9" w:rsidP="002D44BE">
            <w:pPr>
              <w:spacing w:before="0" w:after="0"/>
              <w:jc w:val="both"/>
              <w:rPr>
                <w:rFonts w:asciiTheme="minorHAnsi" w:hAnsiTheme="minorHAnsi" w:cstheme="minorHAnsi"/>
                <w:b w:val="0"/>
                <w:sz w:val="22"/>
              </w:rPr>
            </w:pPr>
            <w:r w:rsidRPr="00B17D91">
              <w:rPr>
                <w:rFonts w:asciiTheme="minorHAnsi" w:hAnsiTheme="minorHAnsi" w:cstheme="minorHAnsi"/>
                <w:color w:val="FFFFFF" w:themeColor="background1"/>
                <w:sz w:val="22"/>
              </w:rPr>
              <w:t>Strengths</w:t>
            </w:r>
          </w:p>
        </w:tc>
        <w:tc>
          <w:tcPr>
            <w:tcW w:w="4320" w:type="dxa"/>
            <w:shd w:val="clear" w:color="auto" w:fill="17365D" w:themeFill="text2" w:themeFillShade="BF"/>
          </w:tcPr>
          <w:p w14:paraId="1E28DEA2" w14:textId="77777777" w:rsidR="007068B9" w:rsidRPr="00B17D91" w:rsidRDefault="007068B9" w:rsidP="002D44BE">
            <w:pPr>
              <w:spacing w:before="0" w:after="0"/>
              <w:jc w:val="both"/>
              <w:rPr>
                <w:rFonts w:asciiTheme="minorHAnsi" w:hAnsiTheme="minorHAnsi" w:cstheme="minorHAnsi"/>
                <w:b w:val="0"/>
                <w:sz w:val="22"/>
              </w:rPr>
            </w:pPr>
            <w:r w:rsidRPr="00B17D91">
              <w:rPr>
                <w:rFonts w:asciiTheme="minorHAnsi" w:hAnsiTheme="minorHAnsi" w:cstheme="minorHAnsi"/>
                <w:color w:val="FFFFFF" w:themeColor="background1"/>
                <w:sz w:val="22"/>
              </w:rPr>
              <w:t>Weakness</w:t>
            </w:r>
          </w:p>
        </w:tc>
      </w:tr>
      <w:tr w:rsidR="007068B9" w:rsidRPr="00B17D91" w14:paraId="73517CE0" w14:textId="77777777" w:rsidTr="00E859CF">
        <w:tc>
          <w:tcPr>
            <w:tcW w:w="4878" w:type="dxa"/>
            <w:shd w:val="clear" w:color="auto" w:fill="E5E5E5" w:themeFill="accent3" w:themeFillTint="33"/>
          </w:tcPr>
          <w:p w14:paraId="1DBB1B74" w14:textId="72F77B6B" w:rsidR="007068B9" w:rsidRDefault="007068B9" w:rsidP="00442A67">
            <w:pPr>
              <w:numPr>
                <w:ilvl w:val="0"/>
                <w:numId w:val="22"/>
              </w:numPr>
              <w:spacing w:before="0" w:after="0"/>
              <w:jc w:val="both"/>
              <w:rPr>
                <w:rFonts w:asciiTheme="minorHAnsi" w:hAnsiTheme="minorHAnsi" w:cstheme="minorHAnsi"/>
                <w:sz w:val="22"/>
              </w:rPr>
            </w:pPr>
            <w:r w:rsidRPr="00B17D91">
              <w:rPr>
                <w:rFonts w:asciiTheme="minorHAnsi" w:hAnsiTheme="minorHAnsi" w:cstheme="minorHAnsi"/>
                <w:sz w:val="22"/>
              </w:rPr>
              <w:t>High</w:t>
            </w:r>
            <w:r w:rsidRPr="004D2152">
              <w:rPr>
                <w:rFonts w:asciiTheme="minorHAnsi" w:hAnsiTheme="minorHAnsi" w:cstheme="minorHAnsi"/>
                <w:sz w:val="22"/>
              </w:rPr>
              <w:t xml:space="preserve">est </w:t>
            </w:r>
            <w:r w:rsidRPr="00B17D91">
              <w:rPr>
                <w:rFonts w:asciiTheme="minorHAnsi" w:hAnsiTheme="minorHAnsi" w:cstheme="minorHAnsi"/>
                <w:sz w:val="22"/>
              </w:rPr>
              <w:t xml:space="preserve">level </w:t>
            </w:r>
            <w:r w:rsidRPr="004D2152">
              <w:rPr>
                <w:rFonts w:asciiTheme="minorHAnsi" w:hAnsiTheme="minorHAnsi" w:cstheme="minorHAnsi"/>
                <w:sz w:val="22"/>
              </w:rPr>
              <w:t xml:space="preserve">of </w:t>
            </w:r>
            <w:r w:rsidRPr="00B17D91">
              <w:rPr>
                <w:rFonts w:asciiTheme="minorHAnsi" w:hAnsiTheme="minorHAnsi" w:cstheme="minorHAnsi"/>
                <w:sz w:val="22"/>
              </w:rPr>
              <w:t xml:space="preserve">political and administrative commitment </w:t>
            </w:r>
            <w:r>
              <w:rPr>
                <w:rFonts w:asciiTheme="minorHAnsi" w:hAnsiTheme="minorHAnsi" w:cstheme="minorHAnsi"/>
                <w:sz w:val="22"/>
              </w:rPr>
              <w:t xml:space="preserve">with </w:t>
            </w:r>
            <w:r w:rsidRPr="004D2152">
              <w:rPr>
                <w:rFonts w:asciiTheme="minorHAnsi" w:hAnsiTheme="minorHAnsi" w:cstheme="minorHAnsi"/>
                <w:sz w:val="22"/>
              </w:rPr>
              <w:t xml:space="preserve">deep engagement </w:t>
            </w:r>
            <w:r>
              <w:rPr>
                <w:rFonts w:asciiTheme="minorHAnsi" w:hAnsiTheme="minorHAnsi" w:cstheme="minorHAnsi"/>
                <w:sz w:val="22"/>
              </w:rPr>
              <w:t>in</w:t>
            </w:r>
            <w:r w:rsidRPr="004D2152">
              <w:rPr>
                <w:rFonts w:asciiTheme="minorHAnsi" w:hAnsiTheme="minorHAnsi" w:cstheme="minorHAnsi"/>
                <w:sz w:val="22"/>
              </w:rPr>
              <w:t xml:space="preserve"> the </w:t>
            </w:r>
            <w:r>
              <w:rPr>
                <w:rFonts w:asciiTheme="minorHAnsi" w:hAnsiTheme="minorHAnsi" w:cstheme="minorHAnsi"/>
                <w:sz w:val="22"/>
              </w:rPr>
              <w:t>TB elimination efforts of</w:t>
            </w:r>
            <w:r w:rsidRPr="00B17D91">
              <w:rPr>
                <w:rFonts w:asciiTheme="minorHAnsi" w:hAnsiTheme="minorHAnsi" w:cstheme="minorHAnsi"/>
                <w:sz w:val="22"/>
              </w:rPr>
              <w:t xml:space="preserve"> the country.   </w:t>
            </w:r>
          </w:p>
          <w:p w14:paraId="5A0C0530" w14:textId="3BF6C0E0" w:rsidR="000F1E3F" w:rsidRPr="00B17D91" w:rsidRDefault="000F1E3F" w:rsidP="00442A67">
            <w:pPr>
              <w:numPr>
                <w:ilvl w:val="0"/>
                <w:numId w:val="22"/>
              </w:numPr>
              <w:spacing w:before="0" w:after="0"/>
              <w:jc w:val="both"/>
              <w:rPr>
                <w:rFonts w:asciiTheme="minorHAnsi" w:hAnsiTheme="minorHAnsi" w:cstheme="minorHAnsi"/>
                <w:sz w:val="22"/>
              </w:rPr>
            </w:pPr>
            <w:r>
              <w:rPr>
                <w:rFonts w:asciiTheme="minorHAnsi" w:hAnsiTheme="minorHAnsi" w:cstheme="minorHAnsi"/>
                <w:sz w:val="22"/>
              </w:rPr>
              <w:t xml:space="preserve">State Strategic plans based on the NSP </w:t>
            </w:r>
          </w:p>
          <w:p w14:paraId="319F6D31" w14:textId="2B96468D" w:rsidR="007068B9" w:rsidRDefault="007068B9" w:rsidP="00442A67">
            <w:pPr>
              <w:numPr>
                <w:ilvl w:val="0"/>
                <w:numId w:val="22"/>
              </w:numPr>
              <w:spacing w:before="0" w:after="0"/>
              <w:jc w:val="both"/>
              <w:rPr>
                <w:rFonts w:asciiTheme="minorHAnsi" w:hAnsiTheme="minorHAnsi" w:cstheme="minorHAnsi"/>
                <w:sz w:val="22"/>
              </w:rPr>
            </w:pPr>
            <w:r>
              <w:rPr>
                <w:rFonts w:asciiTheme="minorHAnsi" w:hAnsiTheme="minorHAnsi" w:cstheme="minorHAnsi"/>
                <w:sz w:val="22"/>
              </w:rPr>
              <w:t>Availability of much</w:t>
            </w:r>
            <w:r w:rsidRPr="00B17D91">
              <w:rPr>
                <w:rFonts w:asciiTheme="minorHAnsi" w:hAnsiTheme="minorHAnsi" w:cstheme="minorHAnsi"/>
                <w:sz w:val="22"/>
              </w:rPr>
              <w:t xml:space="preserve"> </w:t>
            </w:r>
            <w:r>
              <w:rPr>
                <w:rFonts w:asciiTheme="minorHAnsi" w:hAnsiTheme="minorHAnsi" w:cstheme="minorHAnsi"/>
                <w:sz w:val="22"/>
              </w:rPr>
              <w:t>greater financial resources for TB elimination</w:t>
            </w:r>
          </w:p>
          <w:p w14:paraId="0ADDE1B2" w14:textId="77777777" w:rsidR="007068B9" w:rsidRDefault="007068B9" w:rsidP="00442A67">
            <w:pPr>
              <w:numPr>
                <w:ilvl w:val="0"/>
                <w:numId w:val="22"/>
              </w:numPr>
              <w:spacing w:before="0" w:after="0"/>
              <w:jc w:val="both"/>
              <w:rPr>
                <w:rFonts w:asciiTheme="minorHAnsi" w:hAnsiTheme="minorHAnsi" w:cstheme="minorHAnsi"/>
                <w:sz w:val="22"/>
              </w:rPr>
            </w:pPr>
            <w:r w:rsidRPr="00B17D91">
              <w:rPr>
                <w:rFonts w:asciiTheme="minorHAnsi" w:hAnsiTheme="minorHAnsi" w:cstheme="minorHAnsi"/>
                <w:sz w:val="22"/>
              </w:rPr>
              <w:t>Availability of new drugs, regimens, diagnostics, approaches and strategies to end TB.</w:t>
            </w:r>
          </w:p>
          <w:p w14:paraId="4E1AFDBC" w14:textId="1E545124" w:rsidR="0020365A" w:rsidRDefault="00401F49" w:rsidP="00442A67">
            <w:pPr>
              <w:numPr>
                <w:ilvl w:val="0"/>
                <w:numId w:val="22"/>
              </w:numPr>
              <w:spacing w:before="0" w:after="0"/>
              <w:jc w:val="both"/>
              <w:rPr>
                <w:rFonts w:asciiTheme="minorHAnsi" w:hAnsiTheme="minorHAnsi" w:cstheme="minorHAnsi"/>
                <w:sz w:val="22"/>
              </w:rPr>
            </w:pPr>
            <w:r>
              <w:rPr>
                <w:rFonts w:asciiTheme="minorHAnsi" w:hAnsiTheme="minorHAnsi" w:cstheme="minorHAnsi"/>
                <w:sz w:val="22"/>
              </w:rPr>
              <w:t>Rapid adoption of g</w:t>
            </w:r>
            <w:r w:rsidR="00CF59C0">
              <w:rPr>
                <w:rFonts w:asciiTheme="minorHAnsi" w:hAnsiTheme="minorHAnsi" w:cstheme="minorHAnsi"/>
                <w:sz w:val="22"/>
              </w:rPr>
              <w:t>lobal best practices</w:t>
            </w:r>
            <w:r>
              <w:rPr>
                <w:rFonts w:asciiTheme="minorHAnsi" w:hAnsiTheme="minorHAnsi" w:cstheme="minorHAnsi"/>
                <w:sz w:val="22"/>
              </w:rPr>
              <w:t xml:space="preserve"> </w:t>
            </w:r>
          </w:p>
          <w:p w14:paraId="1057216A" w14:textId="79D4213C" w:rsidR="000F1E3F" w:rsidRPr="0090518D" w:rsidRDefault="000F1E3F" w:rsidP="0090518D">
            <w:pPr>
              <w:spacing w:before="0" w:after="0"/>
              <w:ind w:left="360"/>
              <w:jc w:val="both"/>
              <w:rPr>
                <w:rFonts w:asciiTheme="minorHAnsi" w:hAnsiTheme="minorHAnsi" w:cstheme="minorHAnsi"/>
                <w:sz w:val="22"/>
              </w:rPr>
            </w:pPr>
          </w:p>
        </w:tc>
        <w:tc>
          <w:tcPr>
            <w:tcW w:w="4320" w:type="dxa"/>
            <w:shd w:val="clear" w:color="auto" w:fill="E5E5E5" w:themeFill="accent3" w:themeFillTint="33"/>
          </w:tcPr>
          <w:p w14:paraId="6D13FF6C" w14:textId="1CAA086B" w:rsidR="007068B9" w:rsidRPr="00B17D91" w:rsidRDefault="00A051DA" w:rsidP="00442A67">
            <w:pPr>
              <w:numPr>
                <w:ilvl w:val="0"/>
                <w:numId w:val="23"/>
              </w:numPr>
              <w:spacing w:before="0" w:after="0"/>
              <w:jc w:val="both"/>
              <w:rPr>
                <w:rFonts w:asciiTheme="minorHAnsi" w:hAnsiTheme="minorHAnsi" w:cstheme="minorHAnsi"/>
                <w:sz w:val="22"/>
              </w:rPr>
            </w:pPr>
            <w:r w:rsidRPr="00A051DA">
              <w:rPr>
                <w:rFonts w:asciiTheme="minorHAnsi" w:hAnsiTheme="minorHAnsi" w:cstheme="minorHAnsi"/>
                <w:sz w:val="22"/>
              </w:rPr>
              <w:t xml:space="preserve">Insufficient </w:t>
            </w:r>
            <w:r w:rsidR="007068B9" w:rsidRPr="00B17D91">
              <w:rPr>
                <w:rFonts w:asciiTheme="minorHAnsi" w:hAnsiTheme="minorHAnsi" w:cstheme="minorHAnsi"/>
                <w:sz w:val="22"/>
              </w:rPr>
              <w:t>human res</w:t>
            </w:r>
            <w:r w:rsidR="000F1E3F">
              <w:rPr>
                <w:rFonts w:asciiTheme="minorHAnsi" w:hAnsiTheme="minorHAnsi" w:cstheme="minorHAnsi"/>
                <w:sz w:val="22"/>
              </w:rPr>
              <w:t>ource at Natio</w:t>
            </w:r>
            <w:r w:rsidR="004C2A66">
              <w:rPr>
                <w:rFonts w:asciiTheme="minorHAnsi" w:hAnsiTheme="minorHAnsi" w:cstheme="minorHAnsi"/>
                <w:sz w:val="22"/>
              </w:rPr>
              <w:t>nal, State, and district levels</w:t>
            </w:r>
            <w:r w:rsidR="007068B9" w:rsidRPr="00B17D91">
              <w:rPr>
                <w:rFonts w:asciiTheme="minorHAnsi" w:hAnsiTheme="minorHAnsi" w:cstheme="minorHAnsi"/>
                <w:sz w:val="22"/>
              </w:rPr>
              <w:t xml:space="preserve"> limits programme </w:t>
            </w:r>
            <w:r w:rsidR="004C2A66">
              <w:rPr>
                <w:rFonts w:asciiTheme="minorHAnsi" w:hAnsiTheme="minorHAnsi" w:cstheme="minorHAnsi"/>
                <w:sz w:val="22"/>
              </w:rPr>
              <w:t xml:space="preserve">implementation and management at all </w:t>
            </w:r>
            <w:r w:rsidR="007068B9" w:rsidRPr="00B17D91">
              <w:rPr>
                <w:rFonts w:asciiTheme="minorHAnsi" w:hAnsiTheme="minorHAnsi" w:cstheme="minorHAnsi"/>
                <w:sz w:val="22"/>
              </w:rPr>
              <w:t>level.</w:t>
            </w:r>
          </w:p>
          <w:p w14:paraId="05902F85" w14:textId="50285A83" w:rsidR="001F798C" w:rsidRPr="00401F49" w:rsidRDefault="00984552" w:rsidP="00442A67">
            <w:pPr>
              <w:numPr>
                <w:ilvl w:val="0"/>
                <w:numId w:val="23"/>
              </w:numPr>
              <w:spacing w:before="0" w:after="0"/>
              <w:jc w:val="both"/>
              <w:rPr>
                <w:rFonts w:asciiTheme="minorHAnsi" w:hAnsiTheme="minorHAnsi" w:cstheme="minorHAnsi"/>
                <w:sz w:val="22"/>
              </w:rPr>
            </w:pPr>
            <w:r w:rsidRPr="00401F49">
              <w:rPr>
                <w:rFonts w:asciiTheme="minorHAnsi" w:hAnsiTheme="minorHAnsi" w:cstheme="minorHAnsi"/>
                <w:sz w:val="22"/>
              </w:rPr>
              <w:t>Addressing the social determinants of TB is</w:t>
            </w:r>
            <w:r w:rsidR="000B7BDD" w:rsidRPr="00401F49">
              <w:rPr>
                <w:rFonts w:asciiTheme="minorHAnsi" w:hAnsiTheme="minorHAnsi" w:cstheme="minorHAnsi"/>
                <w:sz w:val="22"/>
              </w:rPr>
              <w:t xml:space="preserve"> beyon</w:t>
            </w:r>
            <w:r w:rsidR="004C2A66">
              <w:rPr>
                <w:rFonts w:asciiTheme="minorHAnsi" w:hAnsiTheme="minorHAnsi" w:cstheme="minorHAnsi"/>
                <w:sz w:val="22"/>
              </w:rPr>
              <w:t>d the scope of the Ministry of H</w:t>
            </w:r>
            <w:r w:rsidR="000B7BDD" w:rsidRPr="00401F49">
              <w:rPr>
                <w:rFonts w:asciiTheme="minorHAnsi" w:hAnsiTheme="minorHAnsi" w:cstheme="minorHAnsi"/>
                <w:sz w:val="22"/>
              </w:rPr>
              <w:t>ealth</w:t>
            </w:r>
            <w:r w:rsidR="004C2A66">
              <w:rPr>
                <w:rFonts w:asciiTheme="minorHAnsi" w:hAnsiTheme="minorHAnsi" w:cstheme="minorHAnsi"/>
                <w:sz w:val="22"/>
              </w:rPr>
              <w:t xml:space="preserve">. </w:t>
            </w:r>
          </w:p>
          <w:p w14:paraId="32144FA3" w14:textId="77777777" w:rsidR="000B7BDD" w:rsidRDefault="0090518D" w:rsidP="00442A67">
            <w:pPr>
              <w:numPr>
                <w:ilvl w:val="0"/>
                <w:numId w:val="23"/>
              </w:numPr>
              <w:spacing w:before="0" w:after="0"/>
              <w:jc w:val="both"/>
              <w:rPr>
                <w:rFonts w:asciiTheme="minorHAnsi" w:hAnsiTheme="minorHAnsi" w:cstheme="minorHAnsi"/>
                <w:sz w:val="22"/>
              </w:rPr>
            </w:pPr>
            <w:r>
              <w:rPr>
                <w:rFonts w:asciiTheme="minorHAnsi" w:hAnsiTheme="minorHAnsi" w:cstheme="minorHAnsi"/>
                <w:sz w:val="22"/>
              </w:rPr>
              <w:t xml:space="preserve">Competing priorities in the states result in lack of focus and thrust on TB care activities </w:t>
            </w:r>
            <w:r w:rsidR="001F798C">
              <w:rPr>
                <w:rFonts w:asciiTheme="minorHAnsi" w:hAnsiTheme="minorHAnsi" w:cstheme="minorHAnsi"/>
                <w:sz w:val="22"/>
              </w:rPr>
              <w:t xml:space="preserve"> </w:t>
            </w:r>
          </w:p>
          <w:p w14:paraId="4F1B42A5" w14:textId="77777777" w:rsidR="00652B98" w:rsidRDefault="00652B98" w:rsidP="00442A67">
            <w:pPr>
              <w:pStyle w:val="ListParagraph"/>
              <w:numPr>
                <w:ilvl w:val="0"/>
                <w:numId w:val="23"/>
              </w:numPr>
              <w:spacing w:before="0" w:after="0"/>
              <w:rPr>
                <w:rFonts w:asciiTheme="minorHAnsi" w:hAnsiTheme="minorHAnsi" w:cstheme="minorHAnsi"/>
                <w:sz w:val="22"/>
              </w:rPr>
            </w:pPr>
            <w:r w:rsidRPr="00652B98">
              <w:rPr>
                <w:rFonts w:asciiTheme="minorHAnsi" w:hAnsiTheme="minorHAnsi" w:cstheme="minorHAnsi"/>
                <w:sz w:val="22"/>
              </w:rPr>
              <w:t xml:space="preserve">Significant provision of </w:t>
            </w:r>
            <w:r w:rsidR="00760275">
              <w:rPr>
                <w:rFonts w:asciiTheme="minorHAnsi" w:hAnsiTheme="minorHAnsi" w:cstheme="minorHAnsi"/>
                <w:sz w:val="22"/>
              </w:rPr>
              <w:t xml:space="preserve">TB </w:t>
            </w:r>
            <w:r w:rsidRPr="00652B98">
              <w:rPr>
                <w:rFonts w:asciiTheme="minorHAnsi" w:hAnsiTheme="minorHAnsi" w:cstheme="minorHAnsi"/>
                <w:sz w:val="22"/>
              </w:rPr>
              <w:t>care</w:t>
            </w:r>
            <w:r w:rsidR="00F554CD">
              <w:rPr>
                <w:rFonts w:asciiTheme="minorHAnsi" w:hAnsiTheme="minorHAnsi" w:cstheme="minorHAnsi"/>
                <w:sz w:val="22"/>
              </w:rPr>
              <w:t xml:space="preserve"> continues to be provided </w:t>
            </w:r>
            <w:r w:rsidRPr="00652B98">
              <w:rPr>
                <w:rFonts w:asciiTheme="minorHAnsi" w:hAnsiTheme="minorHAnsi" w:cstheme="minorHAnsi"/>
                <w:sz w:val="22"/>
              </w:rPr>
              <w:t>by a fragmented and relatively unregulated private sector.</w:t>
            </w:r>
            <w:r w:rsidR="00760275">
              <w:rPr>
                <w:rFonts w:asciiTheme="minorHAnsi" w:hAnsiTheme="minorHAnsi" w:cstheme="minorHAnsi"/>
                <w:sz w:val="22"/>
              </w:rPr>
              <w:t xml:space="preserve"> </w:t>
            </w:r>
          </w:p>
          <w:p w14:paraId="333AD6DC" w14:textId="1854C50B" w:rsidR="00760275" w:rsidRPr="00760275" w:rsidRDefault="00760275" w:rsidP="00760275">
            <w:pPr>
              <w:pStyle w:val="ListParagraph"/>
              <w:numPr>
                <w:ilvl w:val="0"/>
                <w:numId w:val="23"/>
              </w:numPr>
              <w:spacing w:before="0" w:after="0"/>
              <w:rPr>
                <w:rFonts w:asciiTheme="minorHAnsi" w:hAnsiTheme="minorHAnsi" w:cstheme="minorHAnsi"/>
                <w:sz w:val="22"/>
              </w:rPr>
            </w:pPr>
            <w:r>
              <w:rPr>
                <w:rFonts w:asciiTheme="minorHAnsi" w:hAnsiTheme="minorHAnsi" w:cstheme="minorHAnsi"/>
                <w:sz w:val="22"/>
              </w:rPr>
              <w:t>L</w:t>
            </w:r>
            <w:r w:rsidRPr="00760275">
              <w:rPr>
                <w:rFonts w:asciiTheme="minorHAnsi" w:hAnsiTheme="minorHAnsi" w:cstheme="minorHAnsi"/>
                <w:sz w:val="22"/>
              </w:rPr>
              <w:t>ow coverage of basic program services for patients accessing care in the private sector, and weak systems for contracting partners (unreliable payments for results)</w:t>
            </w:r>
          </w:p>
        </w:tc>
      </w:tr>
      <w:tr w:rsidR="007068B9" w:rsidRPr="00B17D91" w14:paraId="0EDAF4B2" w14:textId="77777777" w:rsidTr="00E859CF">
        <w:tc>
          <w:tcPr>
            <w:tcW w:w="4878" w:type="dxa"/>
            <w:shd w:val="clear" w:color="auto" w:fill="17365D" w:themeFill="text2" w:themeFillShade="BF"/>
            <w:vAlign w:val="center"/>
          </w:tcPr>
          <w:p w14:paraId="1C2E27AF" w14:textId="63D89413" w:rsidR="007068B9" w:rsidRPr="00B17D91" w:rsidRDefault="007068B9" w:rsidP="002D44BE">
            <w:pPr>
              <w:spacing w:before="0" w:after="0"/>
              <w:jc w:val="both"/>
              <w:rPr>
                <w:rFonts w:asciiTheme="minorHAnsi" w:hAnsiTheme="minorHAnsi" w:cstheme="minorHAnsi"/>
                <w:b/>
                <w:color w:val="FFFFFF" w:themeColor="background1"/>
                <w:sz w:val="22"/>
              </w:rPr>
            </w:pPr>
            <w:r w:rsidRPr="00B17D91">
              <w:rPr>
                <w:rFonts w:asciiTheme="minorHAnsi" w:hAnsiTheme="minorHAnsi" w:cstheme="minorHAnsi"/>
                <w:b/>
                <w:color w:val="FFFFFF" w:themeColor="background1"/>
                <w:sz w:val="22"/>
              </w:rPr>
              <w:t>Opportunities</w:t>
            </w:r>
          </w:p>
        </w:tc>
        <w:tc>
          <w:tcPr>
            <w:tcW w:w="4320" w:type="dxa"/>
            <w:shd w:val="clear" w:color="auto" w:fill="17365D" w:themeFill="text2" w:themeFillShade="BF"/>
            <w:vAlign w:val="center"/>
          </w:tcPr>
          <w:p w14:paraId="31B52F0E" w14:textId="77777777" w:rsidR="007068B9" w:rsidRPr="00B17D91" w:rsidRDefault="007068B9" w:rsidP="002D44BE">
            <w:pPr>
              <w:spacing w:before="0" w:after="0"/>
              <w:jc w:val="both"/>
              <w:rPr>
                <w:rFonts w:asciiTheme="minorHAnsi" w:hAnsiTheme="minorHAnsi" w:cstheme="minorHAnsi"/>
                <w:b/>
                <w:color w:val="FFFFFF" w:themeColor="background1"/>
                <w:sz w:val="22"/>
              </w:rPr>
            </w:pPr>
            <w:r w:rsidRPr="00B17D91">
              <w:rPr>
                <w:rFonts w:asciiTheme="minorHAnsi" w:hAnsiTheme="minorHAnsi" w:cstheme="minorHAnsi"/>
                <w:b/>
                <w:color w:val="FFFFFF" w:themeColor="background1"/>
                <w:sz w:val="22"/>
              </w:rPr>
              <w:t>Threats</w:t>
            </w:r>
          </w:p>
        </w:tc>
      </w:tr>
      <w:tr w:rsidR="007068B9" w:rsidRPr="00B17D91" w14:paraId="535E7668" w14:textId="77777777" w:rsidTr="00E859CF">
        <w:tc>
          <w:tcPr>
            <w:tcW w:w="4878" w:type="dxa"/>
            <w:shd w:val="clear" w:color="auto" w:fill="E5E5E5" w:themeFill="accent3" w:themeFillTint="33"/>
          </w:tcPr>
          <w:p w14:paraId="5573D0AD" w14:textId="45DEFE1B" w:rsidR="007068B9" w:rsidRPr="00A051DA" w:rsidRDefault="007068B9" w:rsidP="00442A67">
            <w:pPr>
              <w:numPr>
                <w:ilvl w:val="0"/>
                <w:numId w:val="24"/>
              </w:numPr>
              <w:spacing w:before="0" w:after="0"/>
              <w:jc w:val="both"/>
              <w:rPr>
                <w:rFonts w:asciiTheme="minorHAnsi" w:hAnsiTheme="minorHAnsi" w:cstheme="minorHAnsi"/>
                <w:sz w:val="22"/>
              </w:rPr>
            </w:pPr>
            <w:r w:rsidRPr="00A051DA">
              <w:rPr>
                <w:rFonts w:asciiTheme="minorHAnsi" w:hAnsiTheme="minorHAnsi" w:cstheme="minorHAnsi"/>
                <w:sz w:val="22"/>
              </w:rPr>
              <w:t xml:space="preserve">The </w:t>
            </w:r>
            <w:r w:rsidR="001A7278">
              <w:rPr>
                <w:rFonts w:asciiTheme="minorHAnsi" w:hAnsiTheme="minorHAnsi" w:cstheme="minorHAnsi"/>
                <w:sz w:val="22"/>
              </w:rPr>
              <w:t xml:space="preserve">COVID-19   </w:t>
            </w:r>
            <w:r w:rsidRPr="00A051DA">
              <w:rPr>
                <w:rFonts w:asciiTheme="minorHAnsi" w:hAnsiTheme="minorHAnsi" w:cstheme="minorHAnsi"/>
                <w:sz w:val="22"/>
              </w:rPr>
              <w:t xml:space="preserve"> pandemic response by the </w:t>
            </w:r>
            <w:r w:rsidR="006E15DE" w:rsidRPr="00A051DA">
              <w:rPr>
                <w:rFonts w:asciiTheme="minorHAnsi" w:hAnsiTheme="minorHAnsi" w:cstheme="minorHAnsi"/>
                <w:sz w:val="22"/>
              </w:rPr>
              <w:t>government focuses attention on communicable diseases and the necessity of strengthening public health systems at all levels. Also the current momentum</w:t>
            </w:r>
            <w:r w:rsidR="0027705A" w:rsidRPr="00A051DA">
              <w:rPr>
                <w:rFonts w:asciiTheme="minorHAnsi" w:hAnsiTheme="minorHAnsi" w:cstheme="minorHAnsi"/>
                <w:sz w:val="22"/>
              </w:rPr>
              <w:t xml:space="preserve"> to “fix”</w:t>
            </w:r>
            <w:r w:rsidR="006E15DE" w:rsidRPr="00A051DA">
              <w:rPr>
                <w:rFonts w:asciiTheme="minorHAnsi" w:hAnsiTheme="minorHAnsi" w:cstheme="minorHAnsi"/>
                <w:sz w:val="22"/>
              </w:rPr>
              <w:t xml:space="preserve"> </w:t>
            </w:r>
            <w:r w:rsidR="0027705A" w:rsidRPr="00A051DA">
              <w:rPr>
                <w:rFonts w:asciiTheme="minorHAnsi" w:hAnsiTheme="minorHAnsi" w:cstheme="minorHAnsi"/>
                <w:sz w:val="22"/>
              </w:rPr>
              <w:t>the long standing problems of the Indian health system presents a good opportunity for NTEP</w:t>
            </w:r>
            <w:r w:rsidR="0099637F" w:rsidRPr="00A051DA">
              <w:rPr>
                <w:rFonts w:asciiTheme="minorHAnsi" w:hAnsiTheme="minorHAnsi" w:cstheme="minorHAnsi"/>
                <w:sz w:val="22"/>
              </w:rPr>
              <w:t xml:space="preserve"> to further improve the </w:t>
            </w:r>
            <w:r w:rsidR="008B1BB0" w:rsidRPr="00A051DA">
              <w:rPr>
                <w:rFonts w:asciiTheme="minorHAnsi" w:hAnsiTheme="minorHAnsi" w:cstheme="minorHAnsi"/>
                <w:sz w:val="22"/>
              </w:rPr>
              <w:t>national response</w:t>
            </w:r>
            <w:r w:rsidR="0099637F" w:rsidRPr="00A051DA">
              <w:rPr>
                <w:rFonts w:asciiTheme="minorHAnsi" w:hAnsiTheme="minorHAnsi" w:cstheme="minorHAnsi"/>
                <w:sz w:val="22"/>
              </w:rPr>
              <w:t>.</w:t>
            </w:r>
            <w:r w:rsidR="006E15DE" w:rsidRPr="00A051DA">
              <w:rPr>
                <w:rFonts w:asciiTheme="minorHAnsi" w:hAnsiTheme="minorHAnsi" w:cstheme="minorHAnsi"/>
                <w:sz w:val="22"/>
              </w:rPr>
              <w:t xml:space="preserve">  </w:t>
            </w:r>
          </w:p>
          <w:p w14:paraId="4059FFF8" w14:textId="77777777" w:rsidR="002D44BE" w:rsidRPr="003F32CF" w:rsidRDefault="002D44BE" w:rsidP="00442A67">
            <w:pPr>
              <w:pStyle w:val="ListParagraph"/>
              <w:numPr>
                <w:ilvl w:val="0"/>
                <w:numId w:val="24"/>
              </w:numPr>
              <w:spacing w:before="0" w:after="0"/>
              <w:contextualSpacing w:val="0"/>
              <w:jc w:val="both"/>
              <w:rPr>
                <w:rFonts w:asciiTheme="minorHAnsi" w:hAnsiTheme="minorHAnsi" w:cstheme="minorHAnsi"/>
                <w:sz w:val="22"/>
              </w:rPr>
            </w:pPr>
            <w:r w:rsidRPr="003F32CF">
              <w:rPr>
                <w:rFonts w:asciiTheme="minorHAnsi" w:hAnsiTheme="minorHAnsi" w:cstheme="minorHAnsi"/>
                <w:sz w:val="22"/>
              </w:rPr>
              <w:t xml:space="preserve">Potential of leveraging the programmes of other ministries to compliment </w:t>
            </w:r>
            <w:r>
              <w:rPr>
                <w:rFonts w:asciiTheme="minorHAnsi" w:hAnsiTheme="minorHAnsi" w:cstheme="minorHAnsi"/>
                <w:sz w:val="22"/>
              </w:rPr>
              <w:t>NTEP</w:t>
            </w:r>
            <w:r w:rsidRPr="003F32CF">
              <w:rPr>
                <w:rFonts w:asciiTheme="minorHAnsi" w:hAnsiTheme="minorHAnsi" w:cstheme="minorHAnsi"/>
                <w:sz w:val="22"/>
              </w:rPr>
              <w:t xml:space="preserve">s actions to end TB  </w:t>
            </w:r>
          </w:p>
          <w:p w14:paraId="725D4CB2" w14:textId="576BD1DE" w:rsidR="0020365A" w:rsidRPr="0020365A" w:rsidRDefault="0020365A" w:rsidP="00442A67">
            <w:pPr>
              <w:numPr>
                <w:ilvl w:val="0"/>
                <w:numId w:val="24"/>
              </w:numPr>
              <w:spacing w:before="0" w:after="0"/>
              <w:jc w:val="both"/>
              <w:rPr>
                <w:rFonts w:asciiTheme="minorHAnsi" w:hAnsiTheme="minorHAnsi" w:cstheme="minorHAnsi"/>
                <w:sz w:val="22"/>
              </w:rPr>
            </w:pPr>
            <w:r w:rsidRPr="0020365A">
              <w:rPr>
                <w:rFonts w:asciiTheme="minorHAnsi" w:hAnsiTheme="minorHAnsi" w:cstheme="minorHAnsi"/>
                <w:sz w:val="22"/>
              </w:rPr>
              <w:t xml:space="preserve">Increased enforcement of mandatory notification / Schedule H-1 </w:t>
            </w:r>
          </w:p>
          <w:p w14:paraId="00544A5F" w14:textId="495AC79D" w:rsidR="0020365A" w:rsidRPr="0020365A" w:rsidRDefault="0020365A" w:rsidP="00442A67">
            <w:pPr>
              <w:numPr>
                <w:ilvl w:val="0"/>
                <w:numId w:val="24"/>
              </w:numPr>
              <w:spacing w:before="0" w:after="0"/>
              <w:jc w:val="both"/>
              <w:rPr>
                <w:rFonts w:asciiTheme="minorHAnsi" w:hAnsiTheme="minorHAnsi" w:cstheme="minorHAnsi"/>
                <w:sz w:val="22"/>
              </w:rPr>
            </w:pPr>
            <w:r w:rsidRPr="0020365A">
              <w:rPr>
                <w:rFonts w:asciiTheme="minorHAnsi" w:hAnsiTheme="minorHAnsi" w:cstheme="minorHAnsi"/>
                <w:sz w:val="22"/>
              </w:rPr>
              <w:t>Emerging business models:</w:t>
            </w:r>
            <w:r w:rsidR="00401F49">
              <w:rPr>
                <w:rFonts w:asciiTheme="minorHAnsi" w:hAnsiTheme="minorHAnsi" w:cstheme="minorHAnsi"/>
                <w:sz w:val="22"/>
              </w:rPr>
              <w:t xml:space="preserve"> </w:t>
            </w:r>
            <w:r w:rsidRPr="0020365A">
              <w:rPr>
                <w:rFonts w:asciiTheme="minorHAnsi" w:hAnsiTheme="minorHAnsi" w:cstheme="minorHAnsi"/>
                <w:sz w:val="22"/>
              </w:rPr>
              <w:t>consolida</w:t>
            </w:r>
            <w:r>
              <w:rPr>
                <w:rFonts w:asciiTheme="minorHAnsi" w:hAnsiTheme="minorHAnsi" w:cstheme="minorHAnsi"/>
                <w:sz w:val="22"/>
              </w:rPr>
              <w:t>tion, chains, e-pharmacies, etc. for engaging the private sector</w:t>
            </w:r>
          </w:p>
          <w:p w14:paraId="01D9E479" w14:textId="76B7C4A5" w:rsidR="007068B9" w:rsidRDefault="0020365A" w:rsidP="00442A67">
            <w:pPr>
              <w:numPr>
                <w:ilvl w:val="0"/>
                <w:numId w:val="24"/>
              </w:numPr>
              <w:spacing w:before="0" w:after="0"/>
              <w:jc w:val="both"/>
              <w:rPr>
                <w:rFonts w:asciiTheme="minorHAnsi" w:hAnsiTheme="minorHAnsi" w:cstheme="minorHAnsi"/>
                <w:sz w:val="22"/>
              </w:rPr>
            </w:pPr>
            <w:r w:rsidRPr="0020365A">
              <w:rPr>
                <w:rFonts w:asciiTheme="minorHAnsi" w:hAnsiTheme="minorHAnsi" w:cstheme="minorHAnsi"/>
                <w:sz w:val="22"/>
              </w:rPr>
              <w:t xml:space="preserve">Expansion of </w:t>
            </w:r>
            <w:r w:rsidR="00A62CEE">
              <w:rPr>
                <w:rFonts w:asciiTheme="minorHAnsi" w:hAnsiTheme="minorHAnsi" w:cstheme="minorHAnsi"/>
                <w:sz w:val="22"/>
              </w:rPr>
              <w:t xml:space="preserve">Ayushman Bharat and </w:t>
            </w:r>
            <w:r w:rsidRPr="0020365A">
              <w:rPr>
                <w:rFonts w:asciiTheme="minorHAnsi" w:hAnsiTheme="minorHAnsi" w:cstheme="minorHAnsi"/>
                <w:sz w:val="22"/>
              </w:rPr>
              <w:t>Pradhan Mantri Jan Arogya Yojana (PMJAY)</w:t>
            </w:r>
            <w:r w:rsidR="00A62CEE">
              <w:rPr>
                <w:rFonts w:asciiTheme="minorHAnsi" w:hAnsiTheme="minorHAnsi" w:cstheme="minorHAnsi"/>
                <w:sz w:val="22"/>
              </w:rPr>
              <w:t xml:space="preserve"> </w:t>
            </w:r>
            <w:r>
              <w:rPr>
                <w:rFonts w:asciiTheme="minorHAnsi" w:hAnsiTheme="minorHAnsi" w:cstheme="minorHAnsi"/>
                <w:sz w:val="22"/>
              </w:rPr>
              <w:t xml:space="preserve"> to cover TB </w:t>
            </w:r>
            <w:r w:rsidR="007F478F">
              <w:rPr>
                <w:rFonts w:asciiTheme="minorHAnsi" w:hAnsiTheme="minorHAnsi" w:cstheme="minorHAnsi"/>
                <w:sz w:val="22"/>
              </w:rPr>
              <w:lastRenderedPageBreak/>
              <w:t>patients</w:t>
            </w:r>
            <w:r w:rsidR="0099637F">
              <w:rPr>
                <w:rFonts w:asciiTheme="minorHAnsi" w:hAnsiTheme="minorHAnsi" w:cstheme="minorHAnsi"/>
                <w:sz w:val="22"/>
              </w:rPr>
              <w:t xml:space="preserve"> </w:t>
            </w:r>
          </w:p>
          <w:p w14:paraId="31DD9185" w14:textId="77777777" w:rsidR="00A62CEE" w:rsidRDefault="008B1BB0" w:rsidP="00442A67">
            <w:pPr>
              <w:numPr>
                <w:ilvl w:val="0"/>
                <w:numId w:val="24"/>
              </w:numPr>
              <w:spacing w:before="0" w:after="0"/>
              <w:jc w:val="both"/>
              <w:rPr>
                <w:rFonts w:asciiTheme="minorHAnsi" w:hAnsiTheme="minorHAnsi" w:cstheme="minorHAnsi"/>
                <w:sz w:val="22"/>
              </w:rPr>
            </w:pPr>
            <w:r w:rsidRPr="00A051DA">
              <w:rPr>
                <w:rFonts w:asciiTheme="minorHAnsi" w:hAnsiTheme="minorHAnsi" w:cstheme="minorHAnsi"/>
                <w:sz w:val="22"/>
              </w:rPr>
              <w:t xml:space="preserve">Tapping into the </w:t>
            </w:r>
            <w:r w:rsidR="00A62CEE" w:rsidRPr="00A051DA">
              <w:rPr>
                <w:rFonts w:asciiTheme="minorHAnsi" w:hAnsiTheme="minorHAnsi" w:cstheme="minorHAnsi"/>
                <w:sz w:val="22"/>
              </w:rPr>
              <w:t>vibrant start up culture</w:t>
            </w:r>
            <w:r w:rsidR="00984552" w:rsidRPr="00A051DA">
              <w:rPr>
                <w:rFonts w:asciiTheme="minorHAnsi" w:hAnsiTheme="minorHAnsi" w:cstheme="minorHAnsi"/>
                <w:sz w:val="22"/>
              </w:rPr>
              <w:t xml:space="preserve"> in India</w:t>
            </w:r>
            <w:r w:rsidRPr="00A051DA">
              <w:rPr>
                <w:rFonts w:asciiTheme="minorHAnsi" w:hAnsiTheme="minorHAnsi" w:cstheme="minorHAnsi"/>
                <w:sz w:val="22"/>
              </w:rPr>
              <w:t xml:space="preserve"> has the </w:t>
            </w:r>
            <w:r w:rsidR="00984552" w:rsidRPr="00A051DA">
              <w:rPr>
                <w:rFonts w:asciiTheme="minorHAnsi" w:hAnsiTheme="minorHAnsi" w:cstheme="minorHAnsi"/>
                <w:sz w:val="22"/>
              </w:rPr>
              <w:t xml:space="preserve">potential to </w:t>
            </w:r>
            <w:r w:rsidRPr="00A051DA">
              <w:rPr>
                <w:rFonts w:asciiTheme="minorHAnsi" w:hAnsiTheme="minorHAnsi" w:cstheme="minorHAnsi"/>
                <w:sz w:val="22"/>
              </w:rPr>
              <w:t>provide</w:t>
            </w:r>
            <w:r w:rsidR="00984552" w:rsidRPr="00A051DA">
              <w:rPr>
                <w:rFonts w:asciiTheme="minorHAnsi" w:hAnsiTheme="minorHAnsi" w:cstheme="minorHAnsi"/>
                <w:sz w:val="22"/>
              </w:rPr>
              <w:t xml:space="preserve"> innovative solutions to END TB. </w:t>
            </w:r>
          </w:p>
          <w:p w14:paraId="1C245E01" w14:textId="77777777" w:rsidR="004C2A66" w:rsidRDefault="004C2A66" w:rsidP="00442A67">
            <w:pPr>
              <w:numPr>
                <w:ilvl w:val="0"/>
                <w:numId w:val="24"/>
              </w:numPr>
              <w:spacing w:before="0" w:after="0"/>
              <w:jc w:val="both"/>
              <w:rPr>
                <w:rFonts w:asciiTheme="minorHAnsi" w:hAnsiTheme="minorHAnsi" w:cstheme="minorHAnsi"/>
                <w:sz w:val="22"/>
              </w:rPr>
            </w:pPr>
            <w:r w:rsidRPr="0020365A">
              <w:rPr>
                <w:rFonts w:asciiTheme="minorHAnsi" w:hAnsiTheme="minorHAnsi" w:cstheme="minorHAnsi"/>
                <w:sz w:val="22"/>
              </w:rPr>
              <w:t>Technical Support Units (TSUs)</w:t>
            </w:r>
            <w:r>
              <w:rPr>
                <w:rFonts w:asciiTheme="minorHAnsi" w:hAnsiTheme="minorHAnsi" w:cstheme="minorHAnsi"/>
                <w:sz w:val="22"/>
              </w:rPr>
              <w:t xml:space="preserve"> to intensify private sector participation </w:t>
            </w:r>
          </w:p>
          <w:p w14:paraId="3A37192A" w14:textId="77777777" w:rsidR="004C2A66" w:rsidRPr="0020365A" w:rsidRDefault="004C2A66" w:rsidP="00442A67">
            <w:pPr>
              <w:numPr>
                <w:ilvl w:val="0"/>
                <w:numId w:val="24"/>
              </w:numPr>
              <w:spacing w:before="0" w:after="0"/>
              <w:jc w:val="both"/>
              <w:rPr>
                <w:rFonts w:asciiTheme="minorHAnsi" w:hAnsiTheme="minorHAnsi" w:cstheme="minorHAnsi"/>
                <w:sz w:val="22"/>
              </w:rPr>
            </w:pPr>
            <w:r w:rsidRPr="006121E1">
              <w:rPr>
                <w:rFonts w:asciiTheme="minorHAnsi" w:hAnsiTheme="minorHAnsi" w:cstheme="minorHAnsi"/>
                <w:sz w:val="22"/>
              </w:rPr>
              <w:t>Vibrant community systems for supporting TB care</w:t>
            </w:r>
          </w:p>
          <w:p w14:paraId="20699D1F" w14:textId="33CDBF4F" w:rsidR="004C2A66" w:rsidRPr="00CD41BA" w:rsidRDefault="004C2A66" w:rsidP="00CD41BA">
            <w:pPr>
              <w:numPr>
                <w:ilvl w:val="0"/>
                <w:numId w:val="24"/>
              </w:numPr>
              <w:spacing w:before="0" w:after="0"/>
              <w:jc w:val="both"/>
              <w:rPr>
                <w:rFonts w:asciiTheme="minorHAnsi" w:hAnsiTheme="minorHAnsi" w:cstheme="minorHAnsi"/>
                <w:sz w:val="22"/>
              </w:rPr>
            </w:pPr>
            <w:r>
              <w:rPr>
                <w:rFonts w:asciiTheme="minorHAnsi" w:hAnsiTheme="minorHAnsi" w:cstheme="minorHAnsi"/>
                <w:sz w:val="22"/>
              </w:rPr>
              <w:t>P</w:t>
            </w:r>
            <w:r w:rsidRPr="00401F49">
              <w:rPr>
                <w:rFonts w:asciiTheme="minorHAnsi" w:hAnsiTheme="minorHAnsi" w:cstheme="minorHAnsi"/>
                <w:sz w:val="22"/>
              </w:rPr>
              <w:t xml:space="preserve">articipation by other ministries and programmes that can accelerate and augment the national END TB response </w:t>
            </w:r>
          </w:p>
        </w:tc>
        <w:tc>
          <w:tcPr>
            <w:tcW w:w="4320" w:type="dxa"/>
            <w:shd w:val="clear" w:color="auto" w:fill="E5E5E5" w:themeFill="accent3" w:themeFillTint="33"/>
          </w:tcPr>
          <w:p w14:paraId="2CCF4C38" w14:textId="596B29F3" w:rsidR="007068B9" w:rsidRPr="00984552" w:rsidRDefault="007068B9" w:rsidP="00442A67">
            <w:pPr>
              <w:numPr>
                <w:ilvl w:val="0"/>
                <w:numId w:val="25"/>
              </w:numPr>
              <w:spacing w:before="0" w:after="0"/>
              <w:ind w:left="242" w:hanging="242"/>
              <w:jc w:val="both"/>
              <w:rPr>
                <w:rFonts w:asciiTheme="minorHAnsi" w:hAnsiTheme="minorHAnsi" w:cstheme="minorHAnsi"/>
                <w:sz w:val="22"/>
              </w:rPr>
            </w:pPr>
            <w:r w:rsidRPr="00984552">
              <w:rPr>
                <w:rFonts w:asciiTheme="minorHAnsi" w:hAnsiTheme="minorHAnsi" w:cstheme="minorHAnsi"/>
                <w:sz w:val="22"/>
              </w:rPr>
              <w:lastRenderedPageBreak/>
              <w:t>Insufficient budgetary outlay for health in the national budgets compromising the allocation to TB commensurate with requirements to END TB.</w:t>
            </w:r>
          </w:p>
          <w:p w14:paraId="1F0C4A7C" w14:textId="7D674BD9" w:rsidR="001F798C" w:rsidRPr="00B17D91" w:rsidRDefault="001F798C" w:rsidP="00442A67">
            <w:pPr>
              <w:numPr>
                <w:ilvl w:val="0"/>
                <w:numId w:val="25"/>
              </w:numPr>
              <w:spacing w:before="0" w:after="0"/>
              <w:ind w:left="242" w:hanging="242"/>
              <w:jc w:val="both"/>
              <w:rPr>
                <w:rFonts w:asciiTheme="minorHAnsi" w:hAnsiTheme="minorHAnsi" w:cstheme="minorHAnsi"/>
                <w:sz w:val="22"/>
              </w:rPr>
            </w:pPr>
            <w:r>
              <w:rPr>
                <w:rFonts w:asciiTheme="minorHAnsi" w:hAnsiTheme="minorHAnsi" w:cstheme="minorHAnsi"/>
                <w:sz w:val="22"/>
              </w:rPr>
              <w:t>Inadequate budgetary allocation due to competing priorities</w:t>
            </w:r>
          </w:p>
          <w:p w14:paraId="3E5DACCC" w14:textId="788FEC36" w:rsidR="000B7BDD" w:rsidRPr="0027705A" w:rsidRDefault="000B7BDD" w:rsidP="00442A67">
            <w:pPr>
              <w:numPr>
                <w:ilvl w:val="0"/>
                <w:numId w:val="25"/>
              </w:numPr>
              <w:spacing w:before="0" w:after="0"/>
              <w:ind w:left="242" w:hanging="242"/>
              <w:jc w:val="both"/>
              <w:rPr>
                <w:rFonts w:asciiTheme="minorHAnsi" w:hAnsiTheme="minorHAnsi" w:cstheme="minorHAnsi"/>
                <w:color w:val="FF0000"/>
                <w:sz w:val="22"/>
              </w:rPr>
            </w:pPr>
            <w:r w:rsidRPr="002D44BE">
              <w:rPr>
                <w:rFonts w:asciiTheme="minorHAnsi" w:hAnsiTheme="minorHAnsi" w:cstheme="minorHAnsi"/>
                <w:sz w:val="22"/>
              </w:rPr>
              <w:t xml:space="preserve">The socio-cultural-economic effects and impact of COIVD19 isn’t yet well understood however it </w:t>
            </w:r>
            <w:r w:rsidR="00984552">
              <w:rPr>
                <w:rFonts w:asciiTheme="minorHAnsi" w:hAnsiTheme="minorHAnsi" w:cstheme="minorHAnsi"/>
                <w:sz w:val="22"/>
              </w:rPr>
              <w:t>has the potential to</w:t>
            </w:r>
            <w:r w:rsidRPr="002D44BE">
              <w:rPr>
                <w:rFonts w:asciiTheme="minorHAnsi" w:hAnsiTheme="minorHAnsi" w:cstheme="minorHAnsi"/>
                <w:sz w:val="22"/>
              </w:rPr>
              <w:t xml:space="preserve"> derail </w:t>
            </w:r>
            <w:r>
              <w:rPr>
                <w:rFonts w:asciiTheme="minorHAnsi" w:hAnsiTheme="minorHAnsi" w:cstheme="minorHAnsi"/>
                <w:sz w:val="22"/>
              </w:rPr>
              <w:t xml:space="preserve">the TB programme </w:t>
            </w:r>
            <w:r w:rsidR="00984552">
              <w:rPr>
                <w:rFonts w:asciiTheme="minorHAnsi" w:hAnsiTheme="minorHAnsi" w:cstheme="minorHAnsi"/>
                <w:sz w:val="22"/>
              </w:rPr>
              <w:t xml:space="preserve">which </w:t>
            </w:r>
            <w:r>
              <w:rPr>
                <w:rFonts w:asciiTheme="minorHAnsi" w:hAnsiTheme="minorHAnsi" w:cstheme="minorHAnsi"/>
                <w:sz w:val="22"/>
              </w:rPr>
              <w:t xml:space="preserve">will have an impact on reaching the targets of END TB. </w:t>
            </w:r>
          </w:p>
          <w:p w14:paraId="40DDB648" w14:textId="205A4C23" w:rsidR="001F798C" w:rsidRDefault="001F798C" w:rsidP="00442A67">
            <w:pPr>
              <w:numPr>
                <w:ilvl w:val="0"/>
                <w:numId w:val="25"/>
              </w:numPr>
              <w:spacing w:before="0" w:after="0"/>
              <w:ind w:left="242" w:hanging="242"/>
              <w:jc w:val="both"/>
              <w:rPr>
                <w:rFonts w:asciiTheme="minorHAnsi" w:hAnsiTheme="minorHAnsi" w:cstheme="minorHAnsi"/>
                <w:sz w:val="22"/>
              </w:rPr>
            </w:pPr>
            <w:r>
              <w:rPr>
                <w:rFonts w:asciiTheme="minorHAnsi" w:hAnsiTheme="minorHAnsi" w:cstheme="minorHAnsi"/>
                <w:sz w:val="22"/>
              </w:rPr>
              <w:t xml:space="preserve">Economic </w:t>
            </w:r>
            <w:r w:rsidR="00984552">
              <w:rPr>
                <w:rFonts w:asciiTheme="minorHAnsi" w:hAnsiTheme="minorHAnsi" w:cstheme="minorHAnsi"/>
                <w:sz w:val="22"/>
              </w:rPr>
              <w:t>slowdown owing to the pandemic</w:t>
            </w:r>
          </w:p>
          <w:p w14:paraId="77F0C5B9" w14:textId="77777777" w:rsidR="007068B9" w:rsidRDefault="001F798C" w:rsidP="00442A67">
            <w:pPr>
              <w:numPr>
                <w:ilvl w:val="0"/>
                <w:numId w:val="25"/>
              </w:numPr>
              <w:spacing w:before="0" w:after="0"/>
              <w:ind w:left="242" w:hanging="242"/>
              <w:jc w:val="both"/>
              <w:rPr>
                <w:rFonts w:asciiTheme="minorHAnsi" w:hAnsiTheme="minorHAnsi" w:cstheme="minorHAnsi"/>
                <w:sz w:val="22"/>
              </w:rPr>
            </w:pPr>
            <w:r w:rsidRPr="001F798C">
              <w:rPr>
                <w:rFonts w:asciiTheme="minorHAnsi" w:hAnsiTheme="minorHAnsi" w:cstheme="minorHAnsi"/>
                <w:sz w:val="22"/>
              </w:rPr>
              <w:t xml:space="preserve">Repurposing of infrastructure and existing TB human resources for emergent needs </w:t>
            </w:r>
          </w:p>
          <w:p w14:paraId="64D6EB23" w14:textId="77777777" w:rsidR="006121E1" w:rsidRPr="006121E1" w:rsidRDefault="006121E1" w:rsidP="00442A67">
            <w:pPr>
              <w:numPr>
                <w:ilvl w:val="0"/>
                <w:numId w:val="25"/>
              </w:numPr>
              <w:spacing w:before="0" w:after="0"/>
              <w:ind w:left="242" w:hanging="242"/>
              <w:jc w:val="both"/>
              <w:rPr>
                <w:rFonts w:asciiTheme="minorHAnsi" w:hAnsiTheme="minorHAnsi" w:cstheme="minorHAnsi"/>
                <w:sz w:val="22"/>
              </w:rPr>
            </w:pPr>
            <w:r w:rsidRPr="006121E1">
              <w:rPr>
                <w:rFonts w:asciiTheme="minorHAnsi" w:hAnsiTheme="minorHAnsi" w:cstheme="minorHAnsi"/>
                <w:sz w:val="22"/>
              </w:rPr>
              <w:t>Rapid urbanization, poor living conditions, ever increasing migrant population</w:t>
            </w:r>
          </w:p>
          <w:p w14:paraId="6ADE3919" w14:textId="77777777" w:rsidR="008B1BB0" w:rsidRDefault="008B1BB0" w:rsidP="00442A67">
            <w:pPr>
              <w:numPr>
                <w:ilvl w:val="0"/>
                <w:numId w:val="25"/>
              </w:numPr>
              <w:spacing w:before="0" w:after="0"/>
              <w:ind w:left="242" w:hanging="242"/>
              <w:jc w:val="both"/>
              <w:rPr>
                <w:rFonts w:asciiTheme="minorHAnsi" w:hAnsiTheme="minorHAnsi" w:cstheme="minorHAnsi"/>
                <w:sz w:val="22"/>
              </w:rPr>
            </w:pPr>
            <w:r>
              <w:rPr>
                <w:rFonts w:asciiTheme="minorHAnsi" w:hAnsiTheme="minorHAnsi" w:cstheme="minorHAnsi"/>
                <w:sz w:val="22"/>
              </w:rPr>
              <w:lastRenderedPageBreak/>
              <w:t xml:space="preserve">Future epidemics </w:t>
            </w:r>
          </w:p>
          <w:p w14:paraId="03D311CC" w14:textId="52483108" w:rsidR="008B1BB0" w:rsidRPr="001F798C" w:rsidRDefault="008B1BB0" w:rsidP="008B1BB0">
            <w:pPr>
              <w:spacing w:before="0" w:after="0"/>
              <w:ind w:left="242"/>
              <w:jc w:val="both"/>
              <w:rPr>
                <w:rFonts w:asciiTheme="minorHAnsi" w:hAnsiTheme="minorHAnsi" w:cstheme="minorHAnsi"/>
                <w:sz w:val="22"/>
              </w:rPr>
            </w:pPr>
          </w:p>
        </w:tc>
      </w:tr>
    </w:tbl>
    <w:p w14:paraId="01D9322B" w14:textId="77777777" w:rsidR="008E5A4C" w:rsidRDefault="008E5A4C" w:rsidP="008E5A4C"/>
    <w:p w14:paraId="7888249B" w14:textId="42121FC1" w:rsidR="008E5A4C" w:rsidRDefault="000C61CE" w:rsidP="00C1060F">
      <w:pPr>
        <w:spacing w:before="240" w:after="240"/>
        <w:jc w:val="both"/>
        <w:rPr>
          <w:rFonts w:asciiTheme="minorHAnsi" w:hAnsiTheme="minorHAnsi" w:cstheme="minorHAnsi"/>
          <w:color w:val="FF0000"/>
          <w:sz w:val="22"/>
        </w:rPr>
      </w:pPr>
      <w:r>
        <w:rPr>
          <w:rFonts w:asciiTheme="minorHAnsi" w:hAnsiTheme="minorHAnsi" w:cstheme="minorHAnsi"/>
          <w:b/>
          <w:noProof/>
          <w:sz w:val="28"/>
          <w:szCs w:val="28"/>
          <w:lang w:val="en-IN" w:eastAsia="en-IN"/>
        </w:rPr>
        <w:lastRenderedPageBreak/>
        <mc:AlternateContent>
          <mc:Choice Requires="wps">
            <w:drawing>
              <wp:anchor distT="0" distB="0" distL="114300" distR="114300" simplePos="0" relativeHeight="251661312" behindDoc="0" locked="0" layoutInCell="1" allowOverlap="1" wp14:anchorId="4C58F818" wp14:editId="06C97D88">
                <wp:simplePos x="0" y="0"/>
                <wp:positionH relativeFrom="column">
                  <wp:posOffset>-588010</wp:posOffset>
                </wp:positionH>
                <wp:positionV relativeFrom="paragraph">
                  <wp:posOffset>-537210</wp:posOffset>
                </wp:positionV>
                <wp:extent cx="6878955" cy="9796780"/>
                <wp:effectExtent l="0" t="0" r="17145" b="1397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9796780"/>
                        </a:xfrm>
                        <a:prstGeom prst="rect">
                          <a:avLst/>
                        </a:prstGeom>
                        <a:solidFill>
                          <a:schemeClr val="tx2">
                            <a:lumMod val="75000"/>
                          </a:schemeClr>
                        </a:solidFill>
                        <a:ln w="9525">
                          <a:solidFill>
                            <a:schemeClr val="tx2">
                              <a:lumMod val="75000"/>
                            </a:schemeClr>
                          </a:solidFill>
                          <a:miter lim="800000"/>
                          <a:headEnd/>
                          <a:tailEnd/>
                        </a:ln>
                      </wps:spPr>
                      <wps:txbx>
                        <w:txbxContent>
                          <w:p w14:paraId="4808C608" w14:textId="77777777" w:rsidR="00D55F8F" w:rsidRPr="00EF09B4" w:rsidRDefault="00D55F8F" w:rsidP="000C61CE">
                            <w:pPr>
                              <w:shd w:val="clear" w:color="auto" w:fill="17365D" w:themeFill="text2" w:themeFillShade="BF"/>
                              <w:jc w:val="right"/>
                              <w:rPr>
                                <w:color w:val="FFFFFF" w:themeColor="background1"/>
                                <w:sz w:val="144"/>
                                <w:szCs w:val="144"/>
                                <w:lang w:val="en-GB"/>
                              </w:rPr>
                            </w:pPr>
                          </w:p>
                          <w:p w14:paraId="3A519096" w14:textId="77777777" w:rsidR="00D55F8F" w:rsidRPr="00AF2BB1" w:rsidRDefault="00D55F8F" w:rsidP="000C61CE">
                            <w:pPr>
                              <w:shd w:val="clear" w:color="auto" w:fill="17365D" w:themeFill="text2" w:themeFillShade="BF"/>
                              <w:spacing w:after="720"/>
                              <w:jc w:val="right"/>
                              <w:rPr>
                                <w:rFonts w:ascii="Bernard MT Condensed" w:hAnsi="Bernard MT Condensed"/>
                                <w:color w:val="FFFF00"/>
                                <w:sz w:val="144"/>
                                <w:szCs w:val="144"/>
                                <w:lang w:val="en-GB"/>
                              </w:rPr>
                            </w:pPr>
                            <w:r>
                              <w:rPr>
                                <w:rFonts w:ascii="Bernard MT Condensed" w:hAnsi="Bernard MT Condensed"/>
                                <w:color w:val="FFFF00"/>
                                <w:sz w:val="144"/>
                                <w:szCs w:val="144"/>
                                <w:lang w:val="en-GB"/>
                              </w:rPr>
                              <w:t>Section 2</w:t>
                            </w:r>
                          </w:p>
                          <w:p w14:paraId="0EC5BE8E" w14:textId="1AAC57AB" w:rsidR="00D55F8F" w:rsidRDefault="00D55F8F" w:rsidP="000C61CE">
                            <w:pPr>
                              <w:shd w:val="clear" w:color="auto" w:fill="17365D" w:themeFill="text2" w:themeFillShade="BF"/>
                              <w:ind w:left="1440"/>
                              <w:rPr>
                                <w:rFonts w:ascii="Bernard MT Condensed" w:hAnsi="Bernard MT Condensed"/>
                                <w:color w:val="FFFFFF" w:themeColor="background1"/>
                                <w:sz w:val="40"/>
                                <w:szCs w:val="48"/>
                                <w:lang w:val="en-GB"/>
                              </w:rPr>
                            </w:pPr>
                            <w:r>
                              <w:rPr>
                                <w:rFonts w:ascii="Bernard MT Condensed" w:hAnsi="Bernard MT Condensed"/>
                                <w:color w:val="FFFFFF" w:themeColor="background1"/>
                                <w:sz w:val="40"/>
                                <w:szCs w:val="48"/>
                                <w:lang w:val="en-GB"/>
                              </w:rPr>
                              <w:t xml:space="preserve">CHAPTER 5: IMPACT MODELLING  </w:t>
                            </w:r>
                          </w:p>
                          <w:p w14:paraId="23460AA5" w14:textId="2483E7AA" w:rsidR="00D55F8F" w:rsidRDefault="00D55F8F" w:rsidP="000C61CE">
                            <w:pPr>
                              <w:shd w:val="clear" w:color="auto" w:fill="17365D" w:themeFill="text2" w:themeFillShade="BF"/>
                              <w:ind w:left="1440"/>
                              <w:rPr>
                                <w:rFonts w:ascii="Bernard MT Condensed" w:hAnsi="Bernard MT Condensed"/>
                                <w:color w:val="FFFFFF" w:themeColor="background1"/>
                                <w:sz w:val="40"/>
                                <w:szCs w:val="48"/>
                                <w:lang w:val="en-GB"/>
                              </w:rPr>
                            </w:pPr>
                            <w:r>
                              <w:rPr>
                                <w:rFonts w:ascii="Bernard MT Condensed" w:hAnsi="Bernard MT Condensed"/>
                                <w:color w:val="FFFFFF" w:themeColor="background1"/>
                                <w:sz w:val="40"/>
                                <w:szCs w:val="48"/>
                                <w:lang w:val="en-GB"/>
                              </w:rPr>
                              <w:t>CHAPTER 6</w:t>
                            </w:r>
                            <w:r w:rsidRPr="00713F88">
                              <w:rPr>
                                <w:rFonts w:ascii="Bernard MT Condensed" w:hAnsi="Bernard MT Condensed"/>
                                <w:color w:val="FFFFFF" w:themeColor="background1"/>
                                <w:sz w:val="40"/>
                                <w:szCs w:val="48"/>
                                <w:lang w:val="en-GB"/>
                              </w:rPr>
                              <w:t xml:space="preserve">: THE NSP </w:t>
                            </w:r>
                            <w:r>
                              <w:rPr>
                                <w:rFonts w:ascii="Bernard MT Condensed" w:hAnsi="Bernard MT Condensed"/>
                                <w:color w:val="FFFFFF" w:themeColor="background1"/>
                                <w:sz w:val="40"/>
                                <w:szCs w:val="48"/>
                                <w:lang w:val="en-GB"/>
                              </w:rPr>
                              <w:t xml:space="preserve">STRATEGIC FRAMEWORK, </w:t>
                            </w:r>
                            <w:r w:rsidRPr="00713F88">
                              <w:rPr>
                                <w:rFonts w:ascii="Bernard MT Condensed" w:hAnsi="Bernard MT Condensed"/>
                                <w:color w:val="FFFFFF" w:themeColor="background1"/>
                                <w:sz w:val="40"/>
                                <w:szCs w:val="48"/>
                                <w:lang w:val="en-GB"/>
                              </w:rPr>
                              <w:t>RESULTS FRAMEWORK AND PERFORMNACE MEASURES</w:t>
                            </w:r>
                            <w:r>
                              <w:rPr>
                                <w:rFonts w:ascii="Bernard MT Condensed" w:hAnsi="Bernard MT Condensed"/>
                                <w:color w:val="FFFFFF" w:themeColor="background1"/>
                                <w:sz w:val="40"/>
                                <w:szCs w:val="48"/>
                                <w:lang w:val="en-GB"/>
                              </w:rPr>
                              <w:t xml:space="preserve"> </w:t>
                            </w:r>
                          </w:p>
                          <w:p w14:paraId="297A1584" w14:textId="77777777" w:rsidR="00D55F8F" w:rsidRDefault="00D55F8F" w:rsidP="000C61CE">
                            <w:pPr>
                              <w:shd w:val="clear" w:color="auto" w:fill="17365D" w:themeFill="text2" w:themeFillShade="BF"/>
                              <w:ind w:left="1440"/>
                              <w:rPr>
                                <w:rFonts w:ascii="Bernard MT Condensed" w:hAnsi="Bernard MT Condensed"/>
                                <w:color w:val="FFFFFF" w:themeColor="background1"/>
                                <w:sz w:val="40"/>
                                <w:szCs w:val="48"/>
                                <w:lang w:val="en-GB"/>
                              </w:rPr>
                            </w:pPr>
                          </w:p>
                          <w:p w14:paraId="6FF93915" w14:textId="77777777" w:rsidR="00D55F8F" w:rsidRPr="00713F88" w:rsidRDefault="00D55F8F" w:rsidP="000C61CE">
                            <w:pPr>
                              <w:shd w:val="clear" w:color="auto" w:fill="17365D" w:themeFill="text2" w:themeFillShade="BF"/>
                              <w:ind w:left="1440"/>
                              <w:jc w:val="right"/>
                              <w:rPr>
                                <w:rFonts w:ascii="Bernard MT Condensed" w:hAnsi="Bernard MT Condensed"/>
                                <w:color w:val="FFFFFF" w:themeColor="background1"/>
                                <w:sz w:val="40"/>
                                <w:szCs w:val="48"/>
                                <w:lang w:val="en-GB"/>
                              </w:rPr>
                            </w:pPr>
                          </w:p>
                        </w:txbxContent>
                      </wps:txbx>
                      <wps:bodyPr rot="0" vert="horz" wrap="square" lIns="91440" tIns="45720" rIns="4572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8F818" id="_x0000_s1027" type="#_x0000_t202" style="position:absolute;left:0;text-align:left;margin-left:-46.3pt;margin-top:-42.3pt;width:541.65pt;height:77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" fillcolor="#17365d [2415]" strokecolor="#17365d [2415]">
                <v:textbox inset=",,36pt">
                  <w:txbxContent>
                    <w:p w14:paraId="4808C608" w14:textId="77777777" w:rsidR="00D55F8F" w:rsidRPr="00EF09B4" w:rsidRDefault="00D55F8F" w:rsidP="000C61CE">
                      <w:pPr>
                        <w:shd w:val="clear" w:color="auto" w:fill="17365D" w:themeFill="text2" w:themeFillShade="BF"/>
                        <w:jc w:val="right"/>
                        <w:rPr>
                          <w:color w:val="FFFFFF" w:themeColor="background1"/>
                          <w:sz w:val="144"/>
                          <w:szCs w:val="144"/>
                          <w:lang w:val="en-GB"/>
                        </w:rPr>
                      </w:pPr>
                    </w:p>
                    <w:p w14:paraId="3A519096" w14:textId="77777777" w:rsidR="00D55F8F" w:rsidRPr="00AF2BB1" w:rsidRDefault="00D55F8F" w:rsidP="000C61CE">
                      <w:pPr>
                        <w:shd w:val="clear" w:color="auto" w:fill="17365D" w:themeFill="text2" w:themeFillShade="BF"/>
                        <w:spacing w:after="720"/>
                        <w:jc w:val="right"/>
                        <w:rPr>
                          <w:rFonts w:ascii="Bernard MT Condensed" w:hAnsi="Bernard MT Condensed"/>
                          <w:color w:val="FFFF00"/>
                          <w:sz w:val="144"/>
                          <w:szCs w:val="144"/>
                          <w:lang w:val="en-GB"/>
                        </w:rPr>
                      </w:pPr>
                      <w:r>
                        <w:rPr>
                          <w:rFonts w:ascii="Bernard MT Condensed" w:hAnsi="Bernard MT Condensed"/>
                          <w:color w:val="FFFF00"/>
                          <w:sz w:val="144"/>
                          <w:szCs w:val="144"/>
                          <w:lang w:val="en-GB"/>
                        </w:rPr>
                        <w:t>Section 2</w:t>
                      </w:r>
                    </w:p>
                    <w:p w14:paraId="0EC5BE8E" w14:textId="1AAC57AB" w:rsidR="00D55F8F" w:rsidRDefault="00D55F8F" w:rsidP="000C61CE">
                      <w:pPr>
                        <w:shd w:val="clear" w:color="auto" w:fill="17365D" w:themeFill="text2" w:themeFillShade="BF"/>
                        <w:ind w:left="1440"/>
                        <w:rPr>
                          <w:rFonts w:ascii="Bernard MT Condensed" w:hAnsi="Bernard MT Condensed"/>
                          <w:color w:val="FFFFFF" w:themeColor="background1"/>
                          <w:sz w:val="40"/>
                          <w:szCs w:val="48"/>
                          <w:lang w:val="en-GB"/>
                        </w:rPr>
                      </w:pPr>
                      <w:r>
                        <w:rPr>
                          <w:rFonts w:ascii="Bernard MT Condensed" w:hAnsi="Bernard MT Condensed"/>
                          <w:color w:val="FFFFFF" w:themeColor="background1"/>
                          <w:sz w:val="40"/>
                          <w:szCs w:val="48"/>
                          <w:lang w:val="en-GB"/>
                        </w:rPr>
                        <w:t xml:space="preserve">CHAPTER 5: IMPACT MODELLING  </w:t>
                      </w:r>
                    </w:p>
                    <w:p w14:paraId="23460AA5" w14:textId="2483E7AA" w:rsidR="00D55F8F" w:rsidRDefault="00D55F8F" w:rsidP="000C61CE">
                      <w:pPr>
                        <w:shd w:val="clear" w:color="auto" w:fill="17365D" w:themeFill="text2" w:themeFillShade="BF"/>
                        <w:ind w:left="1440"/>
                        <w:rPr>
                          <w:rFonts w:ascii="Bernard MT Condensed" w:hAnsi="Bernard MT Condensed"/>
                          <w:color w:val="FFFFFF" w:themeColor="background1"/>
                          <w:sz w:val="40"/>
                          <w:szCs w:val="48"/>
                          <w:lang w:val="en-GB"/>
                        </w:rPr>
                      </w:pPr>
                      <w:r>
                        <w:rPr>
                          <w:rFonts w:ascii="Bernard MT Condensed" w:hAnsi="Bernard MT Condensed"/>
                          <w:color w:val="FFFFFF" w:themeColor="background1"/>
                          <w:sz w:val="40"/>
                          <w:szCs w:val="48"/>
                          <w:lang w:val="en-GB"/>
                        </w:rPr>
                        <w:t>CHAPTER 6</w:t>
                      </w:r>
                      <w:r w:rsidRPr="00713F88">
                        <w:rPr>
                          <w:rFonts w:ascii="Bernard MT Condensed" w:hAnsi="Bernard MT Condensed"/>
                          <w:color w:val="FFFFFF" w:themeColor="background1"/>
                          <w:sz w:val="40"/>
                          <w:szCs w:val="48"/>
                          <w:lang w:val="en-GB"/>
                        </w:rPr>
                        <w:t xml:space="preserve">: THE NSP </w:t>
                      </w:r>
                      <w:r>
                        <w:rPr>
                          <w:rFonts w:ascii="Bernard MT Condensed" w:hAnsi="Bernard MT Condensed"/>
                          <w:color w:val="FFFFFF" w:themeColor="background1"/>
                          <w:sz w:val="40"/>
                          <w:szCs w:val="48"/>
                          <w:lang w:val="en-GB"/>
                        </w:rPr>
                        <w:t xml:space="preserve">STRATEGIC FRAMEWORK, </w:t>
                      </w:r>
                      <w:r w:rsidRPr="00713F88">
                        <w:rPr>
                          <w:rFonts w:ascii="Bernard MT Condensed" w:hAnsi="Bernard MT Condensed"/>
                          <w:color w:val="FFFFFF" w:themeColor="background1"/>
                          <w:sz w:val="40"/>
                          <w:szCs w:val="48"/>
                          <w:lang w:val="en-GB"/>
                        </w:rPr>
                        <w:t>RESULTS FRAMEWORK AND PERFORMNACE MEASURES</w:t>
                      </w:r>
                      <w:r>
                        <w:rPr>
                          <w:rFonts w:ascii="Bernard MT Condensed" w:hAnsi="Bernard MT Condensed"/>
                          <w:color w:val="FFFFFF" w:themeColor="background1"/>
                          <w:sz w:val="40"/>
                          <w:szCs w:val="48"/>
                          <w:lang w:val="en-GB"/>
                        </w:rPr>
                        <w:t xml:space="preserve"> </w:t>
                      </w:r>
                    </w:p>
                    <w:p w14:paraId="297A1584" w14:textId="77777777" w:rsidR="00D55F8F" w:rsidRDefault="00D55F8F" w:rsidP="000C61CE">
                      <w:pPr>
                        <w:shd w:val="clear" w:color="auto" w:fill="17365D" w:themeFill="text2" w:themeFillShade="BF"/>
                        <w:ind w:left="1440"/>
                        <w:rPr>
                          <w:rFonts w:ascii="Bernard MT Condensed" w:hAnsi="Bernard MT Condensed"/>
                          <w:color w:val="FFFFFF" w:themeColor="background1"/>
                          <w:sz w:val="40"/>
                          <w:szCs w:val="48"/>
                          <w:lang w:val="en-GB"/>
                        </w:rPr>
                      </w:pPr>
                    </w:p>
                    <w:p w14:paraId="6FF93915" w14:textId="77777777" w:rsidR="00D55F8F" w:rsidRPr="00713F88" w:rsidRDefault="00D55F8F" w:rsidP="000C61CE">
                      <w:pPr>
                        <w:shd w:val="clear" w:color="auto" w:fill="17365D" w:themeFill="text2" w:themeFillShade="BF"/>
                        <w:ind w:left="1440"/>
                        <w:jc w:val="right"/>
                        <w:rPr>
                          <w:rFonts w:ascii="Bernard MT Condensed" w:hAnsi="Bernard MT Condensed"/>
                          <w:color w:val="FFFFFF" w:themeColor="background1"/>
                          <w:sz w:val="40"/>
                          <w:szCs w:val="48"/>
                          <w:lang w:val="en-GB"/>
                        </w:rPr>
                      </w:pPr>
                    </w:p>
                  </w:txbxContent>
                </v:textbox>
                <w10:wrap type="topAndBottom"/>
              </v:shape>
            </w:pict>
          </mc:Fallback>
        </mc:AlternateContent>
      </w:r>
    </w:p>
    <w:p w14:paraId="5C57F1BE" w14:textId="45082C43" w:rsidR="00B65B0C" w:rsidRPr="00734B6A" w:rsidRDefault="00B65B0C" w:rsidP="00B65B0C">
      <w:pPr>
        <w:pStyle w:val="Heading1"/>
        <w:tabs>
          <w:tab w:val="num" w:pos="5670"/>
        </w:tabs>
        <w:spacing w:after="0"/>
        <w:rPr>
          <w:rFonts w:asciiTheme="minorHAnsi" w:hAnsiTheme="minorHAnsi" w:cstheme="minorHAnsi"/>
          <w:b/>
          <w:snapToGrid w:val="0"/>
          <w:color w:val="auto"/>
          <w:sz w:val="36"/>
        </w:rPr>
      </w:pPr>
      <w:bookmarkStart w:id="23" w:name="_Toc472975886"/>
      <w:bookmarkStart w:id="24" w:name="_Toc472976155"/>
      <w:bookmarkStart w:id="25" w:name="_Toc474783483"/>
      <w:bookmarkStart w:id="26" w:name="_Toc475081598"/>
      <w:bookmarkStart w:id="27" w:name="_Toc476668568"/>
      <w:bookmarkStart w:id="28" w:name="_Toc476680432"/>
      <w:bookmarkStart w:id="29" w:name="_Toc476681688"/>
      <w:bookmarkStart w:id="30" w:name="_Toc476682936"/>
      <w:bookmarkStart w:id="31" w:name="_Toc2777250"/>
      <w:r w:rsidRPr="00734B6A">
        <w:rPr>
          <w:rFonts w:asciiTheme="minorHAnsi" w:hAnsiTheme="minorHAnsi" w:cstheme="minorHAnsi"/>
          <w:b/>
          <w:snapToGrid w:val="0"/>
          <w:color w:val="auto"/>
          <w:sz w:val="36"/>
        </w:rPr>
        <w:lastRenderedPageBreak/>
        <w:t xml:space="preserve">Chapter </w:t>
      </w:r>
      <w:r>
        <w:rPr>
          <w:rFonts w:asciiTheme="minorHAnsi" w:hAnsiTheme="minorHAnsi" w:cstheme="minorHAnsi"/>
          <w:b/>
          <w:snapToGrid w:val="0"/>
          <w:color w:val="auto"/>
          <w:sz w:val="36"/>
        </w:rPr>
        <w:t>6</w:t>
      </w:r>
      <w:r w:rsidRPr="00734B6A">
        <w:rPr>
          <w:rFonts w:asciiTheme="minorHAnsi" w:hAnsiTheme="minorHAnsi" w:cstheme="minorHAnsi"/>
          <w:b/>
          <w:snapToGrid w:val="0"/>
          <w:color w:val="auto"/>
          <w:sz w:val="36"/>
        </w:rPr>
        <w:t xml:space="preserve"> </w:t>
      </w:r>
    </w:p>
    <w:p w14:paraId="34E1E509" w14:textId="23D7D3EB" w:rsidR="00B65B0C" w:rsidRPr="00DF67C9" w:rsidRDefault="00B65B0C" w:rsidP="00B65B0C">
      <w:pPr>
        <w:pStyle w:val="Heading1"/>
        <w:tabs>
          <w:tab w:val="num" w:pos="5670"/>
        </w:tabs>
        <w:rPr>
          <w:rFonts w:asciiTheme="minorHAnsi" w:hAnsiTheme="minorHAnsi" w:cstheme="minorHAnsi"/>
          <w:b/>
          <w:snapToGrid w:val="0"/>
          <w:color w:val="auto"/>
        </w:rPr>
      </w:pPr>
      <w:r>
        <w:rPr>
          <w:rFonts w:asciiTheme="minorHAnsi" w:hAnsiTheme="minorHAnsi" w:cstheme="minorHAnsi"/>
          <w:b/>
          <w:snapToGrid w:val="0"/>
          <w:color w:val="auto"/>
        </w:rPr>
        <w:t>NTEP IMPACT MODELING</w:t>
      </w:r>
      <w:r w:rsidR="009B4BB5">
        <w:rPr>
          <w:rFonts w:asciiTheme="minorHAnsi" w:hAnsiTheme="minorHAnsi" w:cstheme="minorHAnsi"/>
          <w:b/>
          <w:snapToGrid w:val="0"/>
          <w:color w:val="auto"/>
        </w:rPr>
        <w:t xml:space="preserve"> and proritization approach</w:t>
      </w:r>
    </w:p>
    <w:p w14:paraId="4C934DB0" w14:textId="77777777" w:rsidR="00B1565C" w:rsidRPr="00926017" w:rsidRDefault="00B1565C" w:rsidP="00B1565C">
      <w:pPr>
        <w:spacing w:before="0" w:after="0"/>
        <w:jc w:val="both"/>
        <w:rPr>
          <w:rFonts w:ascii="Calibri" w:hAnsi="Calibri" w:cs="Calibri"/>
          <w:sz w:val="22"/>
        </w:rPr>
      </w:pPr>
      <w:r w:rsidRPr="00926017">
        <w:rPr>
          <w:rFonts w:ascii="Calibri" w:hAnsi="Calibri" w:cs="Calibri"/>
          <w:sz w:val="22"/>
        </w:rPr>
        <w:t>The NTEP has committed to achieve the 2030 SDG targets by 2025, 5 years ahead of the Global timeline. This necessitates aggressive actions to reduce the TB incidence by 80% and TB mortality by 90% in 2025 compared to 2015. To understand the implications of these for NSP strategies and interventions, a mathematical modeling exercise was undertaken to define the TB burden (incidence, and mortality) under different scenarios of scaling-up existing and potential</w:t>
      </w:r>
      <w:r>
        <w:rPr>
          <w:rFonts w:ascii="Calibri" w:hAnsi="Calibri" w:cs="Calibri"/>
          <w:sz w:val="22"/>
        </w:rPr>
        <w:t xml:space="preserve"> newer</w:t>
      </w:r>
      <w:r w:rsidRPr="00926017">
        <w:rPr>
          <w:rFonts w:ascii="Calibri" w:hAnsi="Calibri" w:cs="Calibri"/>
          <w:sz w:val="22"/>
        </w:rPr>
        <w:t xml:space="preserve"> interventions. </w:t>
      </w:r>
    </w:p>
    <w:p w14:paraId="4A184489" w14:textId="77777777" w:rsidR="00B1565C" w:rsidRPr="00240150" w:rsidRDefault="00B1565C" w:rsidP="00B1565C">
      <w:pPr>
        <w:rPr>
          <w:rFonts w:asciiTheme="minorHAnsi" w:hAnsiTheme="minorHAnsi" w:cstheme="minorHAnsi"/>
          <w:b/>
          <w:color w:val="C86A07" w:themeColor="accent2" w:themeShade="BF"/>
          <w:sz w:val="28"/>
        </w:rPr>
      </w:pPr>
      <w:r w:rsidRPr="00240150">
        <w:rPr>
          <w:rFonts w:asciiTheme="minorHAnsi" w:hAnsiTheme="minorHAnsi" w:cstheme="minorHAnsi"/>
          <w:b/>
          <w:color w:val="C86A07" w:themeColor="accent2" w:themeShade="BF"/>
          <w:sz w:val="28"/>
        </w:rPr>
        <w:t>Intervention Scenario</w:t>
      </w:r>
    </w:p>
    <w:p w14:paraId="200A0F51" w14:textId="77777777" w:rsidR="00B1565C" w:rsidRPr="00926017" w:rsidRDefault="00B1565C" w:rsidP="00B1565C">
      <w:pPr>
        <w:spacing w:before="0" w:after="0"/>
        <w:jc w:val="both"/>
        <w:rPr>
          <w:rFonts w:ascii="Calibri" w:hAnsi="Calibri" w:cs="Calibri"/>
          <w:sz w:val="22"/>
        </w:rPr>
      </w:pPr>
      <w:r w:rsidRPr="00926017">
        <w:rPr>
          <w:rFonts w:ascii="Calibri" w:hAnsi="Calibri" w:cs="Calibri"/>
          <w:sz w:val="22"/>
        </w:rPr>
        <w:t xml:space="preserve">A TB-specific transmission-based compartmental mathematical model was adapted to the Indian context to understand dynamics of coverage of different interventions and its impact on TB incidence. The various model inputs were based on expert consultations and the overall country target achievements. The models demonstrate the range of projected future estimations. These will be refined and revised in the future with new information being available each year and with the results of the National TB Prevalence survey.  </w:t>
      </w:r>
    </w:p>
    <w:p w14:paraId="3CFA5E35" w14:textId="77777777" w:rsidR="00B1565C" w:rsidRPr="00926017" w:rsidRDefault="00B1565C" w:rsidP="00B1565C">
      <w:pPr>
        <w:spacing w:before="0" w:after="0"/>
        <w:jc w:val="both"/>
        <w:rPr>
          <w:rFonts w:ascii="Calibri" w:hAnsi="Calibri" w:cs="Calibri"/>
          <w:sz w:val="22"/>
        </w:rPr>
      </w:pPr>
      <w:r w:rsidRPr="00926017">
        <w:rPr>
          <w:rFonts w:ascii="Calibri" w:hAnsi="Calibri" w:cs="Calibri"/>
          <w:sz w:val="22"/>
        </w:rPr>
        <w:t>We developed three scenarios depending upon coverage of various services and speed of the coverage and assessed their impact on reduction of incidence rate of TB in the country. These scenarios are as follows:</w:t>
      </w:r>
    </w:p>
    <w:p w14:paraId="6BFCF18A" w14:textId="77777777" w:rsidR="00B1565C" w:rsidRPr="00926017" w:rsidRDefault="00B1565C" w:rsidP="00B1565C">
      <w:pPr>
        <w:spacing w:before="0" w:after="0"/>
        <w:ind w:firstLine="720"/>
        <w:jc w:val="both"/>
        <w:rPr>
          <w:rFonts w:ascii="Calibri" w:hAnsi="Calibri" w:cs="Calibri"/>
          <w:b/>
          <w:sz w:val="22"/>
        </w:rPr>
      </w:pPr>
      <w:r w:rsidRPr="00926017">
        <w:rPr>
          <w:rFonts w:ascii="Calibri" w:hAnsi="Calibri" w:cs="Calibri"/>
          <w:b/>
          <w:sz w:val="22"/>
        </w:rPr>
        <w:t>Scenario 1: Sustained service delivery at the current trends with available tools</w:t>
      </w:r>
    </w:p>
    <w:p w14:paraId="61CB369D" w14:textId="77777777" w:rsidR="00B1565C" w:rsidRPr="00926017" w:rsidRDefault="00B1565C" w:rsidP="00B1565C">
      <w:pPr>
        <w:spacing w:before="0" w:after="0"/>
        <w:ind w:firstLine="720"/>
        <w:jc w:val="both"/>
        <w:rPr>
          <w:rFonts w:ascii="Calibri" w:hAnsi="Calibri" w:cs="Calibri"/>
          <w:b/>
          <w:sz w:val="22"/>
        </w:rPr>
      </w:pPr>
      <w:r w:rsidRPr="00926017">
        <w:rPr>
          <w:rFonts w:ascii="Calibri" w:hAnsi="Calibri" w:cs="Calibri"/>
          <w:b/>
          <w:sz w:val="22"/>
        </w:rPr>
        <w:t>Scenario 2: Scale-up of existing strategies and introduction of newer tools</w:t>
      </w:r>
    </w:p>
    <w:p w14:paraId="4BFB0C10" w14:textId="77777777" w:rsidR="00B1565C" w:rsidRDefault="00B1565C" w:rsidP="00B1565C">
      <w:pPr>
        <w:spacing w:before="0" w:after="0"/>
        <w:ind w:firstLine="720"/>
        <w:jc w:val="both"/>
        <w:rPr>
          <w:rFonts w:ascii="Calibri" w:hAnsi="Calibri" w:cs="Calibri"/>
          <w:b/>
          <w:sz w:val="22"/>
        </w:rPr>
      </w:pPr>
      <w:r w:rsidRPr="00926017">
        <w:rPr>
          <w:rFonts w:ascii="Calibri" w:hAnsi="Calibri" w:cs="Calibri"/>
          <w:b/>
          <w:sz w:val="22"/>
        </w:rPr>
        <w:t>Scenario 3: Accelerated expansion of existing and newer tools</w:t>
      </w:r>
    </w:p>
    <w:p w14:paraId="790A9248" w14:textId="77777777" w:rsidR="00B1565C" w:rsidRPr="00926017" w:rsidRDefault="00B1565C" w:rsidP="00B1565C">
      <w:pPr>
        <w:spacing w:before="0" w:after="0"/>
        <w:ind w:firstLine="720"/>
        <w:jc w:val="both"/>
        <w:rPr>
          <w:rFonts w:ascii="Calibri" w:hAnsi="Calibri" w:cs="Calibri"/>
          <w:b/>
          <w:sz w:val="22"/>
        </w:rPr>
      </w:pPr>
      <w:r>
        <w:rPr>
          <w:rFonts w:ascii="Calibri" w:hAnsi="Calibri" w:cs="Calibri"/>
          <w:b/>
          <w:sz w:val="22"/>
        </w:rPr>
        <w:t>Scenario SDG: Newer vaccine, drugs, diagnostics, and non-pharmaceutical interventions</w:t>
      </w:r>
      <w:r w:rsidRPr="00926017">
        <w:rPr>
          <w:rFonts w:ascii="Calibri" w:hAnsi="Calibri" w:cs="Calibri"/>
          <w:b/>
          <w:sz w:val="22"/>
        </w:rPr>
        <w:t xml:space="preserve">  </w:t>
      </w:r>
    </w:p>
    <w:p w14:paraId="259AD782" w14:textId="77777777" w:rsidR="00B1565C" w:rsidRPr="00240150" w:rsidRDefault="00B1565C" w:rsidP="00B1565C">
      <w:pPr>
        <w:rPr>
          <w:rFonts w:asciiTheme="minorHAnsi" w:hAnsiTheme="minorHAnsi" w:cstheme="minorHAnsi"/>
          <w:b/>
          <w:color w:val="C86A07" w:themeColor="accent2" w:themeShade="BF"/>
          <w:sz w:val="28"/>
        </w:rPr>
      </w:pPr>
      <w:r w:rsidRPr="00240150">
        <w:rPr>
          <w:rFonts w:asciiTheme="minorHAnsi" w:hAnsiTheme="minorHAnsi" w:cstheme="minorHAnsi"/>
          <w:b/>
          <w:color w:val="C86A07" w:themeColor="accent2" w:themeShade="BF"/>
          <w:sz w:val="28"/>
        </w:rPr>
        <w:t>Projected impact</w:t>
      </w:r>
    </w:p>
    <w:p w14:paraId="404A59BD" w14:textId="77777777" w:rsidR="00B1565C" w:rsidRDefault="00B1565C" w:rsidP="00B1565C">
      <w:pPr>
        <w:spacing w:before="0" w:after="0"/>
        <w:jc w:val="both"/>
        <w:rPr>
          <w:rFonts w:ascii="Calibri" w:hAnsi="Calibri" w:cs="Calibri"/>
          <w:b/>
        </w:rPr>
      </w:pPr>
      <w:r w:rsidRPr="0085017B">
        <w:rPr>
          <w:rFonts w:ascii="Calibri" w:hAnsi="Calibri" w:cs="Calibri"/>
          <w:b/>
        </w:rPr>
        <w:t>Incidence and Mortality trends that would arise from each of these intervention scenarios, for total TB burden over the NSP period</w:t>
      </w:r>
      <w:r>
        <w:rPr>
          <w:rFonts w:ascii="Calibri" w:hAnsi="Calibri" w:cs="Calibri"/>
          <w:b/>
        </w:rPr>
        <w:t xml:space="preserve"> is depicted in the graph below.</w:t>
      </w:r>
    </w:p>
    <w:p w14:paraId="5FD1DD29" w14:textId="1E3E5453" w:rsidR="0043078B" w:rsidRPr="0085017B" w:rsidRDefault="0085017B" w:rsidP="00240150">
      <w:pPr>
        <w:spacing w:before="0" w:after="0"/>
        <w:jc w:val="both"/>
        <w:rPr>
          <w:rFonts w:ascii="Calibri" w:hAnsi="Calibri" w:cs="Calibri"/>
          <w:b/>
        </w:rPr>
      </w:pPr>
      <w:r w:rsidRPr="0085017B">
        <w:rPr>
          <w:rFonts w:ascii="Calibri" w:hAnsi="Calibri" w:cs="Calibri"/>
          <w:b/>
        </w:rPr>
        <w:t xml:space="preserve">Figure </w:t>
      </w:r>
      <w:r w:rsidR="000D18DE">
        <w:rPr>
          <w:rFonts w:ascii="Calibri" w:hAnsi="Calibri" w:cs="Calibri"/>
          <w:b/>
        </w:rPr>
        <w:t>15</w:t>
      </w:r>
      <w:r w:rsidR="000D18DE" w:rsidRPr="0085017B">
        <w:rPr>
          <w:rFonts w:ascii="Calibri" w:hAnsi="Calibri" w:cs="Calibri"/>
          <w:b/>
        </w:rPr>
        <w:t>:</w:t>
      </w:r>
      <w:r w:rsidR="000D18DE">
        <w:rPr>
          <w:rFonts w:ascii="Calibri" w:hAnsi="Calibri" w:cs="Calibri"/>
          <w:b/>
        </w:rPr>
        <w:t xml:space="preserve"> NTEP impact modelling</w:t>
      </w:r>
      <w:r w:rsidR="0043078B" w:rsidRPr="0085017B">
        <w:rPr>
          <w:rFonts w:ascii="Calibri" w:hAnsi="Calibri" w:cs="Calibri"/>
          <w:b/>
        </w:rPr>
        <w:t>.</w:t>
      </w:r>
    </w:p>
    <w:p w14:paraId="111E5D8A" w14:textId="3BC88D31" w:rsidR="0043078B" w:rsidRDefault="00B1565C" w:rsidP="0043078B">
      <w:pPr>
        <w:spacing w:before="0" w:after="0"/>
        <w:rPr>
          <w:rFonts w:ascii="Calibri" w:eastAsia="Times New Roman" w:hAnsi="Calibri" w:cs="Calibri"/>
          <w:b/>
          <w:caps/>
          <w:snapToGrid w:val="0"/>
          <w:sz w:val="36"/>
          <w:szCs w:val="28"/>
        </w:rPr>
      </w:pPr>
      <w:r w:rsidRPr="00B1565C">
        <w:rPr>
          <w:noProof/>
          <w:shd w:val="clear" w:color="auto" w:fill="F2F2F2" w:themeFill="background1" w:themeFillShade="F2"/>
          <w:lang w:val="en-IN" w:eastAsia="en-IN"/>
        </w:rPr>
        <w:drawing>
          <wp:inline distT="0" distB="0" distL="0" distR="0" wp14:anchorId="17DD64E0" wp14:editId="7AE17749">
            <wp:extent cx="5588000" cy="2409825"/>
            <wp:effectExtent l="0" t="0" r="12700" b="9525"/>
            <wp:docPr id="29" name="Chart 2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6197CB-73E7-4841-8566-923A42236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93BEDD" w14:textId="74CD2CFF" w:rsidR="00E9456A" w:rsidRPr="00DA0E1C" w:rsidRDefault="00E9456A" w:rsidP="00B1565C">
      <w:pPr>
        <w:spacing w:after="0"/>
        <w:jc w:val="both"/>
        <w:rPr>
          <w:rFonts w:ascii="Calibri" w:hAnsi="Calibri" w:cs="Calibri"/>
          <w:b/>
        </w:rPr>
      </w:pPr>
      <w:r w:rsidRPr="00DA0E1C">
        <w:rPr>
          <w:rFonts w:ascii="Calibri" w:hAnsi="Calibri" w:cs="Calibri"/>
          <w:b/>
        </w:rPr>
        <w:lastRenderedPageBreak/>
        <w:t xml:space="preserve">Table 6: </w:t>
      </w:r>
      <w:r w:rsidR="00DA0E1C">
        <w:rPr>
          <w:rFonts w:ascii="Calibri" w:hAnsi="Calibri" w:cs="Calibri"/>
          <w:b/>
        </w:rPr>
        <w:t>Impact indicators</w:t>
      </w:r>
      <w:r w:rsidR="00E34AC7">
        <w:rPr>
          <w:rFonts w:ascii="Calibri" w:hAnsi="Calibri" w:cs="Calibri"/>
          <w:b/>
        </w:rPr>
        <w:t xml:space="preserve"> based on the modelling scenarios</w:t>
      </w:r>
      <w:r w:rsidR="00DA0E1C">
        <w:rPr>
          <w:rFonts w:ascii="Calibri" w:hAnsi="Calibri" w:cs="Calibri"/>
          <w:b/>
        </w:rPr>
        <w:t xml:space="preserve"> </w:t>
      </w:r>
    </w:p>
    <w:tbl>
      <w:tblPr>
        <w:tblW w:w="0" w:type="auto"/>
        <w:tblBorders>
          <w:top w:val="single" w:sz="8" w:space="0" w:color="2B3990"/>
          <w:bottom w:val="single" w:sz="8" w:space="0" w:color="2B3990"/>
          <w:insideH w:val="single" w:sz="8" w:space="0" w:color="2B3990"/>
          <w:insideV w:val="single" w:sz="8" w:space="0" w:color="2B3990"/>
        </w:tblBorders>
        <w:tblLayout w:type="fixed"/>
        <w:tblLook w:val="04A0" w:firstRow="1" w:lastRow="0" w:firstColumn="1" w:lastColumn="0" w:noHBand="0" w:noVBand="1"/>
      </w:tblPr>
      <w:tblGrid>
        <w:gridCol w:w="2628"/>
        <w:gridCol w:w="1170"/>
        <w:gridCol w:w="1305"/>
        <w:gridCol w:w="1276"/>
        <w:gridCol w:w="1276"/>
        <w:gridCol w:w="1371"/>
      </w:tblGrid>
      <w:tr w:rsidR="00E9456A" w:rsidRPr="00772848" w14:paraId="3B9192F4" w14:textId="77777777" w:rsidTr="00DA0E1C">
        <w:tc>
          <w:tcPr>
            <w:tcW w:w="2628" w:type="dxa"/>
            <w:shd w:val="clear" w:color="auto" w:fill="auto"/>
            <w:vAlign w:val="center"/>
          </w:tcPr>
          <w:p w14:paraId="67DDC32A" w14:textId="77777777" w:rsidR="00E9456A" w:rsidRPr="00772848" w:rsidRDefault="00E9456A" w:rsidP="004D3907">
            <w:pPr>
              <w:spacing w:before="0" w:after="0"/>
              <w:rPr>
                <w:rFonts w:ascii="Calibri" w:eastAsia="Times New Roman" w:hAnsi="Calibri" w:cs="Calibri"/>
                <w:b/>
                <w:bCs/>
                <w:snapToGrid w:val="0"/>
                <w:sz w:val="22"/>
                <w:szCs w:val="24"/>
              </w:rPr>
            </w:pPr>
            <w:r w:rsidRPr="00772848">
              <w:rPr>
                <w:rFonts w:ascii="Calibri" w:eastAsia="Times New Roman" w:hAnsi="Calibri" w:cs="Calibri"/>
                <w:b/>
                <w:bCs/>
                <w:snapToGrid w:val="0"/>
                <w:sz w:val="22"/>
                <w:szCs w:val="24"/>
              </w:rPr>
              <w:t>Impact Indicators</w:t>
            </w:r>
          </w:p>
        </w:tc>
        <w:tc>
          <w:tcPr>
            <w:tcW w:w="1170" w:type="dxa"/>
            <w:shd w:val="clear" w:color="auto" w:fill="auto"/>
            <w:vAlign w:val="center"/>
          </w:tcPr>
          <w:p w14:paraId="41951DE4" w14:textId="77777777" w:rsidR="00E9456A" w:rsidRPr="00772848" w:rsidRDefault="00E9456A" w:rsidP="004D3907">
            <w:pPr>
              <w:spacing w:before="0" w:after="0"/>
              <w:jc w:val="center"/>
              <w:rPr>
                <w:rFonts w:ascii="Calibri" w:eastAsia="Times New Roman" w:hAnsi="Calibri" w:cs="Calibri"/>
                <w:b/>
                <w:bCs/>
                <w:snapToGrid w:val="0"/>
                <w:sz w:val="22"/>
                <w:szCs w:val="24"/>
              </w:rPr>
            </w:pPr>
            <w:r w:rsidRPr="00772848">
              <w:rPr>
                <w:rFonts w:ascii="Calibri" w:eastAsia="Times New Roman" w:hAnsi="Calibri" w:cs="Calibri"/>
                <w:b/>
                <w:bCs/>
                <w:snapToGrid w:val="0"/>
                <w:sz w:val="22"/>
                <w:szCs w:val="24"/>
              </w:rPr>
              <w:t>Baseline</w:t>
            </w:r>
          </w:p>
        </w:tc>
        <w:tc>
          <w:tcPr>
            <w:tcW w:w="1305" w:type="dxa"/>
            <w:shd w:val="clear" w:color="auto" w:fill="auto"/>
            <w:vAlign w:val="center"/>
          </w:tcPr>
          <w:p w14:paraId="10A8826E" w14:textId="77777777" w:rsidR="00E9456A" w:rsidRPr="00772848" w:rsidRDefault="00E9456A" w:rsidP="004D3907">
            <w:pPr>
              <w:spacing w:before="0" w:after="0"/>
              <w:jc w:val="center"/>
              <w:rPr>
                <w:rFonts w:ascii="Calibri" w:eastAsia="Times New Roman" w:hAnsi="Calibri" w:cs="Calibri"/>
                <w:b/>
                <w:bCs/>
                <w:snapToGrid w:val="0"/>
                <w:sz w:val="22"/>
                <w:szCs w:val="24"/>
              </w:rPr>
            </w:pPr>
            <w:r w:rsidRPr="00772848">
              <w:rPr>
                <w:rFonts w:ascii="Calibri" w:eastAsia="Times New Roman" w:hAnsi="Calibri" w:cs="Calibri"/>
                <w:b/>
                <w:bCs/>
                <w:snapToGrid w:val="0"/>
                <w:sz w:val="22"/>
                <w:szCs w:val="24"/>
              </w:rPr>
              <w:t>Scenario 1</w:t>
            </w:r>
          </w:p>
        </w:tc>
        <w:tc>
          <w:tcPr>
            <w:tcW w:w="1276" w:type="dxa"/>
            <w:shd w:val="clear" w:color="auto" w:fill="auto"/>
            <w:vAlign w:val="center"/>
          </w:tcPr>
          <w:p w14:paraId="2BA07E32" w14:textId="77777777" w:rsidR="00E9456A" w:rsidRPr="00772848" w:rsidRDefault="00E9456A" w:rsidP="004D3907">
            <w:pPr>
              <w:spacing w:before="0" w:after="0"/>
              <w:jc w:val="center"/>
              <w:rPr>
                <w:rFonts w:ascii="Calibri" w:eastAsia="Times New Roman" w:hAnsi="Calibri" w:cs="Calibri"/>
                <w:b/>
                <w:bCs/>
                <w:snapToGrid w:val="0"/>
                <w:sz w:val="22"/>
                <w:szCs w:val="24"/>
              </w:rPr>
            </w:pPr>
            <w:r w:rsidRPr="00772848">
              <w:rPr>
                <w:rFonts w:ascii="Calibri" w:eastAsia="Times New Roman" w:hAnsi="Calibri" w:cs="Calibri"/>
                <w:b/>
                <w:bCs/>
                <w:snapToGrid w:val="0"/>
                <w:sz w:val="22"/>
                <w:szCs w:val="24"/>
              </w:rPr>
              <w:t>Scenario 2</w:t>
            </w:r>
          </w:p>
        </w:tc>
        <w:tc>
          <w:tcPr>
            <w:tcW w:w="1276" w:type="dxa"/>
            <w:shd w:val="clear" w:color="auto" w:fill="auto"/>
            <w:vAlign w:val="center"/>
          </w:tcPr>
          <w:p w14:paraId="4715FB89" w14:textId="77777777" w:rsidR="00E9456A" w:rsidRPr="00772848" w:rsidRDefault="00E9456A" w:rsidP="004D3907">
            <w:pPr>
              <w:spacing w:before="0" w:after="0"/>
              <w:jc w:val="center"/>
              <w:rPr>
                <w:rFonts w:ascii="Calibri" w:eastAsia="Times New Roman" w:hAnsi="Calibri" w:cs="Calibri"/>
                <w:b/>
                <w:bCs/>
                <w:snapToGrid w:val="0"/>
                <w:sz w:val="22"/>
                <w:szCs w:val="24"/>
              </w:rPr>
            </w:pPr>
            <w:r w:rsidRPr="00772848">
              <w:rPr>
                <w:rFonts w:ascii="Calibri" w:eastAsia="Times New Roman" w:hAnsi="Calibri" w:cs="Calibri"/>
                <w:b/>
                <w:bCs/>
                <w:snapToGrid w:val="0"/>
                <w:sz w:val="22"/>
                <w:szCs w:val="24"/>
              </w:rPr>
              <w:t>Scenario 3</w:t>
            </w:r>
          </w:p>
        </w:tc>
        <w:tc>
          <w:tcPr>
            <w:tcW w:w="1371" w:type="dxa"/>
          </w:tcPr>
          <w:p w14:paraId="315F9987" w14:textId="77777777" w:rsidR="00E9456A" w:rsidRPr="00772848" w:rsidRDefault="00E9456A" w:rsidP="004D3907">
            <w:pPr>
              <w:spacing w:before="0" w:after="0"/>
              <w:jc w:val="center"/>
              <w:rPr>
                <w:rFonts w:ascii="Calibri" w:eastAsia="Times New Roman" w:hAnsi="Calibri" w:cs="Calibri"/>
                <w:b/>
                <w:bCs/>
                <w:snapToGrid w:val="0"/>
                <w:sz w:val="22"/>
                <w:szCs w:val="24"/>
              </w:rPr>
            </w:pPr>
            <w:r w:rsidRPr="00772848">
              <w:rPr>
                <w:rFonts w:ascii="Calibri" w:eastAsia="Times New Roman" w:hAnsi="Calibri" w:cs="Calibri"/>
                <w:b/>
                <w:bCs/>
                <w:snapToGrid w:val="0"/>
                <w:sz w:val="22"/>
                <w:szCs w:val="24"/>
              </w:rPr>
              <w:t>Scenario SDG</w:t>
            </w:r>
          </w:p>
        </w:tc>
      </w:tr>
      <w:tr w:rsidR="00E9456A" w:rsidRPr="00772848" w14:paraId="0F7232C6" w14:textId="77777777" w:rsidTr="00DA0E1C">
        <w:tc>
          <w:tcPr>
            <w:tcW w:w="2628" w:type="dxa"/>
            <w:shd w:val="clear" w:color="auto" w:fill="D0CECE"/>
          </w:tcPr>
          <w:p w14:paraId="5ABF7C59" w14:textId="77777777" w:rsidR="00E9456A" w:rsidRPr="00772848" w:rsidRDefault="00E9456A" w:rsidP="004D3907">
            <w:pPr>
              <w:spacing w:before="0" w:after="0"/>
              <w:rPr>
                <w:rFonts w:ascii="Calibri" w:eastAsia="Times New Roman" w:hAnsi="Calibri" w:cs="Calibri"/>
                <w:b/>
                <w:snapToGrid w:val="0"/>
                <w:sz w:val="22"/>
                <w:szCs w:val="24"/>
              </w:rPr>
            </w:pPr>
            <w:r w:rsidRPr="00772848">
              <w:rPr>
                <w:rFonts w:ascii="Calibri" w:eastAsia="Times New Roman" w:hAnsi="Calibri" w:cs="Calibri"/>
                <w:b/>
                <w:snapToGrid w:val="0"/>
                <w:sz w:val="22"/>
                <w:szCs w:val="24"/>
              </w:rPr>
              <w:t>Impact indicators</w:t>
            </w:r>
          </w:p>
        </w:tc>
        <w:tc>
          <w:tcPr>
            <w:tcW w:w="1170" w:type="dxa"/>
            <w:shd w:val="clear" w:color="auto" w:fill="D0CECE"/>
          </w:tcPr>
          <w:p w14:paraId="7F1236C6" w14:textId="77777777" w:rsidR="00E9456A" w:rsidRPr="00772848" w:rsidRDefault="00E9456A" w:rsidP="004D3907">
            <w:pPr>
              <w:spacing w:before="0" w:after="0"/>
              <w:jc w:val="center"/>
              <w:rPr>
                <w:rFonts w:ascii="Calibri" w:eastAsia="Times New Roman" w:hAnsi="Calibri" w:cs="Calibri"/>
                <w:bCs/>
                <w:snapToGrid w:val="0"/>
                <w:sz w:val="22"/>
                <w:szCs w:val="24"/>
              </w:rPr>
            </w:pPr>
          </w:p>
        </w:tc>
        <w:tc>
          <w:tcPr>
            <w:tcW w:w="1305" w:type="dxa"/>
            <w:shd w:val="clear" w:color="auto" w:fill="D0CECE"/>
          </w:tcPr>
          <w:p w14:paraId="78CC3EF7" w14:textId="77777777" w:rsidR="00E9456A" w:rsidRPr="00772848" w:rsidRDefault="00E9456A" w:rsidP="004D3907">
            <w:pPr>
              <w:spacing w:before="0" w:after="0"/>
              <w:jc w:val="center"/>
              <w:rPr>
                <w:rFonts w:ascii="Calibri" w:eastAsia="Times New Roman" w:hAnsi="Calibri" w:cs="Calibri"/>
                <w:bCs/>
                <w:snapToGrid w:val="0"/>
                <w:sz w:val="22"/>
                <w:szCs w:val="24"/>
              </w:rPr>
            </w:pPr>
          </w:p>
        </w:tc>
        <w:tc>
          <w:tcPr>
            <w:tcW w:w="1276" w:type="dxa"/>
            <w:shd w:val="clear" w:color="auto" w:fill="D0CECE"/>
          </w:tcPr>
          <w:p w14:paraId="4E987F71" w14:textId="77777777" w:rsidR="00E9456A" w:rsidRPr="00772848" w:rsidRDefault="00E9456A" w:rsidP="004D3907">
            <w:pPr>
              <w:spacing w:before="0" w:after="0"/>
              <w:jc w:val="center"/>
              <w:rPr>
                <w:rFonts w:ascii="Calibri" w:eastAsia="Times New Roman" w:hAnsi="Calibri" w:cs="Calibri"/>
                <w:bCs/>
                <w:snapToGrid w:val="0"/>
                <w:sz w:val="22"/>
                <w:szCs w:val="24"/>
              </w:rPr>
            </w:pPr>
          </w:p>
        </w:tc>
        <w:tc>
          <w:tcPr>
            <w:tcW w:w="1276" w:type="dxa"/>
            <w:shd w:val="clear" w:color="auto" w:fill="D0CECE"/>
          </w:tcPr>
          <w:p w14:paraId="4B5DF9AD" w14:textId="77777777" w:rsidR="00E9456A" w:rsidRPr="00772848" w:rsidRDefault="00E9456A" w:rsidP="004D3907">
            <w:pPr>
              <w:spacing w:before="0" w:after="0"/>
              <w:jc w:val="center"/>
              <w:rPr>
                <w:rFonts w:ascii="Calibri" w:eastAsia="Times New Roman" w:hAnsi="Calibri" w:cs="Calibri"/>
                <w:bCs/>
                <w:snapToGrid w:val="0"/>
                <w:sz w:val="22"/>
                <w:szCs w:val="24"/>
              </w:rPr>
            </w:pPr>
          </w:p>
        </w:tc>
        <w:tc>
          <w:tcPr>
            <w:tcW w:w="1371" w:type="dxa"/>
            <w:shd w:val="clear" w:color="auto" w:fill="D0CECE"/>
          </w:tcPr>
          <w:p w14:paraId="6F4043B4" w14:textId="77777777" w:rsidR="00E9456A" w:rsidRPr="00772848" w:rsidRDefault="00E9456A" w:rsidP="004D3907">
            <w:pPr>
              <w:spacing w:before="0" w:after="0"/>
              <w:jc w:val="center"/>
              <w:rPr>
                <w:rFonts w:ascii="Calibri" w:eastAsia="Times New Roman" w:hAnsi="Calibri" w:cs="Calibri"/>
                <w:bCs/>
                <w:snapToGrid w:val="0"/>
                <w:sz w:val="22"/>
                <w:szCs w:val="24"/>
              </w:rPr>
            </w:pPr>
          </w:p>
        </w:tc>
      </w:tr>
      <w:tr w:rsidR="00E9456A" w:rsidRPr="00772848" w14:paraId="51E59AA2" w14:textId="77777777" w:rsidTr="00DA0E1C">
        <w:tc>
          <w:tcPr>
            <w:tcW w:w="2628" w:type="dxa"/>
            <w:shd w:val="clear" w:color="auto" w:fill="auto"/>
          </w:tcPr>
          <w:p w14:paraId="2B129C70" w14:textId="25651BE7" w:rsidR="00E9456A" w:rsidRPr="00772848" w:rsidRDefault="00E9456A" w:rsidP="004D3907">
            <w:pPr>
              <w:spacing w:before="0" w:after="0"/>
              <w:rPr>
                <w:rFonts w:ascii="Calibri" w:eastAsia="Times New Roman" w:hAnsi="Calibri" w:cs="Calibri"/>
                <w:b/>
                <w:snapToGrid w:val="0"/>
                <w:sz w:val="22"/>
                <w:szCs w:val="24"/>
              </w:rPr>
            </w:pPr>
            <w:r w:rsidRPr="00772848">
              <w:rPr>
                <w:rFonts w:ascii="Calibri" w:eastAsia="Times New Roman" w:hAnsi="Calibri" w:cs="Calibri"/>
                <w:b/>
                <w:snapToGrid w:val="0"/>
                <w:sz w:val="22"/>
                <w:szCs w:val="24"/>
              </w:rPr>
              <w:t>TB Incidence rate (per 100,000 population)</w:t>
            </w:r>
          </w:p>
        </w:tc>
        <w:tc>
          <w:tcPr>
            <w:tcW w:w="1170" w:type="dxa"/>
            <w:shd w:val="clear" w:color="auto" w:fill="auto"/>
          </w:tcPr>
          <w:p w14:paraId="04084B9C" w14:textId="77777777" w:rsidR="00E9456A" w:rsidRPr="00772848" w:rsidRDefault="00E9456A" w:rsidP="004D3907">
            <w:pPr>
              <w:spacing w:before="0" w:after="0"/>
              <w:jc w:val="center"/>
              <w:rPr>
                <w:rFonts w:ascii="Calibri" w:eastAsia="Times New Roman" w:hAnsi="Calibri" w:cs="Calibri"/>
                <w:b/>
                <w:snapToGrid w:val="0"/>
                <w:sz w:val="24"/>
                <w:szCs w:val="24"/>
              </w:rPr>
            </w:pPr>
            <w:r w:rsidRPr="00772848">
              <w:rPr>
                <w:rFonts w:ascii="Calibri" w:eastAsia="Times New Roman" w:hAnsi="Calibri" w:cs="Calibri"/>
                <w:b/>
                <w:snapToGrid w:val="0"/>
                <w:sz w:val="24"/>
                <w:szCs w:val="24"/>
              </w:rPr>
              <w:t>199</w:t>
            </w:r>
          </w:p>
        </w:tc>
        <w:tc>
          <w:tcPr>
            <w:tcW w:w="1305" w:type="dxa"/>
            <w:shd w:val="clear" w:color="auto" w:fill="auto"/>
          </w:tcPr>
          <w:p w14:paraId="4D4947C2" w14:textId="77777777" w:rsidR="00E9456A" w:rsidRPr="00772848" w:rsidRDefault="00E9456A" w:rsidP="004D3907">
            <w:pPr>
              <w:spacing w:before="0" w:after="0"/>
              <w:jc w:val="center"/>
              <w:rPr>
                <w:rFonts w:ascii="Calibri" w:eastAsia="Times New Roman" w:hAnsi="Calibri" w:cs="Calibri"/>
                <w:b/>
                <w:snapToGrid w:val="0"/>
                <w:sz w:val="24"/>
                <w:szCs w:val="24"/>
              </w:rPr>
            </w:pPr>
            <w:r w:rsidRPr="00772848">
              <w:rPr>
                <w:rFonts w:ascii="Calibri" w:eastAsia="Times New Roman" w:hAnsi="Calibri" w:cs="Calibri"/>
                <w:b/>
                <w:snapToGrid w:val="0"/>
                <w:sz w:val="24"/>
                <w:szCs w:val="24"/>
              </w:rPr>
              <w:t>170</w:t>
            </w:r>
          </w:p>
        </w:tc>
        <w:tc>
          <w:tcPr>
            <w:tcW w:w="1276" w:type="dxa"/>
            <w:shd w:val="clear" w:color="auto" w:fill="auto"/>
          </w:tcPr>
          <w:p w14:paraId="0F52BE23" w14:textId="77777777" w:rsidR="00E9456A" w:rsidRPr="00772848" w:rsidRDefault="00E9456A" w:rsidP="004D3907">
            <w:pPr>
              <w:spacing w:before="0" w:after="0"/>
              <w:jc w:val="center"/>
              <w:rPr>
                <w:rFonts w:ascii="Calibri" w:eastAsia="Times New Roman" w:hAnsi="Calibri" w:cs="Calibri"/>
                <w:b/>
                <w:snapToGrid w:val="0"/>
                <w:sz w:val="24"/>
                <w:szCs w:val="24"/>
              </w:rPr>
            </w:pPr>
            <w:r w:rsidRPr="00772848">
              <w:rPr>
                <w:rFonts w:ascii="Calibri" w:eastAsia="Times New Roman" w:hAnsi="Calibri" w:cs="Calibri"/>
                <w:b/>
                <w:snapToGrid w:val="0"/>
                <w:sz w:val="24"/>
                <w:szCs w:val="24"/>
              </w:rPr>
              <w:t>148</w:t>
            </w:r>
          </w:p>
        </w:tc>
        <w:tc>
          <w:tcPr>
            <w:tcW w:w="1276" w:type="dxa"/>
            <w:shd w:val="clear" w:color="auto" w:fill="auto"/>
          </w:tcPr>
          <w:p w14:paraId="74550453" w14:textId="77777777" w:rsidR="00E9456A" w:rsidRPr="00772848" w:rsidRDefault="00E9456A" w:rsidP="004D3907">
            <w:pPr>
              <w:spacing w:before="0" w:after="0"/>
              <w:jc w:val="center"/>
              <w:rPr>
                <w:rFonts w:ascii="Calibri" w:eastAsia="Times New Roman" w:hAnsi="Calibri" w:cs="Calibri"/>
                <w:b/>
                <w:snapToGrid w:val="0"/>
                <w:sz w:val="24"/>
                <w:szCs w:val="24"/>
              </w:rPr>
            </w:pPr>
            <w:r w:rsidRPr="00772848">
              <w:rPr>
                <w:rFonts w:ascii="Calibri" w:eastAsia="Times New Roman" w:hAnsi="Calibri" w:cs="Calibri"/>
                <w:b/>
                <w:snapToGrid w:val="0"/>
                <w:sz w:val="24"/>
                <w:szCs w:val="24"/>
              </w:rPr>
              <w:t>120</w:t>
            </w:r>
          </w:p>
        </w:tc>
        <w:tc>
          <w:tcPr>
            <w:tcW w:w="1371" w:type="dxa"/>
          </w:tcPr>
          <w:p w14:paraId="7C93EC85" w14:textId="2FF0921A" w:rsidR="00E9456A" w:rsidRPr="00772848" w:rsidRDefault="0013511E" w:rsidP="004D3907">
            <w:pPr>
              <w:spacing w:before="0" w:after="0"/>
              <w:jc w:val="center"/>
              <w:rPr>
                <w:rFonts w:ascii="Calibri" w:eastAsia="Times New Roman" w:hAnsi="Calibri" w:cs="Calibri"/>
                <w:b/>
                <w:snapToGrid w:val="0"/>
                <w:sz w:val="24"/>
                <w:szCs w:val="24"/>
              </w:rPr>
            </w:pPr>
            <w:r>
              <w:rPr>
                <w:rFonts w:ascii="Calibri" w:eastAsia="Times New Roman" w:hAnsi="Calibri" w:cs="Calibri"/>
                <w:b/>
                <w:snapToGrid w:val="0"/>
                <w:sz w:val="24"/>
                <w:szCs w:val="24"/>
              </w:rPr>
              <w:t>44</w:t>
            </w:r>
          </w:p>
        </w:tc>
      </w:tr>
      <w:tr w:rsidR="00E9456A" w:rsidRPr="00772848" w14:paraId="60445074" w14:textId="77777777" w:rsidTr="00DA0E1C">
        <w:tc>
          <w:tcPr>
            <w:tcW w:w="2628" w:type="dxa"/>
            <w:shd w:val="clear" w:color="auto" w:fill="auto"/>
          </w:tcPr>
          <w:p w14:paraId="706A1D7A" w14:textId="684B2584" w:rsidR="00E9456A" w:rsidRPr="00772848" w:rsidRDefault="00E9456A" w:rsidP="004D3907">
            <w:pPr>
              <w:spacing w:before="0" w:after="0"/>
              <w:rPr>
                <w:rFonts w:ascii="Calibri" w:eastAsia="Times New Roman" w:hAnsi="Calibri" w:cs="Calibri"/>
                <w:b/>
                <w:snapToGrid w:val="0"/>
                <w:sz w:val="22"/>
                <w:szCs w:val="24"/>
              </w:rPr>
            </w:pPr>
            <w:r w:rsidRPr="00772848">
              <w:rPr>
                <w:rFonts w:ascii="Calibri" w:eastAsia="Times New Roman" w:hAnsi="Calibri" w:cs="Calibri"/>
                <w:b/>
                <w:snapToGrid w:val="0"/>
                <w:sz w:val="22"/>
                <w:szCs w:val="24"/>
              </w:rPr>
              <w:t>TB Mortality rate (per 100,000 population)</w:t>
            </w:r>
          </w:p>
        </w:tc>
        <w:tc>
          <w:tcPr>
            <w:tcW w:w="1170" w:type="dxa"/>
            <w:shd w:val="clear" w:color="auto" w:fill="auto"/>
          </w:tcPr>
          <w:p w14:paraId="31F9CF5A" w14:textId="77777777" w:rsidR="00E9456A" w:rsidRPr="00772848" w:rsidRDefault="00E9456A" w:rsidP="004D3907">
            <w:pPr>
              <w:spacing w:before="0" w:after="0"/>
              <w:jc w:val="center"/>
              <w:rPr>
                <w:rFonts w:ascii="Calibri" w:eastAsia="Times New Roman" w:hAnsi="Calibri" w:cs="Calibri"/>
                <w:b/>
                <w:snapToGrid w:val="0"/>
                <w:sz w:val="24"/>
                <w:szCs w:val="24"/>
              </w:rPr>
            </w:pPr>
            <w:r w:rsidRPr="00772848">
              <w:rPr>
                <w:rFonts w:ascii="Calibri" w:eastAsia="Times New Roman" w:hAnsi="Calibri" w:cs="Calibri"/>
                <w:b/>
                <w:snapToGrid w:val="0"/>
                <w:sz w:val="24"/>
                <w:szCs w:val="24"/>
              </w:rPr>
              <w:t>33</w:t>
            </w:r>
          </w:p>
        </w:tc>
        <w:tc>
          <w:tcPr>
            <w:tcW w:w="1305" w:type="dxa"/>
            <w:shd w:val="clear" w:color="auto" w:fill="auto"/>
          </w:tcPr>
          <w:p w14:paraId="57947740" w14:textId="77777777" w:rsidR="00E9456A" w:rsidRPr="00772848" w:rsidRDefault="00E9456A" w:rsidP="004D3907">
            <w:pPr>
              <w:spacing w:before="0" w:after="0"/>
              <w:jc w:val="center"/>
              <w:rPr>
                <w:rFonts w:ascii="Calibri" w:eastAsia="Times New Roman" w:hAnsi="Calibri" w:cs="Calibri"/>
                <w:b/>
                <w:snapToGrid w:val="0"/>
                <w:sz w:val="24"/>
                <w:szCs w:val="24"/>
              </w:rPr>
            </w:pPr>
            <w:r w:rsidRPr="00772848">
              <w:rPr>
                <w:rFonts w:ascii="Calibri" w:eastAsia="Times New Roman" w:hAnsi="Calibri" w:cs="Calibri"/>
                <w:b/>
                <w:snapToGrid w:val="0"/>
                <w:sz w:val="24"/>
                <w:szCs w:val="24"/>
              </w:rPr>
              <w:t>27</w:t>
            </w:r>
          </w:p>
        </w:tc>
        <w:tc>
          <w:tcPr>
            <w:tcW w:w="1276" w:type="dxa"/>
            <w:shd w:val="clear" w:color="auto" w:fill="auto"/>
          </w:tcPr>
          <w:p w14:paraId="75AFBDFE" w14:textId="77777777" w:rsidR="00E9456A" w:rsidRPr="00772848" w:rsidRDefault="00E9456A" w:rsidP="004D3907">
            <w:pPr>
              <w:spacing w:before="0" w:after="0"/>
              <w:jc w:val="center"/>
              <w:rPr>
                <w:rFonts w:ascii="Calibri" w:eastAsia="Times New Roman" w:hAnsi="Calibri" w:cs="Calibri"/>
                <w:b/>
                <w:snapToGrid w:val="0"/>
                <w:sz w:val="24"/>
                <w:szCs w:val="24"/>
              </w:rPr>
            </w:pPr>
            <w:r w:rsidRPr="00772848">
              <w:rPr>
                <w:rFonts w:ascii="Calibri" w:eastAsia="Times New Roman" w:hAnsi="Calibri" w:cs="Calibri"/>
                <w:b/>
                <w:snapToGrid w:val="0"/>
                <w:sz w:val="24"/>
                <w:szCs w:val="24"/>
              </w:rPr>
              <w:t>21</w:t>
            </w:r>
          </w:p>
        </w:tc>
        <w:tc>
          <w:tcPr>
            <w:tcW w:w="1276" w:type="dxa"/>
            <w:shd w:val="clear" w:color="auto" w:fill="auto"/>
          </w:tcPr>
          <w:p w14:paraId="7218C11E" w14:textId="77777777" w:rsidR="00E9456A" w:rsidRPr="00772848" w:rsidRDefault="00E9456A" w:rsidP="004D3907">
            <w:pPr>
              <w:spacing w:before="0" w:after="0"/>
              <w:jc w:val="center"/>
              <w:rPr>
                <w:rFonts w:ascii="Calibri" w:eastAsia="Times New Roman" w:hAnsi="Calibri" w:cs="Calibri"/>
                <w:b/>
                <w:snapToGrid w:val="0"/>
                <w:sz w:val="24"/>
                <w:szCs w:val="24"/>
              </w:rPr>
            </w:pPr>
            <w:r w:rsidRPr="00772848">
              <w:rPr>
                <w:rFonts w:ascii="Calibri" w:eastAsia="Times New Roman" w:hAnsi="Calibri" w:cs="Calibri"/>
                <w:b/>
                <w:snapToGrid w:val="0"/>
                <w:sz w:val="24"/>
                <w:szCs w:val="24"/>
              </w:rPr>
              <w:t>15</w:t>
            </w:r>
          </w:p>
        </w:tc>
        <w:tc>
          <w:tcPr>
            <w:tcW w:w="1371" w:type="dxa"/>
          </w:tcPr>
          <w:p w14:paraId="3AB581E0" w14:textId="18E65632" w:rsidR="00E9456A" w:rsidRPr="00772848" w:rsidRDefault="0013511E" w:rsidP="004D3907">
            <w:pPr>
              <w:spacing w:before="0" w:after="0"/>
              <w:jc w:val="center"/>
              <w:rPr>
                <w:rFonts w:ascii="Calibri" w:eastAsia="Times New Roman" w:hAnsi="Calibri" w:cs="Calibri"/>
                <w:b/>
                <w:snapToGrid w:val="0"/>
                <w:sz w:val="24"/>
                <w:szCs w:val="24"/>
              </w:rPr>
            </w:pPr>
            <w:r>
              <w:rPr>
                <w:rFonts w:ascii="Calibri" w:eastAsia="Times New Roman" w:hAnsi="Calibri" w:cs="Calibri"/>
                <w:b/>
                <w:snapToGrid w:val="0"/>
                <w:sz w:val="24"/>
                <w:szCs w:val="24"/>
              </w:rPr>
              <w:t>3</w:t>
            </w:r>
          </w:p>
        </w:tc>
      </w:tr>
      <w:tr w:rsidR="00E376A4" w:rsidRPr="00772848" w14:paraId="64EA01D3" w14:textId="77777777" w:rsidTr="00A365B3">
        <w:tc>
          <w:tcPr>
            <w:tcW w:w="2628" w:type="dxa"/>
            <w:shd w:val="clear" w:color="auto" w:fill="auto"/>
          </w:tcPr>
          <w:p w14:paraId="2F49F68A" w14:textId="2F12E1A8" w:rsidR="00E376A4" w:rsidRPr="00772848" w:rsidRDefault="00E376A4" w:rsidP="004D3907">
            <w:pPr>
              <w:spacing w:before="0" w:after="0"/>
              <w:rPr>
                <w:rFonts w:ascii="Calibri" w:eastAsia="Times New Roman" w:hAnsi="Calibri" w:cs="Calibri"/>
                <w:b/>
                <w:snapToGrid w:val="0"/>
                <w:sz w:val="22"/>
                <w:szCs w:val="24"/>
              </w:rPr>
            </w:pPr>
            <w:r>
              <w:rPr>
                <w:rFonts w:ascii="Calibri" w:eastAsia="Times New Roman" w:hAnsi="Calibri" w:cs="Calibri"/>
                <w:b/>
                <w:snapToGrid w:val="0"/>
                <w:sz w:val="22"/>
                <w:szCs w:val="24"/>
              </w:rPr>
              <w:t xml:space="preserve">Budget estimates for </w:t>
            </w:r>
            <w:r w:rsidRPr="00E376A4">
              <w:rPr>
                <w:rFonts w:ascii="Calibri" w:eastAsia="Times New Roman" w:hAnsi="Calibri" w:cs="Calibri"/>
                <w:b/>
                <w:snapToGrid w:val="0"/>
                <w:sz w:val="22"/>
                <w:szCs w:val="24"/>
              </w:rPr>
              <w:t>FY 2020-21 to 2023-24</w:t>
            </w:r>
            <w:r>
              <w:rPr>
                <w:rFonts w:ascii="Calibri" w:eastAsia="Times New Roman" w:hAnsi="Calibri" w:cs="Calibri"/>
                <w:b/>
                <w:snapToGrid w:val="0"/>
                <w:sz w:val="22"/>
                <w:szCs w:val="24"/>
              </w:rPr>
              <w:t xml:space="preserve"> (</w:t>
            </w:r>
            <w:r w:rsidRPr="00E376A4">
              <w:rPr>
                <w:rFonts w:ascii="Calibri" w:eastAsia="Times New Roman" w:hAnsi="Calibri" w:cs="Calibri"/>
                <w:b/>
                <w:snapToGrid w:val="0"/>
                <w:sz w:val="22"/>
                <w:szCs w:val="24"/>
              </w:rPr>
              <w:t>in INR crores)</w:t>
            </w:r>
          </w:p>
        </w:tc>
        <w:tc>
          <w:tcPr>
            <w:tcW w:w="1170" w:type="dxa"/>
            <w:shd w:val="clear" w:color="auto" w:fill="000000" w:themeFill="text1"/>
          </w:tcPr>
          <w:p w14:paraId="4383D5B6" w14:textId="77777777" w:rsidR="00E376A4" w:rsidRPr="00A365B3" w:rsidRDefault="00E376A4" w:rsidP="004D3907">
            <w:pPr>
              <w:spacing w:before="0" w:after="0"/>
              <w:jc w:val="center"/>
              <w:rPr>
                <w:rFonts w:ascii="Calibri" w:eastAsia="Times New Roman" w:hAnsi="Calibri" w:cs="Calibri"/>
                <w:b/>
                <w:snapToGrid w:val="0"/>
                <w:sz w:val="24"/>
                <w:szCs w:val="24"/>
                <w:highlight w:val="black"/>
              </w:rPr>
            </w:pPr>
          </w:p>
        </w:tc>
        <w:tc>
          <w:tcPr>
            <w:tcW w:w="1305" w:type="dxa"/>
            <w:shd w:val="clear" w:color="auto" w:fill="auto"/>
          </w:tcPr>
          <w:p w14:paraId="33AA8F32" w14:textId="1C4CBD02" w:rsidR="00E376A4" w:rsidRPr="00772848" w:rsidRDefault="00E376A4" w:rsidP="004D3907">
            <w:pPr>
              <w:spacing w:before="0" w:after="0"/>
              <w:jc w:val="center"/>
              <w:rPr>
                <w:rFonts w:ascii="Calibri" w:eastAsia="Times New Roman" w:hAnsi="Calibri" w:cs="Calibri"/>
                <w:b/>
                <w:snapToGrid w:val="0"/>
                <w:sz w:val="24"/>
                <w:szCs w:val="24"/>
              </w:rPr>
            </w:pPr>
            <w:r w:rsidRPr="00E376A4">
              <w:rPr>
                <w:rFonts w:ascii="Calibri" w:eastAsia="Times New Roman" w:hAnsi="Calibri" w:cs="Calibri"/>
                <w:b/>
                <w:snapToGrid w:val="0"/>
                <w:sz w:val="24"/>
                <w:szCs w:val="24"/>
              </w:rPr>
              <w:t>16999</w:t>
            </w:r>
          </w:p>
        </w:tc>
        <w:tc>
          <w:tcPr>
            <w:tcW w:w="1276" w:type="dxa"/>
            <w:shd w:val="clear" w:color="auto" w:fill="auto"/>
          </w:tcPr>
          <w:p w14:paraId="3144301B" w14:textId="14E9153F" w:rsidR="00E376A4" w:rsidRPr="00772848" w:rsidRDefault="00E376A4" w:rsidP="004D3907">
            <w:pPr>
              <w:spacing w:before="0" w:after="0"/>
              <w:jc w:val="center"/>
              <w:rPr>
                <w:rFonts w:ascii="Calibri" w:eastAsia="Times New Roman" w:hAnsi="Calibri" w:cs="Calibri"/>
                <w:b/>
                <w:snapToGrid w:val="0"/>
                <w:sz w:val="24"/>
                <w:szCs w:val="24"/>
              </w:rPr>
            </w:pPr>
            <w:r w:rsidRPr="00E376A4">
              <w:rPr>
                <w:rFonts w:ascii="Calibri" w:eastAsia="Times New Roman" w:hAnsi="Calibri" w:cs="Calibri"/>
                <w:b/>
                <w:snapToGrid w:val="0"/>
                <w:sz w:val="24"/>
                <w:szCs w:val="24"/>
              </w:rPr>
              <w:t>24092</w:t>
            </w:r>
          </w:p>
        </w:tc>
        <w:tc>
          <w:tcPr>
            <w:tcW w:w="1276" w:type="dxa"/>
            <w:shd w:val="clear" w:color="auto" w:fill="auto"/>
          </w:tcPr>
          <w:p w14:paraId="1FF64577" w14:textId="67E9701C" w:rsidR="00E376A4" w:rsidRPr="00772848" w:rsidRDefault="00E376A4" w:rsidP="004D3907">
            <w:pPr>
              <w:spacing w:before="0" w:after="0"/>
              <w:jc w:val="center"/>
              <w:rPr>
                <w:rFonts w:ascii="Calibri" w:eastAsia="Times New Roman" w:hAnsi="Calibri" w:cs="Calibri"/>
                <w:b/>
                <w:snapToGrid w:val="0"/>
                <w:sz w:val="24"/>
                <w:szCs w:val="24"/>
              </w:rPr>
            </w:pPr>
            <w:r w:rsidRPr="00E376A4">
              <w:rPr>
                <w:rFonts w:ascii="Calibri" w:eastAsia="Times New Roman" w:hAnsi="Calibri" w:cs="Calibri"/>
                <w:b/>
                <w:snapToGrid w:val="0"/>
                <w:sz w:val="24"/>
                <w:szCs w:val="24"/>
              </w:rPr>
              <w:t>42109</w:t>
            </w:r>
          </w:p>
        </w:tc>
        <w:tc>
          <w:tcPr>
            <w:tcW w:w="1371" w:type="dxa"/>
          </w:tcPr>
          <w:p w14:paraId="45D3AEE9" w14:textId="60ECBB95" w:rsidR="00E376A4" w:rsidRDefault="00E376A4" w:rsidP="004D3907">
            <w:pPr>
              <w:spacing w:before="0" w:after="0"/>
              <w:jc w:val="center"/>
              <w:rPr>
                <w:rFonts w:ascii="Calibri" w:eastAsia="Times New Roman" w:hAnsi="Calibri" w:cs="Calibri"/>
                <w:b/>
                <w:snapToGrid w:val="0"/>
                <w:sz w:val="24"/>
                <w:szCs w:val="24"/>
              </w:rPr>
            </w:pPr>
            <w:r w:rsidRPr="00E376A4">
              <w:rPr>
                <w:rFonts w:ascii="Calibri" w:eastAsia="Times New Roman" w:hAnsi="Calibri" w:cs="Calibri"/>
                <w:b/>
                <w:snapToGrid w:val="0"/>
                <w:sz w:val="24"/>
                <w:szCs w:val="24"/>
              </w:rPr>
              <w:t>52867</w:t>
            </w:r>
          </w:p>
        </w:tc>
      </w:tr>
      <w:tr w:rsidR="00E376A4" w:rsidRPr="00772848" w14:paraId="1D988EE3" w14:textId="77777777" w:rsidTr="00A365B3">
        <w:tc>
          <w:tcPr>
            <w:tcW w:w="2628" w:type="dxa"/>
            <w:shd w:val="clear" w:color="auto" w:fill="auto"/>
          </w:tcPr>
          <w:p w14:paraId="1EC2EA9E" w14:textId="5A54E083" w:rsidR="00E376A4" w:rsidRDefault="00E376A4" w:rsidP="00E376A4">
            <w:pPr>
              <w:spacing w:before="0" w:after="0"/>
              <w:rPr>
                <w:rFonts w:ascii="Calibri" w:eastAsia="Times New Roman" w:hAnsi="Calibri" w:cs="Calibri"/>
                <w:b/>
                <w:snapToGrid w:val="0"/>
                <w:sz w:val="22"/>
                <w:szCs w:val="24"/>
              </w:rPr>
            </w:pPr>
            <w:r>
              <w:rPr>
                <w:rFonts w:ascii="Calibri" w:eastAsia="Times New Roman" w:hAnsi="Calibri" w:cs="Calibri"/>
                <w:b/>
                <w:snapToGrid w:val="0"/>
                <w:sz w:val="22"/>
                <w:szCs w:val="24"/>
              </w:rPr>
              <w:t xml:space="preserve">Budget estimates for </w:t>
            </w:r>
            <w:r w:rsidRPr="00E376A4">
              <w:rPr>
                <w:rFonts w:ascii="Calibri" w:eastAsia="Times New Roman" w:hAnsi="Calibri" w:cs="Calibri"/>
                <w:b/>
                <w:snapToGrid w:val="0"/>
                <w:sz w:val="22"/>
                <w:szCs w:val="24"/>
              </w:rPr>
              <w:t>FY 2020-21 to 202</w:t>
            </w:r>
            <w:r>
              <w:rPr>
                <w:rFonts w:ascii="Calibri" w:eastAsia="Times New Roman" w:hAnsi="Calibri" w:cs="Calibri"/>
                <w:b/>
                <w:snapToGrid w:val="0"/>
                <w:sz w:val="22"/>
                <w:szCs w:val="24"/>
              </w:rPr>
              <w:t>5</w:t>
            </w:r>
            <w:r w:rsidRPr="00E376A4">
              <w:rPr>
                <w:rFonts w:ascii="Calibri" w:eastAsia="Times New Roman" w:hAnsi="Calibri" w:cs="Calibri"/>
                <w:b/>
                <w:snapToGrid w:val="0"/>
                <w:sz w:val="22"/>
                <w:szCs w:val="24"/>
              </w:rPr>
              <w:t>-2</w:t>
            </w:r>
            <w:r>
              <w:rPr>
                <w:rFonts w:ascii="Calibri" w:eastAsia="Times New Roman" w:hAnsi="Calibri" w:cs="Calibri"/>
                <w:b/>
                <w:snapToGrid w:val="0"/>
                <w:sz w:val="22"/>
                <w:szCs w:val="24"/>
              </w:rPr>
              <w:t>6 (</w:t>
            </w:r>
            <w:r w:rsidRPr="00E376A4">
              <w:rPr>
                <w:rFonts w:ascii="Calibri" w:eastAsia="Times New Roman" w:hAnsi="Calibri" w:cs="Calibri"/>
                <w:b/>
                <w:snapToGrid w:val="0"/>
                <w:sz w:val="22"/>
                <w:szCs w:val="24"/>
              </w:rPr>
              <w:t>in INR crores)</w:t>
            </w:r>
          </w:p>
        </w:tc>
        <w:tc>
          <w:tcPr>
            <w:tcW w:w="1170" w:type="dxa"/>
            <w:shd w:val="clear" w:color="auto" w:fill="000000" w:themeFill="text1"/>
          </w:tcPr>
          <w:p w14:paraId="36AF7DB3" w14:textId="77777777" w:rsidR="00E376A4" w:rsidRPr="00A365B3" w:rsidRDefault="00E376A4" w:rsidP="00E376A4">
            <w:pPr>
              <w:spacing w:before="0" w:after="0"/>
              <w:jc w:val="center"/>
              <w:rPr>
                <w:rFonts w:ascii="Calibri" w:eastAsia="Times New Roman" w:hAnsi="Calibri" w:cs="Calibri"/>
                <w:b/>
                <w:snapToGrid w:val="0"/>
                <w:sz w:val="24"/>
                <w:szCs w:val="24"/>
                <w:highlight w:val="black"/>
              </w:rPr>
            </w:pPr>
          </w:p>
        </w:tc>
        <w:tc>
          <w:tcPr>
            <w:tcW w:w="1305" w:type="dxa"/>
            <w:shd w:val="clear" w:color="auto" w:fill="auto"/>
          </w:tcPr>
          <w:p w14:paraId="05760EC1" w14:textId="5981923E" w:rsidR="00E376A4" w:rsidRPr="00E376A4" w:rsidRDefault="00E376A4" w:rsidP="00E376A4">
            <w:pPr>
              <w:spacing w:before="0" w:after="0"/>
              <w:jc w:val="center"/>
              <w:rPr>
                <w:rFonts w:ascii="Calibri" w:eastAsia="Times New Roman" w:hAnsi="Calibri" w:cs="Calibri"/>
                <w:b/>
                <w:snapToGrid w:val="0"/>
                <w:sz w:val="24"/>
                <w:szCs w:val="24"/>
              </w:rPr>
            </w:pPr>
            <w:r w:rsidRPr="00E376A4">
              <w:rPr>
                <w:rFonts w:ascii="Calibri" w:eastAsia="Times New Roman" w:hAnsi="Calibri" w:cs="Calibri"/>
                <w:b/>
                <w:snapToGrid w:val="0"/>
                <w:sz w:val="24"/>
                <w:szCs w:val="24"/>
              </w:rPr>
              <w:t>27694</w:t>
            </w:r>
          </w:p>
        </w:tc>
        <w:tc>
          <w:tcPr>
            <w:tcW w:w="1276" w:type="dxa"/>
            <w:shd w:val="clear" w:color="auto" w:fill="auto"/>
          </w:tcPr>
          <w:p w14:paraId="1D20A39C" w14:textId="51E77D5D" w:rsidR="00E376A4" w:rsidRPr="00E376A4" w:rsidRDefault="00E376A4" w:rsidP="00E376A4">
            <w:pPr>
              <w:spacing w:before="0" w:after="0"/>
              <w:jc w:val="center"/>
              <w:rPr>
                <w:rFonts w:ascii="Calibri" w:eastAsia="Times New Roman" w:hAnsi="Calibri" w:cs="Calibri"/>
                <w:b/>
                <w:snapToGrid w:val="0"/>
                <w:sz w:val="24"/>
                <w:szCs w:val="24"/>
              </w:rPr>
            </w:pPr>
            <w:r w:rsidRPr="00E376A4">
              <w:rPr>
                <w:rFonts w:ascii="Calibri" w:eastAsia="Times New Roman" w:hAnsi="Calibri" w:cs="Calibri"/>
                <w:b/>
                <w:snapToGrid w:val="0"/>
                <w:sz w:val="24"/>
                <w:szCs w:val="24"/>
              </w:rPr>
              <w:t>45348</w:t>
            </w:r>
          </w:p>
        </w:tc>
        <w:tc>
          <w:tcPr>
            <w:tcW w:w="1276" w:type="dxa"/>
            <w:shd w:val="clear" w:color="auto" w:fill="auto"/>
          </w:tcPr>
          <w:p w14:paraId="08315292" w14:textId="4EA2D25D" w:rsidR="00E376A4" w:rsidRPr="00E376A4" w:rsidRDefault="00E376A4" w:rsidP="00E376A4">
            <w:pPr>
              <w:spacing w:before="0" w:after="0"/>
              <w:jc w:val="center"/>
              <w:rPr>
                <w:rFonts w:ascii="Calibri" w:eastAsia="Times New Roman" w:hAnsi="Calibri" w:cs="Calibri"/>
                <w:b/>
                <w:snapToGrid w:val="0"/>
                <w:sz w:val="24"/>
                <w:szCs w:val="24"/>
              </w:rPr>
            </w:pPr>
            <w:r w:rsidRPr="00E376A4">
              <w:rPr>
                <w:rFonts w:ascii="Calibri" w:eastAsia="Times New Roman" w:hAnsi="Calibri" w:cs="Calibri"/>
                <w:b/>
                <w:snapToGrid w:val="0"/>
                <w:sz w:val="24"/>
                <w:szCs w:val="24"/>
              </w:rPr>
              <w:t>67565</w:t>
            </w:r>
          </w:p>
        </w:tc>
        <w:tc>
          <w:tcPr>
            <w:tcW w:w="1371" w:type="dxa"/>
          </w:tcPr>
          <w:p w14:paraId="673955AC" w14:textId="2F2C00C1" w:rsidR="00E376A4" w:rsidRPr="00E376A4" w:rsidRDefault="00E376A4" w:rsidP="00E376A4">
            <w:pPr>
              <w:spacing w:before="0" w:after="0"/>
              <w:jc w:val="center"/>
              <w:rPr>
                <w:rFonts w:ascii="Calibri" w:eastAsia="Times New Roman" w:hAnsi="Calibri" w:cs="Calibri"/>
                <w:b/>
                <w:snapToGrid w:val="0"/>
                <w:sz w:val="24"/>
                <w:szCs w:val="24"/>
              </w:rPr>
            </w:pPr>
            <w:r w:rsidRPr="00E376A4">
              <w:rPr>
                <w:rFonts w:ascii="Calibri" w:eastAsia="Times New Roman" w:hAnsi="Calibri" w:cs="Calibri"/>
                <w:b/>
                <w:snapToGrid w:val="0"/>
                <w:sz w:val="24"/>
                <w:szCs w:val="24"/>
              </w:rPr>
              <w:t>96099</w:t>
            </w:r>
          </w:p>
        </w:tc>
      </w:tr>
    </w:tbl>
    <w:p w14:paraId="7F09447C" w14:textId="77777777" w:rsidR="0043078B" w:rsidRPr="00240150" w:rsidRDefault="0043078B" w:rsidP="00240150">
      <w:pPr>
        <w:rPr>
          <w:rFonts w:asciiTheme="minorHAnsi" w:hAnsiTheme="minorHAnsi" w:cstheme="minorHAnsi"/>
          <w:b/>
          <w:color w:val="C86A07" w:themeColor="accent2" w:themeShade="BF"/>
          <w:sz w:val="28"/>
        </w:rPr>
      </w:pPr>
      <w:r w:rsidRPr="00240150">
        <w:rPr>
          <w:rFonts w:asciiTheme="minorHAnsi" w:hAnsiTheme="minorHAnsi" w:cstheme="minorHAnsi"/>
          <w:b/>
          <w:color w:val="C86A07" w:themeColor="accent2" w:themeShade="BF"/>
          <w:sz w:val="28"/>
        </w:rPr>
        <w:t>Prioritization approach</w:t>
      </w:r>
    </w:p>
    <w:p w14:paraId="7802642A" w14:textId="3221CB57" w:rsidR="0043078B" w:rsidRDefault="0043078B" w:rsidP="0043078B">
      <w:pPr>
        <w:spacing w:before="0" w:after="0"/>
        <w:jc w:val="both"/>
        <w:rPr>
          <w:rFonts w:ascii="Calibri" w:hAnsi="Calibri" w:cs="Calibri"/>
          <w:sz w:val="22"/>
        </w:rPr>
      </w:pPr>
      <w:r>
        <w:rPr>
          <w:rFonts w:ascii="Calibri" w:hAnsi="Calibri" w:cs="Calibri"/>
          <w:sz w:val="22"/>
        </w:rPr>
        <w:t>Based on the interplay of coverage of services, its impact on TB burden and resources requirements, strategic interventions that are best suited to decrease incidence at the available resources have been prioritized and will be implemented in the country.  The interventions have been also prioritized based on recommendations of the Joint Monitoring Mission in 2019 (chapter 3), Central Internal Evaluations over the last three years, various donor missions</w:t>
      </w:r>
      <w:r w:rsidR="00DA0E1C">
        <w:rPr>
          <w:rFonts w:ascii="Calibri" w:hAnsi="Calibri" w:cs="Calibri"/>
          <w:sz w:val="22"/>
        </w:rPr>
        <w:t>, and programme evaluations conducted by the Central TB Division.</w:t>
      </w:r>
      <w:r>
        <w:rPr>
          <w:rFonts w:ascii="Calibri" w:hAnsi="Calibri" w:cs="Calibri"/>
          <w:sz w:val="22"/>
        </w:rPr>
        <w:t xml:space="preserve"> </w:t>
      </w:r>
    </w:p>
    <w:p w14:paraId="0EC99FB0" w14:textId="0EE8E4BF" w:rsidR="0043078B" w:rsidRDefault="0043078B" w:rsidP="0043078B">
      <w:pPr>
        <w:jc w:val="both"/>
        <w:rPr>
          <w:rFonts w:ascii="Calibri" w:hAnsi="Calibri" w:cs="Calibri"/>
          <w:bCs/>
          <w:sz w:val="22"/>
        </w:rPr>
      </w:pPr>
      <w:r w:rsidRPr="00926017">
        <w:rPr>
          <w:rFonts w:ascii="Calibri" w:hAnsi="Calibri" w:cs="Calibri"/>
          <w:bCs/>
          <w:sz w:val="22"/>
        </w:rPr>
        <w:t xml:space="preserve">Key interventions which are focused to impact reduction in incidence are </w:t>
      </w:r>
      <w:r w:rsidRPr="00926017">
        <w:rPr>
          <w:rFonts w:ascii="Calibri" w:hAnsi="Calibri" w:cs="Calibri"/>
          <w:b/>
          <w:sz w:val="22"/>
        </w:rPr>
        <w:t xml:space="preserve">population screening for TB through outreach, use of molecular tests for TB diagnosis, high standard of care in private sector through comprehensive engagement, achieving high treatment success, introducing preventive therapy of adult and adolescent contacts. </w:t>
      </w:r>
      <w:r w:rsidRPr="00926017">
        <w:rPr>
          <w:rFonts w:ascii="Calibri" w:hAnsi="Calibri" w:cs="Calibri"/>
          <w:bCs/>
          <w:sz w:val="22"/>
        </w:rPr>
        <w:t>Details of annual coverage (output indicators) of key TB services and outcome indicators and its impact on annual rate of incidence have been placed for baseline and all three scenarios in table below.</w:t>
      </w:r>
      <w:r w:rsidR="0085017B">
        <w:rPr>
          <w:rFonts w:ascii="Calibri" w:hAnsi="Calibri" w:cs="Calibri"/>
          <w:bCs/>
          <w:sz w:val="22"/>
        </w:rPr>
        <w:t xml:space="preserve"> </w:t>
      </w:r>
    </w:p>
    <w:p w14:paraId="596EE8E1" w14:textId="4EC7F231" w:rsidR="0085017B" w:rsidRPr="000D18DE" w:rsidRDefault="0085017B" w:rsidP="0043078B">
      <w:pPr>
        <w:jc w:val="both"/>
        <w:rPr>
          <w:rFonts w:ascii="Calibri" w:hAnsi="Calibri" w:cs="Calibri"/>
          <w:b/>
          <w:sz w:val="22"/>
        </w:rPr>
      </w:pPr>
      <w:r w:rsidRPr="000D18DE">
        <w:rPr>
          <w:rFonts w:asciiTheme="minorHAnsi" w:eastAsia="Times New Roman" w:hAnsiTheme="minorHAnsi" w:cstheme="minorHAnsi"/>
          <w:b/>
          <w:sz w:val="22"/>
          <w:lang w:val="en" w:eastAsia="en-IN"/>
        </w:rPr>
        <w:t xml:space="preserve">Table </w:t>
      </w:r>
      <w:r w:rsidR="00E34AC7">
        <w:rPr>
          <w:rFonts w:asciiTheme="minorHAnsi" w:eastAsia="Times New Roman" w:hAnsiTheme="minorHAnsi" w:cstheme="minorHAnsi"/>
          <w:b/>
          <w:sz w:val="22"/>
          <w:lang w:val="en" w:eastAsia="en-IN"/>
        </w:rPr>
        <w:t>7</w:t>
      </w:r>
      <w:r w:rsidRPr="000D18DE">
        <w:rPr>
          <w:rFonts w:asciiTheme="minorHAnsi" w:eastAsia="Times New Roman" w:hAnsiTheme="minorHAnsi" w:cstheme="minorHAnsi"/>
          <w:b/>
          <w:sz w:val="22"/>
          <w:lang w:val="en" w:eastAsia="en-IN"/>
        </w:rPr>
        <w:t xml:space="preserve">:  </w:t>
      </w:r>
      <w:r w:rsidR="00E34AC7">
        <w:rPr>
          <w:rFonts w:asciiTheme="minorHAnsi" w:eastAsia="Times New Roman" w:hAnsiTheme="minorHAnsi" w:cstheme="minorHAnsi"/>
          <w:b/>
          <w:sz w:val="22"/>
          <w:lang w:val="en" w:eastAsia="en-IN"/>
        </w:rPr>
        <w:t xml:space="preserve">Outcome and output </w:t>
      </w:r>
      <w:r w:rsidR="000D18DE">
        <w:rPr>
          <w:rFonts w:asciiTheme="minorHAnsi" w:eastAsia="Times New Roman" w:hAnsiTheme="minorHAnsi" w:cstheme="minorHAnsi"/>
          <w:b/>
          <w:sz w:val="22"/>
          <w:lang w:val="en" w:eastAsia="en-IN"/>
        </w:rPr>
        <w:t>indicators</w:t>
      </w:r>
      <w:r w:rsidR="00E34AC7">
        <w:rPr>
          <w:rFonts w:asciiTheme="minorHAnsi" w:eastAsia="Times New Roman" w:hAnsiTheme="minorHAnsi" w:cstheme="minorHAnsi"/>
          <w:b/>
          <w:sz w:val="22"/>
          <w:lang w:val="en" w:eastAsia="en-IN"/>
        </w:rPr>
        <w:t xml:space="preserve"> based on the modelling scenarios</w:t>
      </w:r>
      <w:r w:rsidR="000D18DE">
        <w:rPr>
          <w:rFonts w:asciiTheme="minorHAnsi" w:eastAsia="Times New Roman" w:hAnsiTheme="minorHAnsi" w:cstheme="minorHAnsi"/>
          <w:b/>
          <w:sz w:val="22"/>
          <w:lang w:val="en" w:eastAsia="en-IN"/>
        </w:rPr>
        <w:t xml:space="preserve"> </w:t>
      </w:r>
    </w:p>
    <w:tbl>
      <w:tblPr>
        <w:tblW w:w="0" w:type="auto"/>
        <w:tblBorders>
          <w:top w:val="single" w:sz="8" w:space="0" w:color="2B3990"/>
          <w:bottom w:val="single" w:sz="8" w:space="0" w:color="2B3990"/>
          <w:insideH w:val="single" w:sz="8" w:space="0" w:color="2B3990"/>
          <w:insideV w:val="single" w:sz="8" w:space="0" w:color="2B3990"/>
        </w:tblBorders>
        <w:tblLayout w:type="fixed"/>
        <w:tblLook w:val="04A0" w:firstRow="1" w:lastRow="0" w:firstColumn="1" w:lastColumn="0" w:noHBand="0" w:noVBand="1"/>
      </w:tblPr>
      <w:tblGrid>
        <w:gridCol w:w="3214"/>
        <w:gridCol w:w="1054"/>
        <w:gridCol w:w="1218"/>
        <w:gridCol w:w="1218"/>
        <w:gridCol w:w="1218"/>
        <w:gridCol w:w="1104"/>
      </w:tblGrid>
      <w:tr w:rsidR="00D2045E" w:rsidRPr="00C932D0" w14:paraId="11D6B729" w14:textId="77777777" w:rsidTr="0085017B">
        <w:tc>
          <w:tcPr>
            <w:tcW w:w="3214" w:type="dxa"/>
            <w:shd w:val="clear" w:color="auto" w:fill="auto"/>
            <w:vAlign w:val="center"/>
          </w:tcPr>
          <w:p w14:paraId="5EBFDBEF" w14:textId="77777777" w:rsidR="00D2045E" w:rsidRPr="000B7811" w:rsidRDefault="00D2045E" w:rsidP="00D2045E">
            <w:pPr>
              <w:spacing w:before="0" w:after="0"/>
              <w:rPr>
                <w:rFonts w:ascii="Calibri" w:eastAsia="Times New Roman" w:hAnsi="Calibri" w:cs="Calibri"/>
                <w:b/>
                <w:bCs/>
                <w:snapToGrid w:val="0"/>
                <w:sz w:val="24"/>
                <w:szCs w:val="24"/>
              </w:rPr>
            </w:pPr>
            <w:r w:rsidRPr="000B7811">
              <w:rPr>
                <w:rFonts w:ascii="Calibri" w:eastAsia="Times New Roman" w:hAnsi="Calibri" w:cs="Calibri"/>
                <w:b/>
                <w:bCs/>
                <w:snapToGrid w:val="0"/>
                <w:sz w:val="24"/>
                <w:szCs w:val="24"/>
              </w:rPr>
              <w:t>Annual Indicators</w:t>
            </w:r>
          </w:p>
        </w:tc>
        <w:tc>
          <w:tcPr>
            <w:tcW w:w="1054" w:type="dxa"/>
            <w:shd w:val="clear" w:color="auto" w:fill="auto"/>
            <w:vAlign w:val="center"/>
          </w:tcPr>
          <w:p w14:paraId="01654D4C" w14:textId="77777777" w:rsidR="00D2045E" w:rsidRPr="000B7811" w:rsidRDefault="00D2045E" w:rsidP="00D2045E">
            <w:pPr>
              <w:spacing w:before="0" w:after="0"/>
              <w:jc w:val="center"/>
              <w:rPr>
                <w:rFonts w:ascii="Calibri" w:eastAsia="Times New Roman" w:hAnsi="Calibri" w:cs="Calibri"/>
                <w:b/>
                <w:bCs/>
                <w:snapToGrid w:val="0"/>
                <w:sz w:val="24"/>
                <w:szCs w:val="24"/>
              </w:rPr>
            </w:pPr>
            <w:r w:rsidRPr="000B7811">
              <w:rPr>
                <w:rFonts w:ascii="Calibri" w:eastAsia="Times New Roman" w:hAnsi="Calibri" w:cs="Calibri"/>
                <w:b/>
                <w:bCs/>
                <w:snapToGrid w:val="0"/>
                <w:sz w:val="24"/>
                <w:szCs w:val="24"/>
              </w:rPr>
              <w:t>Baseline</w:t>
            </w:r>
          </w:p>
        </w:tc>
        <w:tc>
          <w:tcPr>
            <w:tcW w:w="1218" w:type="dxa"/>
            <w:shd w:val="clear" w:color="auto" w:fill="auto"/>
            <w:vAlign w:val="center"/>
          </w:tcPr>
          <w:p w14:paraId="26531E8C" w14:textId="77777777" w:rsidR="00D2045E" w:rsidRPr="000B7811" w:rsidRDefault="00D2045E" w:rsidP="00D2045E">
            <w:pPr>
              <w:spacing w:before="0" w:after="0"/>
              <w:jc w:val="center"/>
              <w:rPr>
                <w:rFonts w:ascii="Calibri" w:eastAsia="Times New Roman" w:hAnsi="Calibri" w:cs="Calibri"/>
                <w:b/>
                <w:bCs/>
                <w:snapToGrid w:val="0"/>
                <w:sz w:val="24"/>
                <w:szCs w:val="24"/>
              </w:rPr>
            </w:pPr>
            <w:r w:rsidRPr="000B7811">
              <w:rPr>
                <w:rFonts w:ascii="Calibri" w:eastAsia="Times New Roman" w:hAnsi="Calibri" w:cs="Calibri"/>
                <w:b/>
                <w:bCs/>
                <w:snapToGrid w:val="0"/>
                <w:sz w:val="24"/>
                <w:szCs w:val="24"/>
              </w:rPr>
              <w:t>Scenario 1</w:t>
            </w:r>
          </w:p>
        </w:tc>
        <w:tc>
          <w:tcPr>
            <w:tcW w:w="1218" w:type="dxa"/>
            <w:shd w:val="clear" w:color="auto" w:fill="auto"/>
            <w:vAlign w:val="center"/>
          </w:tcPr>
          <w:p w14:paraId="5DC7B4B4" w14:textId="77777777" w:rsidR="00D2045E" w:rsidRPr="000B7811" w:rsidRDefault="00D2045E" w:rsidP="00D2045E">
            <w:pPr>
              <w:spacing w:before="0" w:after="0"/>
              <w:jc w:val="center"/>
              <w:rPr>
                <w:rFonts w:ascii="Calibri" w:eastAsia="Times New Roman" w:hAnsi="Calibri" w:cs="Calibri"/>
                <w:b/>
                <w:bCs/>
                <w:snapToGrid w:val="0"/>
                <w:sz w:val="24"/>
                <w:szCs w:val="24"/>
              </w:rPr>
            </w:pPr>
            <w:r w:rsidRPr="000B7811">
              <w:rPr>
                <w:rFonts w:ascii="Calibri" w:eastAsia="Times New Roman" w:hAnsi="Calibri" w:cs="Calibri"/>
                <w:b/>
                <w:bCs/>
                <w:snapToGrid w:val="0"/>
                <w:sz w:val="24"/>
                <w:szCs w:val="24"/>
              </w:rPr>
              <w:t>Scenario 2</w:t>
            </w:r>
          </w:p>
        </w:tc>
        <w:tc>
          <w:tcPr>
            <w:tcW w:w="1218" w:type="dxa"/>
            <w:shd w:val="clear" w:color="auto" w:fill="auto"/>
            <w:vAlign w:val="center"/>
          </w:tcPr>
          <w:p w14:paraId="516C4C8C" w14:textId="77777777" w:rsidR="00D2045E" w:rsidRPr="000B7811" w:rsidRDefault="00D2045E" w:rsidP="00D2045E">
            <w:pPr>
              <w:spacing w:before="0" w:after="0"/>
              <w:jc w:val="center"/>
              <w:rPr>
                <w:rFonts w:ascii="Calibri" w:eastAsia="Times New Roman" w:hAnsi="Calibri" w:cs="Calibri"/>
                <w:b/>
                <w:bCs/>
                <w:snapToGrid w:val="0"/>
                <w:sz w:val="24"/>
                <w:szCs w:val="24"/>
              </w:rPr>
            </w:pPr>
            <w:r w:rsidRPr="000B7811">
              <w:rPr>
                <w:rFonts w:ascii="Calibri" w:eastAsia="Times New Roman" w:hAnsi="Calibri" w:cs="Calibri"/>
                <w:b/>
                <w:bCs/>
                <w:snapToGrid w:val="0"/>
                <w:sz w:val="24"/>
                <w:szCs w:val="24"/>
              </w:rPr>
              <w:t>Scenario 3</w:t>
            </w:r>
          </w:p>
        </w:tc>
        <w:tc>
          <w:tcPr>
            <w:tcW w:w="1104" w:type="dxa"/>
          </w:tcPr>
          <w:p w14:paraId="42C16F46" w14:textId="4E3733A2" w:rsidR="00D2045E" w:rsidRPr="000B7811" w:rsidRDefault="00D2045E" w:rsidP="00D2045E">
            <w:pPr>
              <w:spacing w:before="0" w:after="0"/>
              <w:jc w:val="center"/>
              <w:rPr>
                <w:rFonts w:ascii="Calibri" w:eastAsia="Times New Roman" w:hAnsi="Calibri" w:cs="Calibri"/>
                <w:b/>
                <w:bCs/>
                <w:snapToGrid w:val="0"/>
                <w:sz w:val="24"/>
                <w:szCs w:val="24"/>
              </w:rPr>
            </w:pPr>
            <w:r w:rsidRPr="00D2045E">
              <w:rPr>
                <w:rFonts w:ascii="Calibri" w:eastAsia="Times New Roman" w:hAnsi="Calibri" w:cs="Calibri"/>
                <w:b/>
                <w:bCs/>
                <w:snapToGrid w:val="0"/>
                <w:sz w:val="24"/>
                <w:szCs w:val="24"/>
              </w:rPr>
              <w:t>Scenario SDG</w:t>
            </w:r>
          </w:p>
        </w:tc>
      </w:tr>
      <w:tr w:rsidR="00D2045E" w:rsidRPr="00C932D0" w14:paraId="5903A0AE" w14:textId="77777777" w:rsidTr="0085017B">
        <w:tc>
          <w:tcPr>
            <w:tcW w:w="3214" w:type="dxa"/>
            <w:shd w:val="clear" w:color="auto" w:fill="D0CECE"/>
          </w:tcPr>
          <w:p w14:paraId="753D547E" w14:textId="77777777" w:rsidR="00D2045E" w:rsidRPr="000B7811" w:rsidRDefault="00D2045E" w:rsidP="00D2045E">
            <w:pPr>
              <w:spacing w:before="0" w:after="0"/>
              <w:rPr>
                <w:rFonts w:ascii="Calibri" w:eastAsia="Times New Roman" w:hAnsi="Calibri" w:cs="Calibri"/>
                <w:b/>
                <w:snapToGrid w:val="0"/>
                <w:sz w:val="24"/>
                <w:szCs w:val="24"/>
              </w:rPr>
            </w:pPr>
            <w:r w:rsidRPr="000B7811">
              <w:rPr>
                <w:rFonts w:ascii="Calibri" w:eastAsia="Times New Roman" w:hAnsi="Calibri" w:cs="Calibri"/>
                <w:b/>
                <w:snapToGrid w:val="0"/>
                <w:sz w:val="24"/>
                <w:szCs w:val="24"/>
              </w:rPr>
              <w:t xml:space="preserve">Output indicators </w:t>
            </w:r>
          </w:p>
        </w:tc>
        <w:tc>
          <w:tcPr>
            <w:tcW w:w="1054" w:type="dxa"/>
            <w:shd w:val="clear" w:color="auto" w:fill="D0CECE"/>
          </w:tcPr>
          <w:p w14:paraId="4CDF533E" w14:textId="77777777" w:rsidR="00D2045E" w:rsidRPr="000B7811"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2019</w:t>
            </w:r>
          </w:p>
        </w:tc>
        <w:tc>
          <w:tcPr>
            <w:tcW w:w="3654" w:type="dxa"/>
            <w:gridSpan w:val="3"/>
            <w:shd w:val="clear" w:color="auto" w:fill="D0CECE"/>
          </w:tcPr>
          <w:p w14:paraId="2E8959E6" w14:textId="7CC09DC2" w:rsidR="00D2045E" w:rsidRPr="000B7811"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By 2025</w:t>
            </w:r>
          </w:p>
        </w:tc>
        <w:tc>
          <w:tcPr>
            <w:tcW w:w="1104" w:type="dxa"/>
            <w:shd w:val="clear" w:color="auto" w:fill="D0CECE"/>
          </w:tcPr>
          <w:p w14:paraId="664AA75E" w14:textId="77777777" w:rsidR="00D2045E" w:rsidRDefault="00D2045E" w:rsidP="00D2045E">
            <w:pPr>
              <w:spacing w:before="0" w:after="0"/>
              <w:jc w:val="center"/>
              <w:rPr>
                <w:rFonts w:ascii="Calibri" w:eastAsia="Times New Roman" w:hAnsi="Calibri" w:cs="Calibri"/>
                <w:bCs/>
                <w:snapToGrid w:val="0"/>
                <w:sz w:val="24"/>
                <w:szCs w:val="24"/>
              </w:rPr>
            </w:pPr>
          </w:p>
        </w:tc>
      </w:tr>
      <w:tr w:rsidR="00D2045E" w:rsidRPr="00C932D0" w14:paraId="16D824D6" w14:textId="77777777" w:rsidTr="0085017B">
        <w:tc>
          <w:tcPr>
            <w:tcW w:w="3214" w:type="dxa"/>
            <w:shd w:val="clear" w:color="auto" w:fill="auto"/>
          </w:tcPr>
          <w:p w14:paraId="7B3823C0" w14:textId="77777777" w:rsidR="00D2045E" w:rsidRPr="000B7811" w:rsidRDefault="00D2045E" w:rsidP="00D2045E">
            <w:pPr>
              <w:spacing w:before="0" w:after="0"/>
              <w:rPr>
                <w:rFonts w:ascii="Calibri" w:eastAsia="Times New Roman" w:hAnsi="Calibri" w:cs="Calibri"/>
                <w:b/>
                <w:snapToGrid w:val="0"/>
                <w:sz w:val="24"/>
                <w:szCs w:val="24"/>
              </w:rPr>
            </w:pPr>
            <w:r w:rsidRPr="000B7811">
              <w:rPr>
                <w:rFonts w:ascii="Calibri" w:eastAsia="Times New Roman" w:hAnsi="Calibri" w:cs="Calibri"/>
                <w:b/>
                <w:snapToGrid w:val="0"/>
                <w:sz w:val="24"/>
                <w:szCs w:val="24"/>
              </w:rPr>
              <w:t xml:space="preserve">LTBI treatment </w:t>
            </w:r>
            <w:r w:rsidRPr="000B7811">
              <w:rPr>
                <w:rFonts w:ascii="Calibri" w:eastAsia="Times New Roman" w:hAnsi="Calibri" w:cs="Calibri"/>
                <w:bCs/>
                <w:i/>
                <w:iCs/>
                <w:snapToGrid w:val="0"/>
                <w:sz w:val="24"/>
                <w:szCs w:val="24"/>
              </w:rPr>
              <w:t xml:space="preserve">(% of </w:t>
            </w:r>
            <w:r>
              <w:rPr>
                <w:rFonts w:ascii="Calibri" w:eastAsia="Times New Roman" w:hAnsi="Calibri" w:cs="Calibri"/>
                <w:bCs/>
                <w:i/>
                <w:iCs/>
                <w:snapToGrid w:val="0"/>
                <w:sz w:val="24"/>
                <w:szCs w:val="24"/>
              </w:rPr>
              <w:t>contacts, PLHIV, immunocompromised</w:t>
            </w:r>
            <w:r w:rsidRPr="000B7811">
              <w:rPr>
                <w:rFonts w:ascii="Calibri" w:eastAsia="Times New Roman" w:hAnsi="Calibri" w:cs="Calibri"/>
                <w:bCs/>
                <w:i/>
                <w:iCs/>
                <w:snapToGrid w:val="0"/>
                <w:sz w:val="24"/>
                <w:szCs w:val="24"/>
              </w:rPr>
              <w:t>)</w:t>
            </w:r>
          </w:p>
        </w:tc>
        <w:tc>
          <w:tcPr>
            <w:tcW w:w="1054" w:type="dxa"/>
            <w:shd w:val="clear" w:color="auto" w:fill="auto"/>
          </w:tcPr>
          <w:p w14:paraId="33C07636"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F6486C">
              <w:rPr>
                <w:rFonts w:ascii="Calibri" w:eastAsia="Times New Roman" w:hAnsi="Calibri" w:cs="Calibri"/>
                <w:bCs/>
                <w:snapToGrid w:val="0"/>
                <w:sz w:val="24"/>
                <w:szCs w:val="24"/>
              </w:rPr>
              <w:t>13%</w:t>
            </w:r>
          </w:p>
        </w:tc>
        <w:tc>
          <w:tcPr>
            <w:tcW w:w="1218" w:type="dxa"/>
            <w:shd w:val="clear" w:color="auto" w:fill="auto"/>
          </w:tcPr>
          <w:p w14:paraId="7983BA06"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1</w:t>
            </w:r>
            <w:r>
              <w:rPr>
                <w:rFonts w:ascii="Calibri" w:eastAsia="Times New Roman" w:hAnsi="Calibri" w:cs="Calibri"/>
                <w:bCs/>
                <w:snapToGrid w:val="0"/>
                <w:sz w:val="24"/>
                <w:szCs w:val="24"/>
              </w:rPr>
              <w:t>5</w:t>
            </w:r>
            <w:r w:rsidRPr="000B7811">
              <w:rPr>
                <w:rFonts w:ascii="Calibri" w:eastAsia="Times New Roman" w:hAnsi="Calibri" w:cs="Calibri"/>
                <w:bCs/>
                <w:snapToGrid w:val="0"/>
                <w:sz w:val="24"/>
                <w:szCs w:val="24"/>
              </w:rPr>
              <w:t>%</w:t>
            </w:r>
          </w:p>
        </w:tc>
        <w:tc>
          <w:tcPr>
            <w:tcW w:w="1218" w:type="dxa"/>
            <w:shd w:val="clear" w:color="auto" w:fill="auto"/>
          </w:tcPr>
          <w:p w14:paraId="4D84722A"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48%</w:t>
            </w:r>
          </w:p>
        </w:tc>
        <w:tc>
          <w:tcPr>
            <w:tcW w:w="1218" w:type="dxa"/>
            <w:shd w:val="clear" w:color="auto" w:fill="auto"/>
          </w:tcPr>
          <w:p w14:paraId="6D1C8401"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70%</w:t>
            </w:r>
          </w:p>
        </w:tc>
        <w:tc>
          <w:tcPr>
            <w:tcW w:w="1104" w:type="dxa"/>
          </w:tcPr>
          <w:p w14:paraId="7A0116E4" w14:textId="300072E2" w:rsidR="00D2045E" w:rsidRPr="000B7811" w:rsidRDefault="00D2045E" w:rsidP="00D2045E">
            <w:pPr>
              <w:spacing w:before="0" w:after="0"/>
              <w:jc w:val="center"/>
              <w:rPr>
                <w:rFonts w:ascii="Calibri" w:eastAsia="Times New Roman" w:hAnsi="Calibri" w:cs="Calibri"/>
                <w:bCs/>
                <w:snapToGrid w:val="0"/>
                <w:sz w:val="24"/>
                <w:szCs w:val="24"/>
              </w:rPr>
            </w:pPr>
            <w:r w:rsidRPr="00D2045E">
              <w:rPr>
                <w:rFonts w:ascii="Calibri" w:eastAsia="Times New Roman" w:hAnsi="Calibri" w:cs="Calibri"/>
                <w:bCs/>
                <w:snapToGrid w:val="0"/>
                <w:sz w:val="24"/>
                <w:szCs w:val="24"/>
              </w:rPr>
              <w:t>90%</w:t>
            </w:r>
          </w:p>
        </w:tc>
      </w:tr>
      <w:tr w:rsidR="00D2045E" w:rsidRPr="00C932D0" w14:paraId="76761C70" w14:textId="77777777" w:rsidTr="0085017B">
        <w:tc>
          <w:tcPr>
            <w:tcW w:w="3214" w:type="dxa"/>
            <w:shd w:val="clear" w:color="auto" w:fill="auto"/>
          </w:tcPr>
          <w:p w14:paraId="7D09F0E4" w14:textId="77777777" w:rsidR="00D2045E" w:rsidRPr="000B7811" w:rsidRDefault="00D2045E" w:rsidP="00D2045E">
            <w:pPr>
              <w:spacing w:before="0" w:after="0"/>
              <w:rPr>
                <w:rFonts w:ascii="Calibri" w:eastAsia="Times New Roman" w:hAnsi="Calibri" w:cs="Calibri"/>
                <w:b/>
                <w:snapToGrid w:val="0"/>
                <w:sz w:val="24"/>
                <w:szCs w:val="24"/>
              </w:rPr>
            </w:pPr>
            <w:r w:rsidRPr="000B7811">
              <w:rPr>
                <w:rFonts w:ascii="Calibri" w:eastAsia="Times New Roman" w:hAnsi="Calibri" w:cs="Calibri"/>
                <w:b/>
                <w:snapToGrid w:val="0"/>
                <w:sz w:val="24"/>
                <w:szCs w:val="24"/>
              </w:rPr>
              <w:t xml:space="preserve">Active Case Finding </w:t>
            </w:r>
            <w:r w:rsidRPr="000B7811">
              <w:rPr>
                <w:rFonts w:ascii="Calibri" w:eastAsia="Times New Roman" w:hAnsi="Calibri" w:cs="Calibri"/>
                <w:bCs/>
                <w:i/>
                <w:iCs/>
                <w:snapToGrid w:val="0"/>
                <w:sz w:val="24"/>
                <w:szCs w:val="24"/>
              </w:rPr>
              <w:t>(% of population)</w:t>
            </w:r>
          </w:p>
        </w:tc>
        <w:tc>
          <w:tcPr>
            <w:tcW w:w="1054" w:type="dxa"/>
            <w:shd w:val="clear" w:color="auto" w:fill="auto"/>
          </w:tcPr>
          <w:p w14:paraId="016B6227" w14:textId="77777777" w:rsidR="00D2045E" w:rsidRPr="000B7811"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20</w:t>
            </w:r>
            <w:r w:rsidRPr="000B7811">
              <w:rPr>
                <w:rFonts w:ascii="Calibri" w:eastAsia="Times New Roman" w:hAnsi="Calibri" w:cs="Calibri"/>
                <w:bCs/>
                <w:snapToGrid w:val="0"/>
                <w:sz w:val="24"/>
                <w:szCs w:val="24"/>
              </w:rPr>
              <w:t>%</w:t>
            </w:r>
          </w:p>
        </w:tc>
        <w:tc>
          <w:tcPr>
            <w:tcW w:w="1218" w:type="dxa"/>
            <w:shd w:val="clear" w:color="auto" w:fill="auto"/>
          </w:tcPr>
          <w:p w14:paraId="0FA12772" w14:textId="77777777" w:rsidR="00D2045E" w:rsidRPr="000B7811"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2</w:t>
            </w:r>
            <w:r w:rsidRPr="000B7811">
              <w:rPr>
                <w:rFonts w:ascii="Calibri" w:eastAsia="Times New Roman" w:hAnsi="Calibri" w:cs="Calibri"/>
                <w:bCs/>
                <w:snapToGrid w:val="0"/>
                <w:sz w:val="24"/>
                <w:szCs w:val="24"/>
              </w:rPr>
              <w:t>5%</w:t>
            </w:r>
          </w:p>
        </w:tc>
        <w:tc>
          <w:tcPr>
            <w:tcW w:w="1218" w:type="dxa"/>
            <w:shd w:val="clear" w:color="auto" w:fill="auto"/>
          </w:tcPr>
          <w:p w14:paraId="3472F983"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30%</w:t>
            </w:r>
          </w:p>
        </w:tc>
        <w:tc>
          <w:tcPr>
            <w:tcW w:w="1218" w:type="dxa"/>
            <w:shd w:val="clear" w:color="auto" w:fill="auto"/>
          </w:tcPr>
          <w:p w14:paraId="39DAE54D"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70%</w:t>
            </w:r>
          </w:p>
        </w:tc>
        <w:tc>
          <w:tcPr>
            <w:tcW w:w="1104" w:type="dxa"/>
          </w:tcPr>
          <w:p w14:paraId="1D9BA0D7" w14:textId="783F411D" w:rsidR="00D2045E" w:rsidRPr="000B7811" w:rsidRDefault="00D2045E" w:rsidP="00D2045E">
            <w:pPr>
              <w:spacing w:before="0" w:after="0"/>
              <w:jc w:val="center"/>
              <w:rPr>
                <w:rFonts w:ascii="Calibri" w:eastAsia="Times New Roman" w:hAnsi="Calibri" w:cs="Calibri"/>
                <w:bCs/>
                <w:snapToGrid w:val="0"/>
                <w:sz w:val="24"/>
                <w:szCs w:val="24"/>
              </w:rPr>
            </w:pPr>
            <w:r w:rsidRPr="00D2045E">
              <w:rPr>
                <w:rFonts w:ascii="Calibri" w:eastAsia="Times New Roman" w:hAnsi="Calibri" w:cs="Calibri"/>
                <w:bCs/>
                <w:snapToGrid w:val="0"/>
                <w:sz w:val="24"/>
                <w:szCs w:val="24"/>
              </w:rPr>
              <w:t>90%</w:t>
            </w:r>
          </w:p>
        </w:tc>
      </w:tr>
      <w:tr w:rsidR="00D2045E" w:rsidRPr="00C932D0" w14:paraId="6E77FAA3" w14:textId="77777777" w:rsidTr="0085017B">
        <w:tc>
          <w:tcPr>
            <w:tcW w:w="3214" w:type="dxa"/>
            <w:shd w:val="clear" w:color="auto" w:fill="auto"/>
          </w:tcPr>
          <w:p w14:paraId="2C2DE7B4" w14:textId="77777777" w:rsidR="00D2045E" w:rsidRPr="000B7811" w:rsidRDefault="00D2045E" w:rsidP="00D2045E">
            <w:pPr>
              <w:spacing w:before="0" w:after="0"/>
              <w:rPr>
                <w:rFonts w:ascii="Calibri" w:eastAsia="Times New Roman" w:hAnsi="Calibri" w:cs="Calibri"/>
                <w:b/>
                <w:snapToGrid w:val="0"/>
                <w:sz w:val="24"/>
                <w:szCs w:val="24"/>
              </w:rPr>
            </w:pPr>
            <w:r w:rsidRPr="000B7811">
              <w:rPr>
                <w:rFonts w:ascii="Calibri" w:eastAsia="Times New Roman" w:hAnsi="Calibri" w:cs="Calibri"/>
                <w:b/>
                <w:snapToGrid w:val="0"/>
                <w:sz w:val="24"/>
                <w:szCs w:val="24"/>
              </w:rPr>
              <w:t xml:space="preserve">Presumptive TB examination </w:t>
            </w:r>
            <w:r w:rsidRPr="000B7811">
              <w:rPr>
                <w:rFonts w:ascii="Calibri" w:eastAsia="Times New Roman" w:hAnsi="Calibri" w:cs="Calibri"/>
                <w:bCs/>
                <w:i/>
                <w:iCs/>
                <w:snapToGrid w:val="0"/>
                <w:sz w:val="24"/>
                <w:szCs w:val="24"/>
              </w:rPr>
              <w:t>(in lakh)</w:t>
            </w:r>
          </w:p>
        </w:tc>
        <w:tc>
          <w:tcPr>
            <w:tcW w:w="1054" w:type="dxa"/>
            <w:shd w:val="clear" w:color="auto" w:fill="auto"/>
          </w:tcPr>
          <w:p w14:paraId="781EB755"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119</w:t>
            </w:r>
          </w:p>
        </w:tc>
        <w:tc>
          <w:tcPr>
            <w:tcW w:w="1218" w:type="dxa"/>
            <w:shd w:val="clear" w:color="auto" w:fill="auto"/>
          </w:tcPr>
          <w:p w14:paraId="4D6C3B01"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140</w:t>
            </w:r>
          </w:p>
        </w:tc>
        <w:tc>
          <w:tcPr>
            <w:tcW w:w="1218" w:type="dxa"/>
            <w:shd w:val="clear" w:color="auto" w:fill="auto"/>
          </w:tcPr>
          <w:p w14:paraId="4C206A68"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293</w:t>
            </w:r>
          </w:p>
        </w:tc>
        <w:tc>
          <w:tcPr>
            <w:tcW w:w="1218" w:type="dxa"/>
            <w:shd w:val="clear" w:color="auto" w:fill="auto"/>
          </w:tcPr>
          <w:p w14:paraId="129EF7D8"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468</w:t>
            </w:r>
          </w:p>
        </w:tc>
        <w:tc>
          <w:tcPr>
            <w:tcW w:w="1104" w:type="dxa"/>
          </w:tcPr>
          <w:p w14:paraId="7796C7B2" w14:textId="1EBD0A61" w:rsidR="00D2045E" w:rsidRPr="000B7811" w:rsidRDefault="00D2045E" w:rsidP="00D2045E">
            <w:pPr>
              <w:spacing w:before="0" w:after="0"/>
              <w:jc w:val="center"/>
              <w:rPr>
                <w:rFonts w:ascii="Calibri" w:eastAsia="Times New Roman" w:hAnsi="Calibri" w:cs="Calibri"/>
                <w:bCs/>
                <w:snapToGrid w:val="0"/>
                <w:sz w:val="24"/>
                <w:szCs w:val="24"/>
              </w:rPr>
            </w:pPr>
            <w:r w:rsidRPr="00D2045E">
              <w:rPr>
                <w:rFonts w:ascii="Calibri" w:eastAsia="Times New Roman" w:hAnsi="Calibri" w:cs="Calibri"/>
                <w:bCs/>
                <w:snapToGrid w:val="0"/>
                <w:sz w:val="24"/>
                <w:szCs w:val="24"/>
              </w:rPr>
              <w:t>600</w:t>
            </w:r>
          </w:p>
        </w:tc>
      </w:tr>
      <w:tr w:rsidR="00D2045E" w:rsidRPr="00C932D0" w14:paraId="0DEF45AE" w14:textId="77777777" w:rsidTr="0085017B">
        <w:tc>
          <w:tcPr>
            <w:tcW w:w="3214" w:type="dxa"/>
            <w:shd w:val="clear" w:color="auto" w:fill="auto"/>
          </w:tcPr>
          <w:p w14:paraId="0BD72C8A" w14:textId="77777777" w:rsidR="00D2045E" w:rsidRPr="000B7811" w:rsidRDefault="00D2045E" w:rsidP="00D2045E">
            <w:pPr>
              <w:spacing w:before="0" w:after="0"/>
              <w:rPr>
                <w:rFonts w:ascii="Calibri" w:eastAsia="Times New Roman" w:hAnsi="Calibri" w:cs="Calibri"/>
                <w:b/>
                <w:snapToGrid w:val="0"/>
                <w:sz w:val="24"/>
                <w:szCs w:val="24"/>
              </w:rPr>
            </w:pPr>
            <w:r w:rsidRPr="000B7811">
              <w:rPr>
                <w:rFonts w:ascii="Calibri" w:eastAsia="Times New Roman" w:hAnsi="Calibri" w:cs="Calibri"/>
                <w:b/>
                <w:snapToGrid w:val="0"/>
                <w:sz w:val="24"/>
                <w:szCs w:val="24"/>
              </w:rPr>
              <w:t xml:space="preserve">Use of molecular test for diagnosis </w:t>
            </w:r>
            <w:r w:rsidRPr="000B7811">
              <w:rPr>
                <w:rFonts w:ascii="Calibri" w:eastAsia="Times New Roman" w:hAnsi="Calibri" w:cs="Calibri"/>
                <w:bCs/>
                <w:i/>
                <w:iCs/>
                <w:snapToGrid w:val="0"/>
                <w:sz w:val="24"/>
                <w:szCs w:val="24"/>
              </w:rPr>
              <w:t>(% of presumptive TB)</w:t>
            </w:r>
          </w:p>
        </w:tc>
        <w:tc>
          <w:tcPr>
            <w:tcW w:w="1054" w:type="dxa"/>
            <w:shd w:val="clear" w:color="auto" w:fill="auto"/>
          </w:tcPr>
          <w:p w14:paraId="58D45E35"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18%</w:t>
            </w:r>
          </w:p>
        </w:tc>
        <w:tc>
          <w:tcPr>
            <w:tcW w:w="1218" w:type="dxa"/>
            <w:shd w:val="clear" w:color="auto" w:fill="auto"/>
          </w:tcPr>
          <w:p w14:paraId="662EFA4F" w14:textId="77777777" w:rsidR="00D2045E" w:rsidRPr="000B7811"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20</w:t>
            </w:r>
            <w:r w:rsidRPr="000B7811">
              <w:rPr>
                <w:rFonts w:ascii="Calibri" w:eastAsia="Times New Roman" w:hAnsi="Calibri" w:cs="Calibri"/>
                <w:bCs/>
                <w:snapToGrid w:val="0"/>
                <w:sz w:val="24"/>
                <w:szCs w:val="24"/>
              </w:rPr>
              <w:t>%</w:t>
            </w:r>
          </w:p>
        </w:tc>
        <w:tc>
          <w:tcPr>
            <w:tcW w:w="1218" w:type="dxa"/>
            <w:shd w:val="clear" w:color="auto" w:fill="auto"/>
          </w:tcPr>
          <w:p w14:paraId="3345877C"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25%</w:t>
            </w:r>
          </w:p>
        </w:tc>
        <w:tc>
          <w:tcPr>
            <w:tcW w:w="1218" w:type="dxa"/>
            <w:shd w:val="clear" w:color="auto" w:fill="auto"/>
          </w:tcPr>
          <w:p w14:paraId="0D6B7146"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70%</w:t>
            </w:r>
          </w:p>
        </w:tc>
        <w:tc>
          <w:tcPr>
            <w:tcW w:w="1104" w:type="dxa"/>
          </w:tcPr>
          <w:p w14:paraId="6DE53A02" w14:textId="28C97863" w:rsidR="00D2045E" w:rsidRPr="000B7811" w:rsidRDefault="00D2045E" w:rsidP="00D2045E">
            <w:pPr>
              <w:spacing w:before="0" w:after="0"/>
              <w:jc w:val="center"/>
              <w:rPr>
                <w:rFonts w:ascii="Calibri" w:eastAsia="Times New Roman" w:hAnsi="Calibri" w:cs="Calibri"/>
                <w:bCs/>
                <w:snapToGrid w:val="0"/>
                <w:sz w:val="24"/>
                <w:szCs w:val="24"/>
              </w:rPr>
            </w:pPr>
            <w:r w:rsidRPr="00D2045E">
              <w:rPr>
                <w:rFonts w:ascii="Calibri" w:eastAsia="Times New Roman" w:hAnsi="Calibri" w:cs="Calibri"/>
                <w:bCs/>
                <w:snapToGrid w:val="0"/>
                <w:sz w:val="24"/>
                <w:szCs w:val="24"/>
              </w:rPr>
              <w:t>90%</w:t>
            </w:r>
          </w:p>
        </w:tc>
      </w:tr>
      <w:tr w:rsidR="00D2045E" w:rsidRPr="00C932D0" w14:paraId="18654628" w14:textId="77777777" w:rsidTr="0085017B">
        <w:tc>
          <w:tcPr>
            <w:tcW w:w="3214" w:type="dxa"/>
            <w:shd w:val="clear" w:color="auto" w:fill="auto"/>
          </w:tcPr>
          <w:p w14:paraId="2F50EDDE" w14:textId="77777777" w:rsidR="00D2045E" w:rsidRPr="000B7811" w:rsidRDefault="00D2045E" w:rsidP="00D2045E">
            <w:pPr>
              <w:spacing w:before="0" w:after="0"/>
              <w:rPr>
                <w:rFonts w:ascii="Calibri" w:eastAsia="Times New Roman" w:hAnsi="Calibri" w:cs="Calibri"/>
                <w:b/>
                <w:snapToGrid w:val="0"/>
                <w:sz w:val="24"/>
                <w:szCs w:val="24"/>
              </w:rPr>
            </w:pPr>
            <w:r w:rsidRPr="000B7811">
              <w:rPr>
                <w:rFonts w:ascii="Calibri" w:eastAsia="Times New Roman" w:hAnsi="Calibri" w:cs="Calibri"/>
                <w:b/>
                <w:snapToGrid w:val="0"/>
                <w:sz w:val="24"/>
                <w:szCs w:val="24"/>
              </w:rPr>
              <w:t xml:space="preserve">PPSA </w:t>
            </w:r>
            <w:r w:rsidRPr="000B7811">
              <w:rPr>
                <w:rFonts w:ascii="Calibri" w:eastAsia="Times New Roman" w:hAnsi="Calibri" w:cs="Calibri"/>
                <w:bCs/>
                <w:i/>
                <w:iCs/>
                <w:snapToGrid w:val="0"/>
                <w:sz w:val="24"/>
                <w:szCs w:val="24"/>
              </w:rPr>
              <w:t>(number of districts)</w:t>
            </w:r>
          </w:p>
        </w:tc>
        <w:tc>
          <w:tcPr>
            <w:tcW w:w="1054" w:type="dxa"/>
            <w:shd w:val="clear" w:color="auto" w:fill="auto"/>
          </w:tcPr>
          <w:p w14:paraId="4EC22654"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130</w:t>
            </w:r>
          </w:p>
        </w:tc>
        <w:tc>
          <w:tcPr>
            <w:tcW w:w="1218" w:type="dxa"/>
            <w:shd w:val="clear" w:color="auto" w:fill="auto"/>
          </w:tcPr>
          <w:p w14:paraId="094545B4"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1</w:t>
            </w:r>
            <w:r>
              <w:rPr>
                <w:rFonts w:ascii="Calibri" w:eastAsia="Times New Roman" w:hAnsi="Calibri" w:cs="Calibri"/>
                <w:bCs/>
                <w:snapToGrid w:val="0"/>
                <w:sz w:val="24"/>
                <w:szCs w:val="24"/>
              </w:rPr>
              <w:t>5</w:t>
            </w:r>
            <w:r w:rsidRPr="000B7811">
              <w:rPr>
                <w:rFonts w:ascii="Calibri" w:eastAsia="Times New Roman" w:hAnsi="Calibri" w:cs="Calibri"/>
                <w:bCs/>
                <w:snapToGrid w:val="0"/>
                <w:sz w:val="24"/>
                <w:szCs w:val="24"/>
              </w:rPr>
              <w:t>0</w:t>
            </w:r>
          </w:p>
        </w:tc>
        <w:tc>
          <w:tcPr>
            <w:tcW w:w="1218" w:type="dxa"/>
            <w:shd w:val="clear" w:color="auto" w:fill="auto"/>
          </w:tcPr>
          <w:p w14:paraId="418FAE0F"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350</w:t>
            </w:r>
          </w:p>
        </w:tc>
        <w:tc>
          <w:tcPr>
            <w:tcW w:w="1218" w:type="dxa"/>
            <w:shd w:val="clear" w:color="auto" w:fill="auto"/>
          </w:tcPr>
          <w:p w14:paraId="40153A9C"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400</w:t>
            </w:r>
          </w:p>
        </w:tc>
        <w:tc>
          <w:tcPr>
            <w:tcW w:w="1104" w:type="dxa"/>
          </w:tcPr>
          <w:p w14:paraId="09763F41" w14:textId="57750FA0" w:rsidR="00D2045E" w:rsidRPr="000B7811" w:rsidRDefault="00D2045E" w:rsidP="00D2045E">
            <w:pPr>
              <w:spacing w:before="0" w:after="0"/>
              <w:jc w:val="center"/>
              <w:rPr>
                <w:rFonts w:ascii="Calibri" w:eastAsia="Times New Roman" w:hAnsi="Calibri" w:cs="Calibri"/>
                <w:bCs/>
                <w:snapToGrid w:val="0"/>
                <w:sz w:val="24"/>
                <w:szCs w:val="24"/>
              </w:rPr>
            </w:pPr>
            <w:r w:rsidRPr="00D2045E">
              <w:rPr>
                <w:rFonts w:ascii="Calibri" w:eastAsia="Times New Roman" w:hAnsi="Calibri" w:cs="Calibri"/>
                <w:bCs/>
                <w:snapToGrid w:val="0"/>
                <w:sz w:val="24"/>
                <w:szCs w:val="24"/>
              </w:rPr>
              <w:t>600</w:t>
            </w:r>
          </w:p>
        </w:tc>
      </w:tr>
      <w:tr w:rsidR="00D2045E" w:rsidRPr="00C932D0" w14:paraId="37D2196B" w14:textId="77777777" w:rsidTr="0085017B">
        <w:tc>
          <w:tcPr>
            <w:tcW w:w="3214" w:type="dxa"/>
            <w:shd w:val="clear" w:color="auto" w:fill="auto"/>
          </w:tcPr>
          <w:p w14:paraId="00412016" w14:textId="77777777" w:rsidR="00D2045E" w:rsidRDefault="00D2045E" w:rsidP="00D2045E">
            <w:pPr>
              <w:spacing w:before="0" w:after="0"/>
              <w:rPr>
                <w:rFonts w:ascii="Calibri" w:eastAsia="Times New Roman" w:hAnsi="Calibri" w:cs="Calibri"/>
                <w:b/>
                <w:snapToGrid w:val="0"/>
                <w:sz w:val="24"/>
                <w:szCs w:val="24"/>
              </w:rPr>
            </w:pPr>
            <w:r>
              <w:rPr>
                <w:rFonts w:ascii="Calibri" w:eastAsia="Times New Roman" w:hAnsi="Calibri" w:cs="Calibri"/>
                <w:b/>
                <w:snapToGrid w:val="0"/>
                <w:sz w:val="24"/>
                <w:szCs w:val="24"/>
              </w:rPr>
              <w:t>Newer vaccine</w:t>
            </w:r>
          </w:p>
        </w:tc>
        <w:tc>
          <w:tcPr>
            <w:tcW w:w="1054" w:type="dxa"/>
            <w:shd w:val="clear" w:color="auto" w:fill="auto"/>
          </w:tcPr>
          <w:p w14:paraId="5D789E45" w14:textId="77777777" w:rsidR="00D2045E"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NA</w:t>
            </w:r>
          </w:p>
        </w:tc>
        <w:tc>
          <w:tcPr>
            <w:tcW w:w="1218" w:type="dxa"/>
            <w:shd w:val="clear" w:color="auto" w:fill="auto"/>
          </w:tcPr>
          <w:p w14:paraId="775C9255" w14:textId="77777777" w:rsidR="00D2045E"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NA</w:t>
            </w:r>
          </w:p>
        </w:tc>
        <w:tc>
          <w:tcPr>
            <w:tcW w:w="1218" w:type="dxa"/>
            <w:shd w:val="clear" w:color="auto" w:fill="auto"/>
          </w:tcPr>
          <w:p w14:paraId="3566CA3B" w14:textId="77777777" w:rsidR="00D2045E"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NA</w:t>
            </w:r>
          </w:p>
        </w:tc>
        <w:tc>
          <w:tcPr>
            <w:tcW w:w="1218" w:type="dxa"/>
            <w:shd w:val="clear" w:color="auto" w:fill="auto"/>
          </w:tcPr>
          <w:p w14:paraId="4368FCF2" w14:textId="77777777" w:rsidR="00D2045E"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NA</w:t>
            </w:r>
          </w:p>
        </w:tc>
        <w:tc>
          <w:tcPr>
            <w:tcW w:w="1104" w:type="dxa"/>
          </w:tcPr>
          <w:p w14:paraId="2DBC9CA4" w14:textId="387B50E9" w:rsidR="00D2045E" w:rsidRDefault="00D2045E" w:rsidP="00D2045E">
            <w:pPr>
              <w:spacing w:before="0" w:after="0"/>
              <w:jc w:val="center"/>
              <w:rPr>
                <w:rFonts w:ascii="Calibri" w:eastAsia="Times New Roman" w:hAnsi="Calibri" w:cs="Calibri"/>
                <w:bCs/>
                <w:snapToGrid w:val="0"/>
                <w:sz w:val="24"/>
                <w:szCs w:val="24"/>
              </w:rPr>
            </w:pPr>
            <w:r w:rsidRPr="00D2045E">
              <w:rPr>
                <w:rFonts w:ascii="Calibri" w:eastAsia="Times New Roman" w:hAnsi="Calibri" w:cs="Calibri"/>
                <w:bCs/>
                <w:snapToGrid w:val="0"/>
                <w:sz w:val="24"/>
                <w:szCs w:val="24"/>
              </w:rPr>
              <w:t>Available</w:t>
            </w:r>
          </w:p>
        </w:tc>
      </w:tr>
      <w:tr w:rsidR="00D2045E" w:rsidRPr="00C932D0" w14:paraId="1C844830" w14:textId="77777777" w:rsidTr="0085017B">
        <w:tc>
          <w:tcPr>
            <w:tcW w:w="3214" w:type="dxa"/>
            <w:shd w:val="clear" w:color="auto" w:fill="auto"/>
          </w:tcPr>
          <w:p w14:paraId="1225EF8C" w14:textId="77777777" w:rsidR="00D2045E" w:rsidRPr="000B7811" w:rsidRDefault="00D2045E" w:rsidP="00D2045E">
            <w:pPr>
              <w:spacing w:before="0" w:after="0"/>
              <w:rPr>
                <w:rFonts w:ascii="Calibri" w:eastAsia="Times New Roman" w:hAnsi="Calibri" w:cs="Calibri"/>
                <w:b/>
                <w:snapToGrid w:val="0"/>
                <w:sz w:val="24"/>
                <w:szCs w:val="24"/>
              </w:rPr>
            </w:pPr>
            <w:r>
              <w:rPr>
                <w:rFonts w:ascii="Calibri" w:eastAsia="Times New Roman" w:hAnsi="Calibri" w:cs="Calibri"/>
                <w:b/>
                <w:snapToGrid w:val="0"/>
                <w:sz w:val="24"/>
                <w:szCs w:val="24"/>
              </w:rPr>
              <w:t>Non-health interventions at scale</w:t>
            </w:r>
          </w:p>
        </w:tc>
        <w:tc>
          <w:tcPr>
            <w:tcW w:w="1054" w:type="dxa"/>
            <w:shd w:val="clear" w:color="auto" w:fill="auto"/>
          </w:tcPr>
          <w:p w14:paraId="546380E2" w14:textId="77777777" w:rsidR="00D2045E" w:rsidRPr="000B7811"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w:t>
            </w:r>
          </w:p>
        </w:tc>
        <w:tc>
          <w:tcPr>
            <w:tcW w:w="1218" w:type="dxa"/>
            <w:shd w:val="clear" w:color="auto" w:fill="auto"/>
          </w:tcPr>
          <w:p w14:paraId="085452B2" w14:textId="77777777" w:rsidR="00D2045E" w:rsidRPr="000B7811"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w:t>
            </w:r>
          </w:p>
        </w:tc>
        <w:tc>
          <w:tcPr>
            <w:tcW w:w="1218" w:type="dxa"/>
            <w:shd w:val="clear" w:color="auto" w:fill="auto"/>
          </w:tcPr>
          <w:p w14:paraId="25F51C0E" w14:textId="77777777" w:rsidR="00D2045E" w:rsidRPr="000B7811"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w:t>
            </w:r>
          </w:p>
        </w:tc>
        <w:tc>
          <w:tcPr>
            <w:tcW w:w="1218" w:type="dxa"/>
            <w:shd w:val="clear" w:color="auto" w:fill="auto"/>
          </w:tcPr>
          <w:p w14:paraId="47421110" w14:textId="77777777" w:rsidR="00D2045E" w:rsidRPr="000B7811" w:rsidRDefault="00D2045E" w:rsidP="00D2045E">
            <w:pPr>
              <w:spacing w:before="0" w:after="0"/>
              <w:jc w:val="center"/>
              <w:rPr>
                <w:rFonts w:ascii="Calibri" w:eastAsia="Times New Roman" w:hAnsi="Calibri" w:cs="Calibri"/>
                <w:bCs/>
                <w:snapToGrid w:val="0"/>
                <w:sz w:val="24"/>
                <w:szCs w:val="24"/>
              </w:rPr>
            </w:pPr>
            <w:r>
              <w:rPr>
                <w:rFonts w:ascii="Calibri" w:eastAsia="Times New Roman" w:hAnsi="Calibri" w:cs="Calibri"/>
                <w:bCs/>
                <w:snapToGrid w:val="0"/>
                <w:sz w:val="24"/>
                <w:szCs w:val="24"/>
              </w:rPr>
              <w:t>+</w:t>
            </w:r>
          </w:p>
        </w:tc>
        <w:tc>
          <w:tcPr>
            <w:tcW w:w="1104" w:type="dxa"/>
          </w:tcPr>
          <w:p w14:paraId="4C9573B2" w14:textId="234E636C" w:rsidR="00D2045E" w:rsidRPr="000B7811" w:rsidRDefault="00D2045E" w:rsidP="00D2045E">
            <w:pPr>
              <w:spacing w:before="0" w:after="0"/>
              <w:jc w:val="center"/>
              <w:rPr>
                <w:rFonts w:ascii="Calibri" w:eastAsia="Times New Roman" w:hAnsi="Calibri" w:cs="Calibri"/>
                <w:bCs/>
                <w:snapToGrid w:val="0"/>
                <w:sz w:val="24"/>
                <w:szCs w:val="24"/>
              </w:rPr>
            </w:pPr>
            <w:r w:rsidRPr="00D2045E">
              <w:rPr>
                <w:rFonts w:ascii="Calibri" w:eastAsia="Times New Roman" w:hAnsi="Calibri" w:cs="Calibri"/>
                <w:bCs/>
                <w:snapToGrid w:val="0"/>
                <w:sz w:val="24"/>
                <w:szCs w:val="24"/>
              </w:rPr>
              <w:t>++++</w:t>
            </w:r>
          </w:p>
        </w:tc>
      </w:tr>
      <w:tr w:rsidR="00D2045E" w:rsidRPr="00C932D0" w14:paraId="1CDC6273" w14:textId="77777777" w:rsidTr="0085017B">
        <w:tc>
          <w:tcPr>
            <w:tcW w:w="3214" w:type="dxa"/>
            <w:shd w:val="clear" w:color="auto" w:fill="D0CECE"/>
          </w:tcPr>
          <w:p w14:paraId="19D208B8" w14:textId="77777777" w:rsidR="00D2045E" w:rsidRPr="000B7811" w:rsidRDefault="00D2045E" w:rsidP="00D2045E">
            <w:pPr>
              <w:spacing w:before="0" w:after="0"/>
              <w:rPr>
                <w:rFonts w:ascii="Calibri" w:eastAsia="Times New Roman" w:hAnsi="Calibri" w:cs="Calibri"/>
                <w:b/>
                <w:snapToGrid w:val="0"/>
                <w:sz w:val="24"/>
                <w:szCs w:val="24"/>
              </w:rPr>
            </w:pPr>
            <w:r w:rsidRPr="000B7811">
              <w:rPr>
                <w:rFonts w:ascii="Calibri" w:eastAsia="Times New Roman" w:hAnsi="Calibri" w:cs="Calibri"/>
                <w:b/>
                <w:snapToGrid w:val="0"/>
                <w:sz w:val="24"/>
                <w:szCs w:val="24"/>
              </w:rPr>
              <w:t>Outcome indicators</w:t>
            </w:r>
          </w:p>
        </w:tc>
        <w:tc>
          <w:tcPr>
            <w:tcW w:w="1054" w:type="dxa"/>
            <w:shd w:val="clear" w:color="auto" w:fill="D0CECE"/>
          </w:tcPr>
          <w:p w14:paraId="29A545EC" w14:textId="77777777" w:rsidR="00D2045E" w:rsidRPr="000B7811" w:rsidRDefault="00D2045E" w:rsidP="00D2045E">
            <w:pPr>
              <w:spacing w:before="0" w:after="0"/>
              <w:jc w:val="center"/>
              <w:rPr>
                <w:rFonts w:ascii="Calibri" w:eastAsia="Times New Roman" w:hAnsi="Calibri" w:cs="Calibri"/>
                <w:bCs/>
                <w:snapToGrid w:val="0"/>
                <w:sz w:val="24"/>
                <w:szCs w:val="24"/>
              </w:rPr>
            </w:pPr>
          </w:p>
        </w:tc>
        <w:tc>
          <w:tcPr>
            <w:tcW w:w="1218" w:type="dxa"/>
            <w:shd w:val="clear" w:color="auto" w:fill="D0CECE"/>
          </w:tcPr>
          <w:p w14:paraId="447848B9" w14:textId="77777777" w:rsidR="00D2045E" w:rsidRPr="000B7811" w:rsidRDefault="00D2045E" w:rsidP="00D2045E">
            <w:pPr>
              <w:spacing w:before="0" w:after="0"/>
              <w:jc w:val="center"/>
              <w:rPr>
                <w:rFonts w:ascii="Calibri" w:eastAsia="Times New Roman" w:hAnsi="Calibri" w:cs="Calibri"/>
                <w:bCs/>
                <w:snapToGrid w:val="0"/>
                <w:sz w:val="24"/>
                <w:szCs w:val="24"/>
              </w:rPr>
            </w:pPr>
          </w:p>
        </w:tc>
        <w:tc>
          <w:tcPr>
            <w:tcW w:w="1218" w:type="dxa"/>
            <w:shd w:val="clear" w:color="auto" w:fill="D0CECE"/>
          </w:tcPr>
          <w:p w14:paraId="558AC0D1" w14:textId="77777777" w:rsidR="00D2045E" w:rsidRPr="000B7811" w:rsidRDefault="00D2045E" w:rsidP="00D2045E">
            <w:pPr>
              <w:spacing w:before="0" w:after="0"/>
              <w:jc w:val="center"/>
              <w:rPr>
                <w:rFonts w:ascii="Calibri" w:eastAsia="Times New Roman" w:hAnsi="Calibri" w:cs="Calibri"/>
                <w:bCs/>
                <w:snapToGrid w:val="0"/>
                <w:sz w:val="24"/>
                <w:szCs w:val="24"/>
              </w:rPr>
            </w:pPr>
          </w:p>
        </w:tc>
        <w:tc>
          <w:tcPr>
            <w:tcW w:w="1218" w:type="dxa"/>
            <w:shd w:val="clear" w:color="auto" w:fill="D0CECE"/>
          </w:tcPr>
          <w:p w14:paraId="4713E313" w14:textId="77777777" w:rsidR="00D2045E" w:rsidRPr="000B7811" w:rsidRDefault="00D2045E" w:rsidP="00D2045E">
            <w:pPr>
              <w:spacing w:before="0" w:after="0"/>
              <w:jc w:val="center"/>
              <w:rPr>
                <w:rFonts w:ascii="Calibri" w:eastAsia="Times New Roman" w:hAnsi="Calibri" w:cs="Calibri"/>
                <w:bCs/>
                <w:snapToGrid w:val="0"/>
                <w:sz w:val="24"/>
                <w:szCs w:val="24"/>
              </w:rPr>
            </w:pPr>
          </w:p>
        </w:tc>
        <w:tc>
          <w:tcPr>
            <w:tcW w:w="1104" w:type="dxa"/>
            <w:shd w:val="clear" w:color="auto" w:fill="D0CECE"/>
          </w:tcPr>
          <w:p w14:paraId="60FB1EE0" w14:textId="77777777" w:rsidR="00D2045E" w:rsidRPr="000B7811" w:rsidRDefault="00D2045E" w:rsidP="00D2045E">
            <w:pPr>
              <w:spacing w:before="0" w:after="0"/>
              <w:jc w:val="center"/>
              <w:rPr>
                <w:rFonts w:ascii="Calibri" w:eastAsia="Times New Roman" w:hAnsi="Calibri" w:cs="Calibri"/>
                <w:bCs/>
                <w:snapToGrid w:val="0"/>
                <w:sz w:val="24"/>
                <w:szCs w:val="24"/>
              </w:rPr>
            </w:pPr>
          </w:p>
        </w:tc>
      </w:tr>
      <w:tr w:rsidR="00D2045E" w:rsidRPr="00C932D0" w14:paraId="11616862" w14:textId="77777777" w:rsidTr="0085017B">
        <w:tc>
          <w:tcPr>
            <w:tcW w:w="3214" w:type="dxa"/>
            <w:shd w:val="clear" w:color="auto" w:fill="auto"/>
          </w:tcPr>
          <w:p w14:paraId="4DB99EE8" w14:textId="77777777" w:rsidR="00D2045E" w:rsidRPr="000B7811" w:rsidRDefault="00D2045E" w:rsidP="00D2045E">
            <w:pPr>
              <w:spacing w:before="0" w:after="0"/>
              <w:rPr>
                <w:rFonts w:ascii="Calibri" w:eastAsia="Times New Roman" w:hAnsi="Calibri" w:cs="Calibri"/>
                <w:b/>
                <w:snapToGrid w:val="0"/>
                <w:sz w:val="24"/>
                <w:szCs w:val="24"/>
              </w:rPr>
            </w:pPr>
            <w:r w:rsidRPr="000B7811">
              <w:rPr>
                <w:rFonts w:ascii="Calibri" w:eastAsia="Times New Roman" w:hAnsi="Calibri" w:cs="Calibri"/>
                <w:b/>
                <w:snapToGrid w:val="0"/>
                <w:sz w:val="24"/>
                <w:szCs w:val="24"/>
              </w:rPr>
              <w:lastRenderedPageBreak/>
              <w:t xml:space="preserve">TB Notification Coverage </w:t>
            </w:r>
            <w:r w:rsidRPr="000B7811">
              <w:rPr>
                <w:rFonts w:ascii="Calibri" w:eastAsia="Times New Roman" w:hAnsi="Calibri" w:cs="Calibri"/>
                <w:bCs/>
                <w:i/>
                <w:iCs/>
                <w:snapToGrid w:val="0"/>
                <w:sz w:val="24"/>
                <w:szCs w:val="24"/>
              </w:rPr>
              <w:t>(% of estimates)</w:t>
            </w:r>
          </w:p>
        </w:tc>
        <w:tc>
          <w:tcPr>
            <w:tcW w:w="1054" w:type="dxa"/>
            <w:shd w:val="clear" w:color="auto" w:fill="auto"/>
          </w:tcPr>
          <w:p w14:paraId="65120EE8"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82%</w:t>
            </w:r>
          </w:p>
        </w:tc>
        <w:tc>
          <w:tcPr>
            <w:tcW w:w="1218" w:type="dxa"/>
            <w:shd w:val="clear" w:color="auto" w:fill="auto"/>
          </w:tcPr>
          <w:p w14:paraId="00D2D851"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8</w:t>
            </w:r>
            <w:r>
              <w:rPr>
                <w:rFonts w:ascii="Calibri" w:eastAsia="Times New Roman" w:hAnsi="Calibri" w:cs="Calibri"/>
                <w:bCs/>
                <w:snapToGrid w:val="0"/>
                <w:sz w:val="24"/>
                <w:szCs w:val="24"/>
              </w:rPr>
              <w:t>5</w:t>
            </w:r>
            <w:r w:rsidRPr="000B7811">
              <w:rPr>
                <w:rFonts w:ascii="Calibri" w:eastAsia="Times New Roman" w:hAnsi="Calibri" w:cs="Calibri"/>
                <w:bCs/>
                <w:snapToGrid w:val="0"/>
                <w:sz w:val="24"/>
                <w:szCs w:val="24"/>
              </w:rPr>
              <w:t>%</w:t>
            </w:r>
          </w:p>
        </w:tc>
        <w:tc>
          <w:tcPr>
            <w:tcW w:w="1218" w:type="dxa"/>
            <w:shd w:val="clear" w:color="auto" w:fill="auto"/>
          </w:tcPr>
          <w:p w14:paraId="33C13C78"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100%</w:t>
            </w:r>
          </w:p>
        </w:tc>
        <w:tc>
          <w:tcPr>
            <w:tcW w:w="1218" w:type="dxa"/>
            <w:shd w:val="clear" w:color="auto" w:fill="auto"/>
          </w:tcPr>
          <w:p w14:paraId="1739A568"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100%</w:t>
            </w:r>
          </w:p>
        </w:tc>
        <w:tc>
          <w:tcPr>
            <w:tcW w:w="1104" w:type="dxa"/>
          </w:tcPr>
          <w:p w14:paraId="198B55A5" w14:textId="35C04B2A" w:rsidR="00D2045E" w:rsidRPr="000B7811" w:rsidRDefault="00D2045E" w:rsidP="00D2045E">
            <w:pPr>
              <w:spacing w:before="0" w:after="0"/>
              <w:jc w:val="center"/>
              <w:rPr>
                <w:rFonts w:ascii="Calibri" w:eastAsia="Times New Roman" w:hAnsi="Calibri" w:cs="Calibri"/>
                <w:bCs/>
                <w:snapToGrid w:val="0"/>
                <w:sz w:val="24"/>
                <w:szCs w:val="24"/>
              </w:rPr>
            </w:pPr>
            <w:r w:rsidRPr="00D2045E">
              <w:rPr>
                <w:rFonts w:ascii="Calibri" w:eastAsia="Times New Roman" w:hAnsi="Calibri" w:cs="Calibri"/>
                <w:bCs/>
                <w:snapToGrid w:val="0"/>
                <w:sz w:val="24"/>
                <w:szCs w:val="24"/>
              </w:rPr>
              <w:t>100%</w:t>
            </w:r>
          </w:p>
        </w:tc>
      </w:tr>
      <w:tr w:rsidR="00D2045E" w:rsidRPr="00C932D0" w14:paraId="7C0B8318" w14:textId="77777777" w:rsidTr="0085017B">
        <w:tc>
          <w:tcPr>
            <w:tcW w:w="3214" w:type="dxa"/>
            <w:shd w:val="clear" w:color="auto" w:fill="auto"/>
          </w:tcPr>
          <w:p w14:paraId="60EE33BB" w14:textId="77777777" w:rsidR="00D2045E" w:rsidRPr="000B7811" w:rsidRDefault="00D2045E" w:rsidP="00D2045E">
            <w:pPr>
              <w:spacing w:before="0" w:after="0"/>
              <w:rPr>
                <w:rFonts w:ascii="Calibri" w:eastAsia="Times New Roman" w:hAnsi="Calibri" w:cs="Calibri"/>
                <w:b/>
                <w:snapToGrid w:val="0"/>
                <w:sz w:val="24"/>
                <w:szCs w:val="24"/>
              </w:rPr>
            </w:pPr>
            <w:r w:rsidRPr="000B7811">
              <w:rPr>
                <w:rFonts w:ascii="Calibri" w:eastAsia="Times New Roman" w:hAnsi="Calibri" w:cs="Calibri"/>
                <w:b/>
                <w:snapToGrid w:val="0"/>
                <w:sz w:val="24"/>
                <w:szCs w:val="24"/>
              </w:rPr>
              <w:t xml:space="preserve">RR/MDR-TB Notification </w:t>
            </w:r>
          </w:p>
        </w:tc>
        <w:tc>
          <w:tcPr>
            <w:tcW w:w="1054" w:type="dxa"/>
            <w:shd w:val="clear" w:color="auto" w:fill="auto"/>
          </w:tcPr>
          <w:p w14:paraId="2D437100"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51%</w:t>
            </w:r>
          </w:p>
        </w:tc>
        <w:tc>
          <w:tcPr>
            <w:tcW w:w="1218" w:type="dxa"/>
            <w:shd w:val="clear" w:color="auto" w:fill="auto"/>
          </w:tcPr>
          <w:p w14:paraId="0F52E9EA"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5</w:t>
            </w:r>
            <w:r>
              <w:rPr>
                <w:rFonts w:ascii="Calibri" w:eastAsia="Times New Roman" w:hAnsi="Calibri" w:cs="Calibri"/>
                <w:bCs/>
                <w:snapToGrid w:val="0"/>
                <w:sz w:val="24"/>
                <w:szCs w:val="24"/>
              </w:rPr>
              <w:t>5</w:t>
            </w:r>
            <w:r w:rsidRPr="000B7811">
              <w:rPr>
                <w:rFonts w:ascii="Calibri" w:eastAsia="Times New Roman" w:hAnsi="Calibri" w:cs="Calibri"/>
                <w:bCs/>
                <w:snapToGrid w:val="0"/>
                <w:sz w:val="24"/>
                <w:szCs w:val="24"/>
              </w:rPr>
              <w:t>%</w:t>
            </w:r>
          </w:p>
        </w:tc>
        <w:tc>
          <w:tcPr>
            <w:tcW w:w="1218" w:type="dxa"/>
            <w:shd w:val="clear" w:color="auto" w:fill="auto"/>
          </w:tcPr>
          <w:p w14:paraId="7AE47279"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68%</w:t>
            </w:r>
          </w:p>
        </w:tc>
        <w:tc>
          <w:tcPr>
            <w:tcW w:w="1218" w:type="dxa"/>
            <w:shd w:val="clear" w:color="auto" w:fill="auto"/>
          </w:tcPr>
          <w:p w14:paraId="29087C34" w14:textId="77777777" w:rsidR="00D2045E" w:rsidRPr="000B7811" w:rsidRDefault="00D2045E" w:rsidP="00D2045E">
            <w:pPr>
              <w:spacing w:before="0" w:after="0"/>
              <w:jc w:val="center"/>
              <w:rPr>
                <w:rFonts w:ascii="Calibri" w:eastAsia="Times New Roman" w:hAnsi="Calibri" w:cs="Calibri"/>
                <w:bCs/>
                <w:snapToGrid w:val="0"/>
                <w:sz w:val="24"/>
                <w:szCs w:val="24"/>
              </w:rPr>
            </w:pPr>
            <w:r w:rsidRPr="000B7811">
              <w:rPr>
                <w:rFonts w:ascii="Calibri" w:eastAsia="Times New Roman" w:hAnsi="Calibri" w:cs="Calibri"/>
                <w:bCs/>
                <w:snapToGrid w:val="0"/>
                <w:sz w:val="24"/>
                <w:szCs w:val="24"/>
              </w:rPr>
              <w:t>90%</w:t>
            </w:r>
          </w:p>
        </w:tc>
        <w:tc>
          <w:tcPr>
            <w:tcW w:w="1104" w:type="dxa"/>
          </w:tcPr>
          <w:p w14:paraId="45918E43" w14:textId="693320DF" w:rsidR="00D2045E" w:rsidRPr="000B7811" w:rsidRDefault="00D2045E" w:rsidP="00D2045E">
            <w:pPr>
              <w:spacing w:before="0" w:after="0"/>
              <w:jc w:val="center"/>
              <w:rPr>
                <w:rFonts w:ascii="Calibri" w:eastAsia="Times New Roman" w:hAnsi="Calibri" w:cs="Calibri"/>
                <w:bCs/>
                <w:snapToGrid w:val="0"/>
                <w:sz w:val="24"/>
                <w:szCs w:val="24"/>
              </w:rPr>
            </w:pPr>
            <w:r w:rsidRPr="00D2045E">
              <w:rPr>
                <w:rFonts w:ascii="Calibri" w:eastAsia="Times New Roman" w:hAnsi="Calibri" w:cs="Calibri"/>
                <w:bCs/>
                <w:snapToGrid w:val="0"/>
                <w:sz w:val="24"/>
                <w:szCs w:val="24"/>
              </w:rPr>
              <w:t>95%</w:t>
            </w:r>
          </w:p>
        </w:tc>
      </w:tr>
    </w:tbl>
    <w:p w14:paraId="7A9AFD72" w14:textId="77777777" w:rsidR="0043078B" w:rsidRPr="00926017" w:rsidRDefault="0043078B" w:rsidP="0043078B">
      <w:pPr>
        <w:jc w:val="both"/>
        <w:rPr>
          <w:rFonts w:ascii="Calibri" w:hAnsi="Calibri" w:cs="Calibri"/>
          <w:bCs/>
          <w:sz w:val="22"/>
        </w:rPr>
      </w:pPr>
    </w:p>
    <w:p w14:paraId="26FA06A3" w14:textId="77777777" w:rsidR="0043078B" w:rsidRPr="00926017" w:rsidRDefault="0043078B" w:rsidP="0043078B">
      <w:pPr>
        <w:jc w:val="both"/>
        <w:rPr>
          <w:rFonts w:ascii="Calibri" w:hAnsi="Calibri" w:cs="Calibri"/>
          <w:bCs/>
          <w:sz w:val="22"/>
        </w:rPr>
      </w:pPr>
      <w:r w:rsidRPr="00926017">
        <w:rPr>
          <w:rFonts w:ascii="Calibri" w:hAnsi="Calibri" w:cs="Calibri"/>
          <w:bCs/>
          <w:sz w:val="22"/>
        </w:rPr>
        <w:t>These three</w:t>
      </w:r>
      <w:r w:rsidRPr="00926017">
        <w:rPr>
          <w:rFonts w:ascii="Calibri" w:hAnsi="Calibri" w:cs="Calibri"/>
          <w:sz w:val="22"/>
        </w:rPr>
        <w:t xml:space="preserve"> scenarios </w:t>
      </w:r>
      <w:r w:rsidRPr="00926017">
        <w:rPr>
          <w:rFonts w:ascii="Calibri" w:hAnsi="Calibri" w:cs="Calibri"/>
          <w:b/>
          <w:sz w:val="22"/>
        </w:rPr>
        <w:t>projected to reduce incidence rates by 1</w:t>
      </w:r>
      <w:r>
        <w:rPr>
          <w:rFonts w:ascii="Calibri" w:hAnsi="Calibri" w:cs="Calibri"/>
          <w:b/>
          <w:sz w:val="22"/>
        </w:rPr>
        <w:t>5</w:t>
      </w:r>
      <w:r w:rsidRPr="00926017">
        <w:rPr>
          <w:rFonts w:ascii="Calibri" w:hAnsi="Calibri" w:cs="Calibri"/>
          <w:b/>
          <w:sz w:val="22"/>
        </w:rPr>
        <w:t xml:space="preserve">%, </w:t>
      </w:r>
      <w:r>
        <w:rPr>
          <w:rFonts w:ascii="Calibri" w:hAnsi="Calibri" w:cs="Calibri"/>
          <w:b/>
          <w:sz w:val="22"/>
        </w:rPr>
        <w:t>26</w:t>
      </w:r>
      <w:r w:rsidRPr="00926017">
        <w:rPr>
          <w:rFonts w:ascii="Calibri" w:hAnsi="Calibri" w:cs="Calibri"/>
          <w:b/>
          <w:sz w:val="22"/>
        </w:rPr>
        <w:t xml:space="preserve">% and </w:t>
      </w:r>
      <w:r>
        <w:rPr>
          <w:rFonts w:ascii="Calibri" w:hAnsi="Calibri" w:cs="Calibri"/>
          <w:b/>
          <w:sz w:val="22"/>
        </w:rPr>
        <w:t>39</w:t>
      </w:r>
      <w:r w:rsidRPr="00926017">
        <w:rPr>
          <w:rFonts w:ascii="Calibri" w:hAnsi="Calibri" w:cs="Calibri"/>
          <w:b/>
          <w:sz w:val="22"/>
        </w:rPr>
        <w:t>% from 2020</w:t>
      </w:r>
      <w:r>
        <w:rPr>
          <w:rFonts w:ascii="Calibri" w:hAnsi="Calibri" w:cs="Calibri"/>
          <w:b/>
          <w:sz w:val="22"/>
        </w:rPr>
        <w:t xml:space="preserve"> to 2025 </w:t>
      </w:r>
      <w:r w:rsidRPr="00926017">
        <w:rPr>
          <w:rFonts w:ascii="Calibri" w:hAnsi="Calibri" w:cs="Calibri"/>
          <w:b/>
          <w:sz w:val="22"/>
        </w:rPr>
        <w:t>and bring down the incidence rates to 17</w:t>
      </w:r>
      <w:r>
        <w:rPr>
          <w:rFonts w:ascii="Calibri" w:hAnsi="Calibri" w:cs="Calibri"/>
          <w:b/>
          <w:sz w:val="22"/>
        </w:rPr>
        <w:t>0</w:t>
      </w:r>
      <w:r w:rsidRPr="00926017">
        <w:rPr>
          <w:rFonts w:ascii="Calibri" w:hAnsi="Calibri" w:cs="Calibri"/>
          <w:b/>
          <w:sz w:val="22"/>
        </w:rPr>
        <w:t xml:space="preserve"> per lakh, 1</w:t>
      </w:r>
      <w:r>
        <w:rPr>
          <w:rFonts w:ascii="Calibri" w:hAnsi="Calibri" w:cs="Calibri"/>
          <w:b/>
          <w:sz w:val="22"/>
        </w:rPr>
        <w:t>48</w:t>
      </w:r>
      <w:r w:rsidRPr="00926017">
        <w:rPr>
          <w:rFonts w:ascii="Calibri" w:hAnsi="Calibri" w:cs="Calibri"/>
          <w:b/>
          <w:sz w:val="22"/>
        </w:rPr>
        <w:t xml:space="preserve"> per lakh, and 1</w:t>
      </w:r>
      <w:r>
        <w:rPr>
          <w:rFonts w:ascii="Calibri" w:hAnsi="Calibri" w:cs="Calibri"/>
          <w:b/>
          <w:sz w:val="22"/>
        </w:rPr>
        <w:t>20</w:t>
      </w:r>
      <w:r w:rsidRPr="00926017">
        <w:rPr>
          <w:rFonts w:ascii="Calibri" w:hAnsi="Calibri" w:cs="Calibri"/>
          <w:b/>
          <w:sz w:val="22"/>
        </w:rPr>
        <w:t xml:space="preserve"> per lakh per year, by 202</w:t>
      </w:r>
      <w:r>
        <w:rPr>
          <w:rFonts w:ascii="Calibri" w:hAnsi="Calibri" w:cs="Calibri"/>
          <w:b/>
          <w:sz w:val="22"/>
        </w:rPr>
        <w:t>5</w:t>
      </w:r>
      <w:r w:rsidRPr="00926017">
        <w:rPr>
          <w:rFonts w:ascii="Calibri" w:hAnsi="Calibri" w:cs="Calibri"/>
          <w:b/>
          <w:sz w:val="22"/>
        </w:rPr>
        <w:t>, respectively.</w:t>
      </w:r>
    </w:p>
    <w:p w14:paraId="60DD5761" w14:textId="77777777" w:rsidR="0043078B" w:rsidRPr="00926017" w:rsidRDefault="0043078B" w:rsidP="0043078B">
      <w:pPr>
        <w:jc w:val="both"/>
        <w:rPr>
          <w:rFonts w:ascii="Calibri" w:hAnsi="Calibri" w:cs="Calibri"/>
          <w:bCs/>
          <w:sz w:val="22"/>
        </w:rPr>
      </w:pPr>
      <w:r w:rsidRPr="00926017">
        <w:rPr>
          <w:rFonts w:ascii="Calibri" w:hAnsi="Calibri" w:cs="Calibri"/>
          <w:bCs/>
          <w:sz w:val="22"/>
        </w:rPr>
        <w:t xml:space="preserve">As presented above, these interventions have a considerable impact on TB burden, but – by themselves – will not be sufficient to achieve TB elimination by 2025. In addition to all the measures listed in three scenarios, we also modelled additional, </w:t>
      </w:r>
      <w:r>
        <w:rPr>
          <w:rFonts w:ascii="Calibri" w:hAnsi="Calibri" w:cs="Calibri"/>
          <w:bCs/>
          <w:sz w:val="22"/>
        </w:rPr>
        <w:t>aspirational</w:t>
      </w:r>
      <w:r w:rsidRPr="00926017">
        <w:rPr>
          <w:rFonts w:ascii="Calibri" w:hAnsi="Calibri" w:cs="Calibri"/>
          <w:bCs/>
          <w:sz w:val="22"/>
        </w:rPr>
        <w:t xml:space="preserve"> measures to bring down TB burden. These measures are population level; non-TB health interventions</w:t>
      </w:r>
      <w:r>
        <w:rPr>
          <w:rFonts w:ascii="Calibri" w:hAnsi="Calibri" w:cs="Calibri"/>
          <w:bCs/>
          <w:sz w:val="22"/>
        </w:rPr>
        <w:t>;</w:t>
      </w:r>
      <w:r w:rsidRPr="00926017">
        <w:rPr>
          <w:rFonts w:ascii="Calibri" w:hAnsi="Calibri" w:cs="Calibri"/>
          <w:bCs/>
          <w:sz w:val="22"/>
        </w:rPr>
        <w:t xml:space="preserve"> </w:t>
      </w:r>
      <w:r>
        <w:rPr>
          <w:rFonts w:ascii="Calibri" w:hAnsi="Calibri" w:cs="Calibri"/>
          <w:bCs/>
          <w:sz w:val="22"/>
        </w:rPr>
        <w:t>social and developmental</w:t>
      </w:r>
      <w:r w:rsidRPr="00926017">
        <w:rPr>
          <w:rFonts w:ascii="Calibri" w:hAnsi="Calibri" w:cs="Calibri"/>
          <w:bCs/>
          <w:sz w:val="22"/>
        </w:rPr>
        <w:t xml:space="preserve"> interventions addressing determinants of disease; newer vaccines, drugs, diagnostics. Possible mechanisms might be </w:t>
      </w:r>
    </w:p>
    <w:p w14:paraId="266E1EF9" w14:textId="77777777" w:rsidR="0043078B" w:rsidRPr="00926017" w:rsidRDefault="0043078B" w:rsidP="009136E5">
      <w:pPr>
        <w:pStyle w:val="ListParagraph"/>
        <w:numPr>
          <w:ilvl w:val="0"/>
          <w:numId w:val="111"/>
        </w:numPr>
        <w:ind w:left="720"/>
        <w:jc w:val="both"/>
        <w:rPr>
          <w:rFonts w:ascii="Calibri" w:hAnsi="Calibri" w:cs="Calibri"/>
          <w:bCs/>
          <w:sz w:val="22"/>
        </w:rPr>
      </w:pPr>
      <w:r w:rsidRPr="00926017">
        <w:rPr>
          <w:rFonts w:ascii="Calibri" w:hAnsi="Calibri" w:cs="Calibri"/>
          <w:bCs/>
          <w:sz w:val="22"/>
        </w:rPr>
        <w:t xml:space="preserve">Measures addressing diabetes, immunodeficiency conditions, smoking, abuse of alcohol etc., </w:t>
      </w:r>
    </w:p>
    <w:p w14:paraId="69A6FE29" w14:textId="77777777" w:rsidR="0043078B" w:rsidRPr="00926017" w:rsidRDefault="0043078B" w:rsidP="009136E5">
      <w:pPr>
        <w:pStyle w:val="ListParagraph"/>
        <w:numPr>
          <w:ilvl w:val="0"/>
          <w:numId w:val="111"/>
        </w:numPr>
        <w:ind w:left="720"/>
        <w:jc w:val="both"/>
        <w:rPr>
          <w:rFonts w:ascii="Calibri" w:hAnsi="Calibri" w:cs="Calibri"/>
          <w:bCs/>
          <w:sz w:val="22"/>
        </w:rPr>
      </w:pPr>
      <w:r w:rsidRPr="00926017">
        <w:rPr>
          <w:rFonts w:ascii="Calibri" w:hAnsi="Calibri" w:cs="Calibri"/>
          <w:bCs/>
          <w:sz w:val="22"/>
        </w:rPr>
        <w:t>Health system strengthening, lowering barriers in access to care and Community empowerment</w:t>
      </w:r>
    </w:p>
    <w:p w14:paraId="46716494" w14:textId="77777777" w:rsidR="0043078B" w:rsidRPr="00926017" w:rsidRDefault="0043078B" w:rsidP="009136E5">
      <w:pPr>
        <w:pStyle w:val="ListParagraph"/>
        <w:numPr>
          <w:ilvl w:val="0"/>
          <w:numId w:val="111"/>
        </w:numPr>
        <w:ind w:left="720"/>
        <w:jc w:val="both"/>
        <w:rPr>
          <w:rFonts w:ascii="Calibri" w:hAnsi="Calibri" w:cs="Calibri"/>
          <w:bCs/>
          <w:sz w:val="22"/>
        </w:rPr>
      </w:pPr>
      <w:r w:rsidRPr="00926017">
        <w:rPr>
          <w:rFonts w:ascii="Calibri" w:hAnsi="Calibri" w:cs="Calibri"/>
          <w:bCs/>
          <w:sz w:val="22"/>
        </w:rPr>
        <w:t>Reducing recurrent TB through therapeutic vaccination, used as an adjunct to anti-TB treatment.</w:t>
      </w:r>
    </w:p>
    <w:p w14:paraId="072C5B02" w14:textId="77777777" w:rsidR="0043078B" w:rsidRPr="00926017" w:rsidRDefault="0043078B" w:rsidP="009136E5">
      <w:pPr>
        <w:pStyle w:val="ListParagraph"/>
        <w:numPr>
          <w:ilvl w:val="0"/>
          <w:numId w:val="111"/>
        </w:numPr>
        <w:ind w:left="720"/>
        <w:jc w:val="both"/>
        <w:rPr>
          <w:rFonts w:ascii="Calibri" w:hAnsi="Calibri" w:cs="Calibri"/>
          <w:bCs/>
          <w:sz w:val="22"/>
        </w:rPr>
      </w:pPr>
      <w:r w:rsidRPr="00926017">
        <w:rPr>
          <w:rFonts w:ascii="Calibri" w:hAnsi="Calibri" w:cs="Calibri"/>
          <w:bCs/>
          <w:sz w:val="22"/>
        </w:rPr>
        <w:t>Reducing the rate of reactivation of latent TB infection through reduction of undernutrition, the deployment of a new, post-exposure vaccine</w:t>
      </w:r>
    </w:p>
    <w:p w14:paraId="4BAC1C04" w14:textId="77777777" w:rsidR="0043078B" w:rsidRPr="00926017" w:rsidRDefault="0043078B" w:rsidP="009136E5">
      <w:pPr>
        <w:pStyle w:val="ListParagraph"/>
        <w:numPr>
          <w:ilvl w:val="0"/>
          <w:numId w:val="111"/>
        </w:numPr>
        <w:ind w:left="720"/>
        <w:jc w:val="both"/>
        <w:rPr>
          <w:rFonts w:ascii="Calibri" w:hAnsi="Calibri" w:cs="Calibri"/>
          <w:bCs/>
          <w:sz w:val="22"/>
        </w:rPr>
      </w:pPr>
      <w:r w:rsidRPr="00926017">
        <w:rPr>
          <w:rFonts w:ascii="Calibri" w:hAnsi="Calibri" w:cs="Calibri"/>
          <w:bCs/>
          <w:sz w:val="22"/>
        </w:rPr>
        <w:t xml:space="preserve">Reducing transmission intensity through airborne infection control; addressing indoor air pollution; and improving living conditions. </w:t>
      </w:r>
    </w:p>
    <w:p w14:paraId="24BB9973" w14:textId="77777777" w:rsidR="0043078B" w:rsidRPr="00926017" w:rsidRDefault="0043078B" w:rsidP="0043078B">
      <w:pPr>
        <w:jc w:val="both"/>
        <w:rPr>
          <w:rFonts w:ascii="Calibri" w:hAnsi="Calibri" w:cs="Calibri"/>
          <w:bCs/>
          <w:sz w:val="22"/>
        </w:rPr>
      </w:pPr>
      <w:r w:rsidRPr="00926017">
        <w:rPr>
          <w:rFonts w:ascii="Calibri" w:hAnsi="Calibri" w:cs="Calibri"/>
          <w:bCs/>
          <w:sz w:val="22"/>
        </w:rPr>
        <w:t xml:space="preserve">These measures are not modelled in terms of specific activities, but rather in terms of their impact on the TB care cascade. These scenarios therefore cannot be costed at present, but they nonetheless provide some indication of the changes that would need to be exerted, in order to meet incidence targets by 2025. For all of these measures, although we propose some potential mechanisms, further evidence is needed for the efficacy and feasibility of these approaches. It is only with comprehensive approach of pulmonary health that the target for achieving SDG by 2025 can be achieved. </w:t>
      </w:r>
    </w:p>
    <w:p w14:paraId="4BFA9C01" w14:textId="77777777" w:rsidR="0043078B" w:rsidRPr="00C37748" w:rsidRDefault="0043078B" w:rsidP="0043078B">
      <w:pPr>
        <w:jc w:val="both"/>
        <w:rPr>
          <w:rFonts w:ascii="Calibri" w:hAnsi="Calibri" w:cs="Calibri"/>
          <w:sz w:val="22"/>
        </w:rPr>
      </w:pPr>
      <w:r w:rsidRPr="00926017">
        <w:rPr>
          <w:rFonts w:ascii="Calibri" w:hAnsi="Calibri" w:cs="Calibri"/>
          <w:sz w:val="22"/>
        </w:rPr>
        <w:t>Overall to achieve the goal of achieving the END TB targets by 2025, ambitious scale up of current interventions alone will not be enough, additional bold measures, to prevent incidence at the population level, in co-ordination with the other departments and the Ministries at large, funded completely, rolled out immediately and scaled up rapidly, are urgently required.</w:t>
      </w:r>
    </w:p>
    <w:p w14:paraId="70E753B6" w14:textId="77777777" w:rsidR="00240150" w:rsidRDefault="00240150">
      <w:pPr>
        <w:spacing w:before="0" w:after="0"/>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0019D5AC" w14:textId="13E5C5F0" w:rsidR="002842AA" w:rsidRPr="00734B6A" w:rsidRDefault="002842AA" w:rsidP="00663C3B">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bookmarkEnd w:id="23"/>
      <w:bookmarkEnd w:id="24"/>
      <w:bookmarkEnd w:id="25"/>
      <w:bookmarkEnd w:id="26"/>
      <w:bookmarkEnd w:id="27"/>
      <w:bookmarkEnd w:id="28"/>
      <w:bookmarkEnd w:id="29"/>
      <w:bookmarkEnd w:id="30"/>
      <w:bookmarkEnd w:id="31"/>
      <w:r w:rsidR="00B65B0C">
        <w:rPr>
          <w:rFonts w:asciiTheme="minorHAnsi" w:hAnsiTheme="minorHAnsi" w:cstheme="minorHAnsi"/>
          <w:b/>
          <w:snapToGrid w:val="0"/>
          <w:color w:val="auto"/>
          <w:sz w:val="36"/>
        </w:rPr>
        <w:t>7</w:t>
      </w:r>
      <w:r w:rsidRPr="00734B6A">
        <w:rPr>
          <w:rFonts w:asciiTheme="minorHAnsi" w:hAnsiTheme="minorHAnsi" w:cstheme="minorHAnsi"/>
          <w:b/>
          <w:snapToGrid w:val="0"/>
          <w:color w:val="auto"/>
          <w:sz w:val="36"/>
        </w:rPr>
        <w:t xml:space="preserve"> </w:t>
      </w:r>
    </w:p>
    <w:p w14:paraId="58527842" w14:textId="143D991A" w:rsidR="00663C3B" w:rsidRPr="00DF67C9" w:rsidRDefault="00663C3B" w:rsidP="00096464">
      <w:pPr>
        <w:pStyle w:val="Heading1"/>
        <w:tabs>
          <w:tab w:val="num" w:pos="5670"/>
        </w:tabs>
        <w:rPr>
          <w:rFonts w:asciiTheme="minorHAnsi" w:hAnsiTheme="minorHAnsi" w:cstheme="minorHAnsi"/>
          <w:b/>
          <w:snapToGrid w:val="0"/>
          <w:color w:val="auto"/>
        </w:rPr>
      </w:pPr>
      <w:r w:rsidRPr="00DF67C9">
        <w:rPr>
          <w:rFonts w:asciiTheme="minorHAnsi" w:hAnsiTheme="minorHAnsi" w:cstheme="minorHAnsi"/>
          <w:b/>
          <w:snapToGrid w:val="0"/>
          <w:color w:val="auto"/>
        </w:rPr>
        <w:t>NSP StrategiC FRAMEWORK</w:t>
      </w:r>
      <w:r w:rsidR="00096464" w:rsidRPr="00DF67C9">
        <w:rPr>
          <w:rFonts w:asciiTheme="minorHAnsi" w:hAnsiTheme="minorHAnsi" w:cstheme="minorHAnsi"/>
          <w:b/>
          <w:snapToGrid w:val="0"/>
          <w:color w:val="auto"/>
        </w:rPr>
        <w:t xml:space="preserve"> AND PERFORMaNCE MEASUREs</w:t>
      </w:r>
    </w:p>
    <w:p w14:paraId="69107903" w14:textId="77777777" w:rsidR="00EA3150" w:rsidRPr="00EA3150" w:rsidRDefault="00EA3150" w:rsidP="00442A67">
      <w:pPr>
        <w:pStyle w:val="ListParagraph"/>
        <w:numPr>
          <w:ilvl w:val="0"/>
          <w:numId w:val="19"/>
        </w:numPr>
        <w:contextualSpacing w:val="0"/>
        <w:jc w:val="both"/>
        <w:rPr>
          <w:rFonts w:asciiTheme="minorHAnsi" w:hAnsiTheme="minorHAnsi" w:cstheme="minorHAnsi"/>
          <w:b/>
          <w:vanish/>
          <w:color w:val="C86A07" w:themeColor="accent2" w:themeShade="BF"/>
          <w:sz w:val="28"/>
          <w:lang w:val="en"/>
        </w:rPr>
      </w:pPr>
    </w:p>
    <w:p w14:paraId="582F0682" w14:textId="77777777" w:rsidR="00EA3150" w:rsidRPr="00EA3150" w:rsidRDefault="00EA3150" w:rsidP="00442A67">
      <w:pPr>
        <w:pStyle w:val="ListParagraph"/>
        <w:numPr>
          <w:ilvl w:val="0"/>
          <w:numId w:val="19"/>
        </w:numPr>
        <w:contextualSpacing w:val="0"/>
        <w:jc w:val="both"/>
        <w:rPr>
          <w:rFonts w:asciiTheme="minorHAnsi" w:hAnsiTheme="minorHAnsi" w:cstheme="minorHAnsi"/>
          <w:b/>
          <w:vanish/>
          <w:color w:val="C86A07" w:themeColor="accent2" w:themeShade="BF"/>
          <w:sz w:val="28"/>
          <w:lang w:val="en"/>
        </w:rPr>
      </w:pPr>
    </w:p>
    <w:p w14:paraId="33C29273" w14:textId="77777777" w:rsidR="00EA3150" w:rsidRPr="00EA3150" w:rsidRDefault="00EA3150" w:rsidP="00442A67">
      <w:pPr>
        <w:pStyle w:val="ListParagraph"/>
        <w:numPr>
          <w:ilvl w:val="0"/>
          <w:numId w:val="19"/>
        </w:numPr>
        <w:contextualSpacing w:val="0"/>
        <w:jc w:val="both"/>
        <w:rPr>
          <w:rFonts w:asciiTheme="minorHAnsi" w:hAnsiTheme="minorHAnsi" w:cstheme="minorHAnsi"/>
          <w:b/>
          <w:vanish/>
          <w:color w:val="C86A07" w:themeColor="accent2" w:themeShade="BF"/>
          <w:sz w:val="28"/>
          <w:lang w:val="en"/>
        </w:rPr>
      </w:pPr>
    </w:p>
    <w:p w14:paraId="206068DF" w14:textId="77777777" w:rsidR="00EA3150" w:rsidRPr="00EA3150" w:rsidRDefault="00EA3150" w:rsidP="00442A67">
      <w:pPr>
        <w:pStyle w:val="ListParagraph"/>
        <w:numPr>
          <w:ilvl w:val="0"/>
          <w:numId w:val="19"/>
        </w:numPr>
        <w:contextualSpacing w:val="0"/>
        <w:jc w:val="both"/>
        <w:rPr>
          <w:rFonts w:asciiTheme="minorHAnsi" w:hAnsiTheme="minorHAnsi" w:cstheme="minorHAnsi"/>
          <w:b/>
          <w:vanish/>
          <w:color w:val="C86A07" w:themeColor="accent2" w:themeShade="BF"/>
          <w:sz w:val="28"/>
          <w:lang w:val="en"/>
        </w:rPr>
      </w:pPr>
    </w:p>
    <w:p w14:paraId="050A4CDC" w14:textId="77777777" w:rsidR="00EA3150" w:rsidRPr="00EA3150" w:rsidRDefault="00EA3150" w:rsidP="00442A67">
      <w:pPr>
        <w:pStyle w:val="ListParagraph"/>
        <w:numPr>
          <w:ilvl w:val="0"/>
          <w:numId w:val="19"/>
        </w:numPr>
        <w:contextualSpacing w:val="0"/>
        <w:jc w:val="both"/>
        <w:rPr>
          <w:rFonts w:asciiTheme="minorHAnsi" w:hAnsiTheme="minorHAnsi" w:cstheme="minorHAnsi"/>
          <w:b/>
          <w:vanish/>
          <w:color w:val="C86A07" w:themeColor="accent2" w:themeShade="BF"/>
          <w:sz w:val="28"/>
          <w:lang w:val="en"/>
        </w:rPr>
      </w:pPr>
    </w:p>
    <w:p w14:paraId="1233B148" w14:textId="77777777" w:rsidR="00FA0EA8" w:rsidRPr="00EC3830" w:rsidRDefault="00FA0EA8" w:rsidP="00442A67">
      <w:pPr>
        <w:pStyle w:val="ListParagraph"/>
        <w:numPr>
          <w:ilvl w:val="1"/>
          <w:numId w:val="19"/>
        </w:numPr>
        <w:ind w:left="432"/>
        <w:contextualSpacing w:val="0"/>
        <w:jc w:val="both"/>
        <w:rPr>
          <w:rFonts w:ascii="Calibri" w:hAnsi="Calibri" w:cs="Calibri"/>
          <w:b/>
          <w:color w:val="C86A07"/>
          <w:sz w:val="28"/>
          <w:lang w:val="en"/>
        </w:rPr>
      </w:pPr>
      <w:r w:rsidRPr="00EC3830">
        <w:rPr>
          <w:rFonts w:ascii="Calibri" w:hAnsi="Calibri" w:cs="Calibri"/>
          <w:b/>
          <w:color w:val="C86A07"/>
          <w:sz w:val="28"/>
          <w:lang w:val="en"/>
        </w:rPr>
        <w:t>Vision, Goals and Targets of NSP</w:t>
      </w:r>
    </w:p>
    <w:p w14:paraId="6424D3B2" w14:textId="77777777" w:rsidR="00FA0EA8" w:rsidRPr="00902B58" w:rsidRDefault="00FA0EA8" w:rsidP="00FA0EA8">
      <w:pPr>
        <w:spacing w:before="0"/>
        <w:jc w:val="both"/>
        <w:rPr>
          <w:rFonts w:ascii="Calibri" w:hAnsi="Calibri" w:cs="Calibri"/>
          <w:sz w:val="22"/>
        </w:rPr>
      </w:pPr>
      <w:r w:rsidRPr="00734B6A">
        <w:rPr>
          <w:rFonts w:ascii="Calibri" w:hAnsi="Calibri" w:cs="Calibri"/>
          <w:sz w:val="22"/>
        </w:rPr>
        <w:t>The NSP proposes bold strategies with commensurate resources to rapidly decline TB</w:t>
      </w:r>
      <w:r>
        <w:rPr>
          <w:rFonts w:ascii="Calibri" w:hAnsi="Calibri" w:cs="Calibri"/>
          <w:sz w:val="22"/>
        </w:rPr>
        <w:t xml:space="preserve"> incidence and mortality </w:t>
      </w:r>
      <w:r w:rsidRPr="00734B6A">
        <w:rPr>
          <w:rFonts w:ascii="Calibri" w:hAnsi="Calibri" w:cs="Calibri"/>
          <w:sz w:val="22"/>
        </w:rPr>
        <w:t xml:space="preserve">in </w:t>
      </w:r>
      <w:r>
        <w:rPr>
          <w:rFonts w:ascii="Calibri" w:hAnsi="Calibri" w:cs="Calibri"/>
          <w:sz w:val="22"/>
        </w:rPr>
        <w:t>India</w:t>
      </w:r>
      <w:r w:rsidRPr="00734B6A">
        <w:rPr>
          <w:rFonts w:ascii="Calibri" w:hAnsi="Calibri" w:cs="Calibri"/>
          <w:sz w:val="22"/>
        </w:rPr>
        <w:t xml:space="preserve"> by</w:t>
      </w:r>
      <w:r>
        <w:rPr>
          <w:rFonts w:ascii="Calibri" w:hAnsi="Calibri" w:cs="Calibri"/>
          <w:sz w:val="22"/>
        </w:rPr>
        <w:t xml:space="preserve"> 2025 to achieve the Sustainable Development Goal</w:t>
      </w:r>
      <w:r w:rsidRPr="00734B6A">
        <w:rPr>
          <w:rFonts w:ascii="Calibri" w:hAnsi="Calibri" w:cs="Calibri"/>
          <w:sz w:val="22"/>
        </w:rPr>
        <w:t>s</w:t>
      </w:r>
      <w:r>
        <w:rPr>
          <w:rFonts w:ascii="Calibri" w:hAnsi="Calibri" w:cs="Calibri"/>
          <w:sz w:val="22"/>
        </w:rPr>
        <w:t xml:space="preserve"> on its march towards </w:t>
      </w:r>
      <w:r w:rsidRPr="00734B6A">
        <w:rPr>
          <w:rFonts w:ascii="Calibri" w:hAnsi="Calibri" w:cs="Calibri"/>
          <w:sz w:val="22"/>
        </w:rPr>
        <w:t>attain</w:t>
      </w:r>
      <w:r>
        <w:rPr>
          <w:rFonts w:ascii="Calibri" w:hAnsi="Calibri" w:cs="Calibri"/>
          <w:sz w:val="22"/>
        </w:rPr>
        <w:t>ing the vision of a TB-free India.</w:t>
      </w:r>
    </w:p>
    <w:p w14:paraId="73DA4ADF" w14:textId="77777777" w:rsidR="00FA0EA8" w:rsidRPr="002B54A7" w:rsidRDefault="00FA0EA8" w:rsidP="00FA0EA8">
      <w:pPr>
        <w:shd w:val="clear" w:color="auto" w:fill="6977D2"/>
        <w:spacing w:before="0"/>
        <w:jc w:val="both"/>
        <w:rPr>
          <w:rFonts w:ascii="Calibri" w:hAnsi="Calibri" w:cs="Calibri"/>
          <w:b/>
          <w:color w:val="FFFFFF"/>
          <w:sz w:val="22"/>
        </w:rPr>
      </w:pPr>
      <w:r w:rsidRPr="002B54A7">
        <w:rPr>
          <w:rFonts w:ascii="Calibri" w:hAnsi="Calibri" w:cs="Calibri"/>
          <w:b/>
          <w:color w:val="FFFFFF"/>
          <w:sz w:val="22"/>
        </w:rPr>
        <w:t>VISION: TB-Free India with zero deaths, disease and poverty due to TB</w:t>
      </w:r>
    </w:p>
    <w:p w14:paraId="18774CD8" w14:textId="77777777" w:rsidR="00FA0EA8" w:rsidRPr="002B54A7" w:rsidRDefault="00FA0EA8" w:rsidP="00FA0EA8">
      <w:pPr>
        <w:spacing w:before="0" w:after="0"/>
        <w:jc w:val="both"/>
        <w:rPr>
          <w:rFonts w:ascii="Calibri" w:hAnsi="Calibri" w:cs="Calibri"/>
          <w:sz w:val="16"/>
          <w:szCs w:val="16"/>
        </w:rPr>
      </w:pPr>
    </w:p>
    <w:p w14:paraId="33CBA973" w14:textId="77777777" w:rsidR="00FA0EA8" w:rsidRDefault="00FA0EA8" w:rsidP="00FA0EA8">
      <w:pPr>
        <w:shd w:val="clear" w:color="auto" w:fill="D1E0F3"/>
        <w:spacing w:before="0"/>
        <w:jc w:val="both"/>
      </w:pPr>
      <w:r w:rsidRPr="00734B6A">
        <w:rPr>
          <w:rFonts w:ascii="Calibri" w:hAnsi="Calibri" w:cs="Calibri"/>
          <w:b/>
          <w:bCs/>
          <w:sz w:val="22"/>
        </w:rPr>
        <w:t xml:space="preserve">GOAL: </w:t>
      </w:r>
      <w:r w:rsidRPr="00734B6A">
        <w:rPr>
          <w:rFonts w:ascii="Calibri" w:hAnsi="Calibri" w:cs="Calibri"/>
          <w:sz w:val="22"/>
        </w:rPr>
        <w:t xml:space="preserve">To achieve a rapid decline in burden of TB, morbidity and mortality </w:t>
      </w:r>
      <w:r>
        <w:rPr>
          <w:rFonts w:ascii="Calibri" w:hAnsi="Calibri" w:cs="Calibri"/>
          <w:sz w:val="22"/>
        </w:rPr>
        <w:t>to achieve the Sustainable Development Goals of 80% reduction in incidence and 90% reduction in deaths by</w:t>
      </w:r>
      <w:r w:rsidRPr="00734B6A">
        <w:rPr>
          <w:rFonts w:ascii="Calibri" w:hAnsi="Calibri" w:cs="Calibri"/>
          <w:sz w:val="22"/>
        </w:rPr>
        <w:t xml:space="preserve"> 2025</w:t>
      </w:r>
      <w:r>
        <w:rPr>
          <w:rFonts w:ascii="Calibri" w:hAnsi="Calibri" w:cs="Calibri"/>
          <w:sz w:val="22"/>
        </w:rPr>
        <w:t xml:space="preserve">; five years earlier of the global targets. </w:t>
      </w:r>
    </w:p>
    <w:p w14:paraId="27307659" w14:textId="77777777" w:rsidR="00FA0EA8" w:rsidRDefault="00FA0EA8" w:rsidP="00FA0EA8">
      <w:pPr>
        <w:spacing w:before="0" w:after="0"/>
        <w:jc w:val="both"/>
        <w:rPr>
          <w:rFonts w:ascii="Calibri" w:hAnsi="Calibri" w:cs="Calibri"/>
          <w:b/>
          <w:sz w:val="22"/>
        </w:rPr>
      </w:pPr>
      <w:r w:rsidRPr="00391D36">
        <w:rPr>
          <w:rFonts w:ascii="Calibri" w:hAnsi="Calibri" w:cs="Calibri"/>
          <w:b/>
          <w:sz w:val="22"/>
        </w:rPr>
        <w:t>Objectives</w:t>
      </w:r>
      <w:r>
        <w:rPr>
          <w:rFonts w:ascii="Calibri" w:hAnsi="Calibri" w:cs="Calibri"/>
          <w:b/>
          <w:sz w:val="22"/>
        </w:rPr>
        <w:t xml:space="preserve">: </w:t>
      </w:r>
    </w:p>
    <w:p w14:paraId="0938F872" w14:textId="77777777" w:rsidR="00FA0EA8" w:rsidRPr="002B54A7" w:rsidRDefault="00FA0EA8" w:rsidP="00FA0EA8">
      <w:pPr>
        <w:spacing w:before="0" w:after="0"/>
        <w:jc w:val="both"/>
        <w:rPr>
          <w:rFonts w:ascii="Calibri" w:hAnsi="Calibri" w:cs="Calibri"/>
          <w:sz w:val="16"/>
          <w:szCs w:val="16"/>
        </w:rPr>
      </w:pPr>
    </w:p>
    <w:p w14:paraId="699FE529" w14:textId="77777777" w:rsidR="00FA0EA8" w:rsidRDefault="00FA0EA8" w:rsidP="00FA0EA8">
      <w:pPr>
        <w:shd w:val="clear" w:color="auto" w:fill="F2F2F2"/>
        <w:spacing w:before="0" w:after="0"/>
        <w:jc w:val="both"/>
        <w:rPr>
          <w:rFonts w:ascii="Calibri" w:hAnsi="Calibri" w:cs="Calibri"/>
          <w:sz w:val="22"/>
        </w:rPr>
      </w:pPr>
      <w:r w:rsidRPr="00391D36">
        <w:rPr>
          <w:rFonts w:ascii="Calibri" w:hAnsi="Calibri" w:cs="Calibri"/>
          <w:b/>
          <w:sz w:val="22"/>
        </w:rPr>
        <w:t xml:space="preserve">Objective 1: </w:t>
      </w:r>
      <w:r w:rsidRPr="00391D36">
        <w:rPr>
          <w:rFonts w:ascii="Calibri" w:hAnsi="Calibri" w:cs="Calibri"/>
          <w:sz w:val="22"/>
        </w:rPr>
        <w:t xml:space="preserve">Build, strengthen and sustain enabling policies, empowered institutions, multi-sectoral collaborations, engaged communities, and human resources with enhanced capacities to create a supportive ecosystem which accelerates </w:t>
      </w:r>
      <w:r w:rsidRPr="003A5B69">
        <w:rPr>
          <w:rFonts w:ascii="Calibri" w:hAnsi="Calibri" w:cs="Calibri"/>
          <w:b/>
          <w:sz w:val="22"/>
        </w:rPr>
        <w:t>PREVENT – DETECT – TREAT</w:t>
      </w:r>
      <w:r>
        <w:rPr>
          <w:rFonts w:ascii="Calibri" w:hAnsi="Calibri" w:cs="Calibri"/>
          <w:sz w:val="22"/>
        </w:rPr>
        <w:t xml:space="preserve"> pillars to END TB.</w:t>
      </w:r>
    </w:p>
    <w:p w14:paraId="36273521" w14:textId="77777777" w:rsidR="00FA0EA8" w:rsidRPr="002B54A7" w:rsidRDefault="00FA0EA8" w:rsidP="00FA0EA8">
      <w:pPr>
        <w:spacing w:before="0" w:after="0"/>
        <w:jc w:val="both"/>
        <w:rPr>
          <w:rFonts w:ascii="Calibri" w:hAnsi="Calibri" w:cs="Calibri"/>
          <w:sz w:val="16"/>
          <w:szCs w:val="16"/>
        </w:rPr>
      </w:pPr>
    </w:p>
    <w:p w14:paraId="192E07A9" w14:textId="63E319DA" w:rsidR="00FA0EA8" w:rsidRDefault="00FA0EA8" w:rsidP="00FA0EA8">
      <w:pPr>
        <w:shd w:val="clear" w:color="auto" w:fill="F2F2F2"/>
        <w:spacing w:before="0" w:after="0"/>
        <w:jc w:val="both"/>
        <w:rPr>
          <w:rFonts w:ascii="Calibri" w:hAnsi="Calibri" w:cs="Calibri"/>
          <w:sz w:val="22"/>
        </w:rPr>
      </w:pPr>
      <w:r w:rsidRPr="00391D36">
        <w:rPr>
          <w:rFonts w:ascii="Calibri" w:hAnsi="Calibri" w:cs="Calibri"/>
          <w:b/>
          <w:sz w:val="22"/>
        </w:rPr>
        <w:t>Objective 2:</w:t>
      </w:r>
      <w:r w:rsidRPr="00391D36">
        <w:rPr>
          <w:rFonts w:ascii="Calibri" w:hAnsi="Calibri" w:cs="Calibri"/>
          <w:sz w:val="22"/>
        </w:rPr>
        <w:t xml:space="preserve"> Prevent the emergence of TB in </w:t>
      </w:r>
      <w:r>
        <w:rPr>
          <w:rFonts w:ascii="Calibri" w:hAnsi="Calibri" w:cs="Calibri"/>
          <w:sz w:val="22"/>
        </w:rPr>
        <w:t xml:space="preserve">vulnerable </w:t>
      </w:r>
      <w:r w:rsidRPr="00391D36">
        <w:rPr>
          <w:rFonts w:ascii="Calibri" w:hAnsi="Calibri" w:cs="Calibri"/>
          <w:sz w:val="22"/>
        </w:rPr>
        <w:t>populations.</w:t>
      </w:r>
    </w:p>
    <w:p w14:paraId="15E89B9D" w14:textId="77777777" w:rsidR="00FA0EA8" w:rsidRPr="002B54A7" w:rsidRDefault="00FA0EA8" w:rsidP="00FA0EA8">
      <w:pPr>
        <w:spacing w:before="0" w:after="0"/>
        <w:jc w:val="both"/>
        <w:rPr>
          <w:rFonts w:ascii="Calibri" w:hAnsi="Calibri" w:cs="Calibri"/>
          <w:sz w:val="16"/>
          <w:szCs w:val="16"/>
        </w:rPr>
      </w:pPr>
    </w:p>
    <w:p w14:paraId="17A698E0" w14:textId="716B94F8" w:rsidR="00FA0EA8" w:rsidRDefault="00FA0EA8" w:rsidP="00FA0EA8">
      <w:pPr>
        <w:shd w:val="clear" w:color="auto" w:fill="F2F2F2"/>
        <w:spacing w:before="0" w:after="0"/>
        <w:jc w:val="both"/>
        <w:rPr>
          <w:rFonts w:ascii="Calibri" w:hAnsi="Calibri" w:cs="Calibri"/>
          <w:sz w:val="22"/>
        </w:rPr>
      </w:pPr>
      <w:r w:rsidRPr="00391D36">
        <w:rPr>
          <w:rFonts w:ascii="Calibri" w:hAnsi="Calibri" w:cs="Calibri"/>
          <w:b/>
          <w:sz w:val="22"/>
        </w:rPr>
        <w:t xml:space="preserve">Objective 3: </w:t>
      </w:r>
      <w:r w:rsidRPr="00391D36">
        <w:rPr>
          <w:rFonts w:ascii="Calibri" w:hAnsi="Calibri" w:cs="Calibri"/>
          <w:sz w:val="22"/>
        </w:rPr>
        <w:t xml:space="preserve">Early identification of presumptive TB, at the first point of contact </w:t>
      </w:r>
      <w:r>
        <w:rPr>
          <w:rFonts w:ascii="Calibri" w:hAnsi="Calibri" w:cs="Calibri"/>
          <w:sz w:val="22"/>
        </w:rPr>
        <w:t>(</w:t>
      </w:r>
      <w:r w:rsidRPr="00391D36">
        <w:rPr>
          <w:rFonts w:ascii="Calibri" w:hAnsi="Calibri" w:cs="Calibri"/>
          <w:sz w:val="22"/>
        </w:rPr>
        <w:t>private or public sectors</w:t>
      </w:r>
      <w:r>
        <w:rPr>
          <w:rFonts w:ascii="Calibri" w:hAnsi="Calibri" w:cs="Calibri"/>
          <w:sz w:val="22"/>
        </w:rPr>
        <w:t>)</w:t>
      </w:r>
      <w:r w:rsidRPr="00391D36">
        <w:rPr>
          <w:rFonts w:ascii="Calibri" w:hAnsi="Calibri" w:cs="Calibri"/>
          <w:sz w:val="22"/>
        </w:rPr>
        <w:t>, and prompt diagnosis using high sensitivity diagnostic tests to provide universal access to quality TB diagnosis including drug resistant TB in the country.</w:t>
      </w:r>
    </w:p>
    <w:p w14:paraId="6D437DBF" w14:textId="77777777" w:rsidR="00FA0EA8" w:rsidRPr="002B54A7" w:rsidRDefault="00FA0EA8" w:rsidP="00FA0EA8">
      <w:pPr>
        <w:spacing w:before="0" w:after="0"/>
        <w:jc w:val="both"/>
        <w:rPr>
          <w:rFonts w:ascii="Calibri" w:hAnsi="Calibri" w:cs="Calibri"/>
          <w:sz w:val="16"/>
          <w:szCs w:val="16"/>
        </w:rPr>
      </w:pPr>
    </w:p>
    <w:p w14:paraId="513C0751" w14:textId="77777777" w:rsidR="00FA0EA8" w:rsidRDefault="00FA0EA8" w:rsidP="00FA0EA8">
      <w:pPr>
        <w:shd w:val="clear" w:color="auto" w:fill="F2F2F2"/>
        <w:spacing w:before="0"/>
        <w:jc w:val="both"/>
        <w:rPr>
          <w:rFonts w:ascii="Calibri" w:hAnsi="Calibri" w:cs="Calibri"/>
          <w:sz w:val="22"/>
        </w:rPr>
      </w:pPr>
      <w:r w:rsidRPr="00391D36">
        <w:rPr>
          <w:rFonts w:ascii="Calibri" w:hAnsi="Calibri" w:cs="Calibri"/>
          <w:b/>
          <w:sz w:val="22"/>
        </w:rPr>
        <w:t>Objective 4:</w:t>
      </w:r>
      <w:r w:rsidRPr="00391D36">
        <w:rPr>
          <w:rFonts w:ascii="Calibri" w:hAnsi="Calibri" w:cs="Calibri"/>
          <w:sz w:val="22"/>
        </w:rPr>
        <w:t xml:space="preserve"> Initiate and sustain, equitable access to </w:t>
      </w:r>
      <w:r>
        <w:rPr>
          <w:rFonts w:ascii="Calibri" w:hAnsi="Calibri" w:cs="Calibri"/>
          <w:sz w:val="22"/>
        </w:rPr>
        <w:t xml:space="preserve">free </w:t>
      </w:r>
      <w:r w:rsidRPr="00391D36">
        <w:rPr>
          <w:rFonts w:ascii="Calibri" w:hAnsi="Calibri" w:cs="Calibri"/>
          <w:sz w:val="22"/>
        </w:rPr>
        <w:t>high quality TB treatment, care and support services responsive to the community needs  thereby protecting the population especially the poor and vulnerable from TB related morbidity</w:t>
      </w:r>
      <w:r>
        <w:rPr>
          <w:rFonts w:ascii="Calibri" w:hAnsi="Calibri" w:cs="Calibri"/>
          <w:sz w:val="22"/>
        </w:rPr>
        <w:t xml:space="preserve"> and</w:t>
      </w:r>
      <w:r w:rsidRPr="00391D36">
        <w:rPr>
          <w:rFonts w:ascii="Calibri" w:hAnsi="Calibri" w:cs="Calibri"/>
          <w:sz w:val="22"/>
        </w:rPr>
        <w:t xml:space="preserve"> mortality</w:t>
      </w:r>
      <w:r>
        <w:rPr>
          <w:rFonts w:ascii="Calibri" w:hAnsi="Calibri" w:cs="Calibri"/>
          <w:sz w:val="22"/>
        </w:rPr>
        <w:t>.</w:t>
      </w:r>
      <w:r w:rsidRPr="00391D36">
        <w:rPr>
          <w:rFonts w:ascii="Calibri" w:hAnsi="Calibri" w:cs="Calibri"/>
          <w:sz w:val="22"/>
        </w:rPr>
        <w:t>.</w:t>
      </w:r>
    </w:p>
    <w:p w14:paraId="06F17CE1" w14:textId="71482969" w:rsidR="00FA0EA8" w:rsidRDefault="00FA0EA8" w:rsidP="00FA0EA8">
      <w:pPr>
        <w:spacing w:before="0" w:after="0"/>
        <w:jc w:val="both"/>
        <w:rPr>
          <w:rFonts w:ascii="Calibri" w:hAnsi="Calibri" w:cs="Calibri"/>
          <w:sz w:val="22"/>
        </w:rPr>
      </w:pPr>
      <w:r>
        <w:rPr>
          <w:rFonts w:ascii="Calibri" w:hAnsi="Calibri" w:cs="Calibri"/>
          <w:sz w:val="22"/>
        </w:rPr>
        <w:t xml:space="preserve">The NSP objectives are translated into four pillars that represent the consolidated NSP 2020-25 strategies and interventions. The four pillars of BUILD-PREVENT-DETECT-TREAT (BDPT) encompass all that is required to achieve the goals of the NSP. TB elimination requires the country to BUILD strong foundations for PREVENT-DETECT-TREAT components of the programme. These cut across all areas of NTEP activities and is critical in building an enabling environment that enhances the </w:t>
      </w:r>
      <w:r w:rsidRPr="004F055E">
        <w:rPr>
          <w:rFonts w:ascii="Calibri" w:hAnsi="Calibri" w:cs="Calibri"/>
          <w:sz w:val="22"/>
        </w:rPr>
        <w:t xml:space="preserve">performance of </w:t>
      </w:r>
      <w:r>
        <w:rPr>
          <w:rFonts w:ascii="Calibri" w:hAnsi="Calibri" w:cs="Calibri"/>
          <w:sz w:val="22"/>
        </w:rPr>
        <w:t>the programme</w:t>
      </w:r>
      <w:r w:rsidRPr="004F055E">
        <w:rPr>
          <w:rFonts w:ascii="Calibri" w:hAnsi="Calibri" w:cs="Calibri"/>
          <w:sz w:val="22"/>
        </w:rPr>
        <w:t xml:space="preserve">, ensuring quality, equity, efficiency, accountability, resilience, and sustainability in the delivery of </w:t>
      </w:r>
      <w:r>
        <w:rPr>
          <w:rFonts w:ascii="Calibri" w:hAnsi="Calibri" w:cs="Calibri"/>
          <w:sz w:val="22"/>
        </w:rPr>
        <w:t>TB care</w:t>
      </w:r>
      <w:r w:rsidRPr="004F055E">
        <w:rPr>
          <w:rFonts w:ascii="Calibri" w:hAnsi="Calibri" w:cs="Calibri"/>
          <w:sz w:val="22"/>
        </w:rPr>
        <w:t xml:space="preserve"> services</w:t>
      </w:r>
      <w:r>
        <w:rPr>
          <w:rFonts w:ascii="Calibri" w:hAnsi="Calibri" w:cs="Calibri"/>
          <w:sz w:val="22"/>
        </w:rPr>
        <w:t>.</w:t>
      </w:r>
    </w:p>
    <w:p w14:paraId="79507E08" w14:textId="77777777" w:rsidR="00FA0EA8" w:rsidRDefault="00FA0EA8" w:rsidP="00FA0EA8">
      <w:pPr>
        <w:spacing w:before="0" w:after="0"/>
        <w:jc w:val="both"/>
        <w:rPr>
          <w:rFonts w:ascii="Calibri" w:hAnsi="Calibri" w:cs="Calibri"/>
          <w:sz w:val="22"/>
        </w:rPr>
      </w:pPr>
      <w:r>
        <w:rPr>
          <w:rFonts w:ascii="Calibri" w:hAnsi="Calibri" w:cs="Calibri"/>
          <w:sz w:val="22"/>
        </w:rPr>
        <w:t>The NTEP is aware and acknowledges that r</w:t>
      </w:r>
      <w:r w:rsidRPr="008305B9">
        <w:rPr>
          <w:rFonts w:ascii="Calibri" w:hAnsi="Calibri" w:cs="Calibri"/>
          <w:sz w:val="22"/>
        </w:rPr>
        <w:t>esilient and sustainable systems for health are an essential building block of universal health coverage</w:t>
      </w:r>
      <w:r>
        <w:rPr>
          <w:rFonts w:ascii="Calibri" w:hAnsi="Calibri" w:cs="Calibri"/>
          <w:sz w:val="22"/>
        </w:rPr>
        <w:t>, of which TB care is a part</w:t>
      </w:r>
      <w:r w:rsidRPr="008305B9">
        <w:rPr>
          <w:rFonts w:ascii="Calibri" w:hAnsi="Calibri" w:cs="Calibri"/>
          <w:sz w:val="22"/>
        </w:rPr>
        <w:t>.</w:t>
      </w:r>
      <w:r>
        <w:rPr>
          <w:rFonts w:ascii="Calibri" w:hAnsi="Calibri" w:cs="Calibri"/>
          <w:sz w:val="22"/>
        </w:rPr>
        <w:t xml:space="preserve"> Hence in this NSP 2020-25, it envisages to facilitate health systems strengthening and at the same time leverage the strengths of the current systems to implement its interventions</w:t>
      </w:r>
      <w:r w:rsidRPr="008305B9">
        <w:rPr>
          <w:rFonts w:ascii="Calibri" w:hAnsi="Calibri" w:cs="Calibri"/>
          <w:sz w:val="22"/>
        </w:rPr>
        <w:t>.</w:t>
      </w:r>
    </w:p>
    <w:p w14:paraId="1FFFDEE3" w14:textId="7852CCE1" w:rsidR="00FA0EA8" w:rsidRDefault="00FA0EA8" w:rsidP="00FA0EA8">
      <w:pPr>
        <w:spacing w:before="0" w:after="0"/>
        <w:jc w:val="both"/>
        <w:rPr>
          <w:rFonts w:ascii="Calibri" w:hAnsi="Calibri" w:cs="Calibri"/>
          <w:sz w:val="22"/>
        </w:rPr>
      </w:pPr>
      <w:r>
        <w:rPr>
          <w:rFonts w:ascii="Calibri" w:hAnsi="Calibri" w:cs="Calibri"/>
          <w:sz w:val="22"/>
        </w:rPr>
        <w:t xml:space="preserve">The schematic diagram below represents the foundational pillar of BUILD with its cross cutting components at the bottom on which rest the core TB care activities represented by the pillars of PREVENT, DETECT and TREAT.  The NSP pillars are deliberately reconfigured in the current order of </w:t>
      </w:r>
      <w:r>
        <w:rPr>
          <w:rFonts w:ascii="Calibri" w:eastAsia="Times New Roman" w:hAnsi="Calibri" w:cs="Calibri"/>
          <w:sz w:val="22"/>
          <w:lang w:val="en-GB"/>
        </w:rPr>
        <w:t xml:space="preserve">B-D-P-T (D-T-P-B </w:t>
      </w:r>
      <w:r>
        <w:rPr>
          <w:rFonts w:ascii="Calibri" w:hAnsi="Calibri" w:cs="Calibri"/>
          <w:sz w:val="22"/>
        </w:rPr>
        <w:t>in the NSP 2017</w:t>
      </w:r>
      <w:r w:rsidR="00E20F7B">
        <w:rPr>
          <w:rFonts w:ascii="Calibri" w:hAnsi="Calibri" w:cs="Calibri"/>
          <w:sz w:val="22"/>
        </w:rPr>
        <w:t>-</w:t>
      </w:r>
      <w:r>
        <w:rPr>
          <w:rFonts w:ascii="Calibri" w:hAnsi="Calibri" w:cs="Calibri"/>
          <w:sz w:val="22"/>
        </w:rPr>
        <w:t>25) to allow for greater focus on systems level solutions.</w:t>
      </w:r>
    </w:p>
    <w:p w14:paraId="3616662F" w14:textId="77777777" w:rsidR="00FA0EA8" w:rsidRDefault="00FA0EA8" w:rsidP="00FA0EA8">
      <w:pPr>
        <w:spacing w:before="0" w:after="0"/>
        <w:jc w:val="both"/>
        <w:rPr>
          <w:rFonts w:ascii="Calibri" w:hAnsi="Calibri" w:cs="Calibri"/>
          <w:sz w:val="22"/>
        </w:rPr>
      </w:pPr>
    </w:p>
    <w:p w14:paraId="145AEA00" w14:textId="76965DB0" w:rsidR="00FA0EA8" w:rsidRPr="00E34AC7" w:rsidRDefault="00FA0EA8" w:rsidP="00FA0EA8">
      <w:pPr>
        <w:spacing w:before="0" w:after="0"/>
        <w:jc w:val="both"/>
        <w:rPr>
          <w:rFonts w:ascii="Calibri" w:eastAsia="Times New Roman" w:hAnsi="Calibri" w:cs="Calibri"/>
          <w:b/>
          <w:szCs w:val="16"/>
        </w:rPr>
      </w:pPr>
      <w:r w:rsidRPr="00E34AC7">
        <w:rPr>
          <w:rFonts w:ascii="Calibri" w:eastAsia="Times New Roman" w:hAnsi="Calibri" w:cs="Calibri"/>
          <w:b/>
          <w:szCs w:val="16"/>
        </w:rPr>
        <w:lastRenderedPageBreak/>
        <w:t>Figure 1</w:t>
      </w:r>
      <w:r w:rsidR="00E34AC7" w:rsidRPr="00E34AC7">
        <w:rPr>
          <w:rFonts w:ascii="Calibri" w:eastAsia="Times New Roman" w:hAnsi="Calibri" w:cs="Calibri"/>
          <w:b/>
          <w:szCs w:val="16"/>
        </w:rPr>
        <w:t>6</w:t>
      </w:r>
      <w:r w:rsidRPr="00E34AC7">
        <w:rPr>
          <w:rFonts w:ascii="Calibri" w:eastAsia="Times New Roman" w:hAnsi="Calibri" w:cs="Calibri"/>
          <w:b/>
          <w:szCs w:val="16"/>
        </w:rPr>
        <w:t>: Pillars and strategies of the NSP 2020</w:t>
      </w:r>
      <w:r w:rsidR="00E20F7B" w:rsidRPr="00E34AC7">
        <w:rPr>
          <w:rFonts w:ascii="Calibri" w:eastAsia="Times New Roman" w:hAnsi="Calibri" w:cs="Calibri"/>
          <w:b/>
          <w:szCs w:val="16"/>
        </w:rPr>
        <w:t>-</w:t>
      </w:r>
      <w:r w:rsidRPr="00E34AC7">
        <w:rPr>
          <w:rFonts w:ascii="Calibri" w:eastAsia="Times New Roman" w:hAnsi="Calibri" w:cs="Calibri"/>
          <w:b/>
          <w:szCs w:val="16"/>
        </w:rPr>
        <w:t>25</w:t>
      </w:r>
    </w:p>
    <w:p w14:paraId="7ECFBC11" w14:textId="17758615" w:rsidR="00FA0EA8" w:rsidRDefault="00FA0EA8" w:rsidP="00FA0EA8">
      <w:pPr>
        <w:spacing w:after="0"/>
        <w:jc w:val="both"/>
        <w:rPr>
          <w:rFonts w:ascii="Calibri" w:hAnsi="Calibri" w:cs="Calibri"/>
          <w:sz w:val="22"/>
        </w:rPr>
      </w:pPr>
      <w:r w:rsidRPr="00303A02">
        <w:rPr>
          <w:rFonts w:ascii="Calibri" w:hAnsi="Calibri" w:cs="Calibri"/>
          <w:noProof/>
          <w:sz w:val="22"/>
          <w:lang w:val="en-IN" w:eastAsia="en-IN"/>
        </w:rPr>
        <w:drawing>
          <wp:inline distT="0" distB="0" distL="0" distR="0" wp14:anchorId="514654E5" wp14:editId="36AA2428">
            <wp:extent cx="5734050" cy="3581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3581400"/>
                    </a:xfrm>
                    <a:prstGeom prst="rect">
                      <a:avLst/>
                    </a:prstGeom>
                    <a:noFill/>
                    <a:ln>
                      <a:noFill/>
                    </a:ln>
                  </pic:spPr>
                </pic:pic>
              </a:graphicData>
            </a:graphic>
          </wp:inline>
        </w:drawing>
      </w:r>
    </w:p>
    <w:p w14:paraId="026ECF9E" w14:textId="235507C0" w:rsidR="00FA0EA8" w:rsidRPr="00D03061" w:rsidRDefault="00FA0EA8" w:rsidP="00FA0EA8">
      <w:pPr>
        <w:jc w:val="both"/>
        <w:rPr>
          <w:rFonts w:ascii="Calibri" w:hAnsi="Calibri" w:cs="Calibri"/>
          <w:b/>
          <w:color w:val="C86A07"/>
          <w:sz w:val="28"/>
          <w:lang w:val="en"/>
        </w:rPr>
      </w:pPr>
      <w:r>
        <w:rPr>
          <w:rFonts w:ascii="Calibri" w:hAnsi="Calibri"/>
          <w:sz w:val="22"/>
        </w:rPr>
        <w:t xml:space="preserve">While the pillars remain the same, it must be noted that the pillars in NSP </w:t>
      </w:r>
      <w:r w:rsidR="00E20F7B">
        <w:rPr>
          <w:rFonts w:ascii="Calibri" w:hAnsi="Calibri"/>
          <w:sz w:val="22"/>
        </w:rPr>
        <w:t>2020-25</w:t>
      </w:r>
      <w:r>
        <w:rPr>
          <w:rFonts w:ascii="Calibri" w:hAnsi="Calibri"/>
          <w:sz w:val="22"/>
        </w:rPr>
        <w:t xml:space="preserve">has been reconfigured in </w:t>
      </w:r>
      <w:r w:rsidRPr="009B2375">
        <w:rPr>
          <w:rFonts w:ascii="Calibri" w:hAnsi="Calibri"/>
          <w:b/>
          <w:sz w:val="22"/>
        </w:rPr>
        <w:t>BUILD–PREVENT–DETECT-TREAT</w:t>
      </w:r>
      <w:r>
        <w:rPr>
          <w:rFonts w:ascii="Calibri" w:hAnsi="Calibri"/>
          <w:b/>
          <w:sz w:val="22"/>
        </w:rPr>
        <w:t xml:space="preserve"> </w:t>
      </w:r>
      <w:r w:rsidRPr="009B2375">
        <w:rPr>
          <w:rFonts w:ascii="Calibri" w:hAnsi="Calibri"/>
          <w:sz w:val="22"/>
        </w:rPr>
        <w:t>sequence</w:t>
      </w:r>
      <w:r>
        <w:rPr>
          <w:rFonts w:ascii="Calibri" w:hAnsi="Calibri"/>
          <w:sz w:val="22"/>
        </w:rPr>
        <w:t>.</w:t>
      </w:r>
    </w:p>
    <w:p w14:paraId="701F8230" w14:textId="77777777" w:rsidR="00FA0EA8" w:rsidRPr="00EC3830" w:rsidRDefault="00FA0EA8" w:rsidP="00442A67">
      <w:pPr>
        <w:pStyle w:val="ListParagraph"/>
        <w:numPr>
          <w:ilvl w:val="1"/>
          <w:numId w:val="19"/>
        </w:numPr>
        <w:ind w:left="432"/>
        <w:contextualSpacing w:val="0"/>
        <w:jc w:val="both"/>
        <w:rPr>
          <w:rFonts w:ascii="Calibri" w:hAnsi="Calibri" w:cs="Calibri"/>
          <w:b/>
          <w:color w:val="C86A07"/>
          <w:sz w:val="28"/>
          <w:lang w:val="en"/>
        </w:rPr>
      </w:pPr>
      <w:r w:rsidRPr="00EC3830">
        <w:rPr>
          <w:rFonts w:ascii="Calibri" w:hAnsi="Calibri" w:cs="Calibri"/>
          <w:b/>
          <w:color w:val="C86A07"/>
          <w:sz w:val="28"/>
          <w:lang w:val="en"/>
        </w:rPr>
        <w:t xml:space="preserve"> The NSP strategic framework</w:t>
      </w:r>
    </w:p>
    <w:p w14:paraId="03D26893" w14:textId="77777777" w:rsidR="00FA0EA8" w:rsidRDefault="00FA0EA8" w:rsidP="00FA0EA8">
      <w:pPr>
        <w:spacing w:after="0"/>
        <w:jc w:val="both"/>
        <w:rPr>
          <w:rFonts w:ascii="Calibri" w:hAnsi="Calibri" w:cs="Calibri"/>
          <w:sz w:val="22"/>
        </w:rPr>
      </w:pPr>
      <w:r w:rsidRPr="005B3DFE">
        <w:rPr>
          <w:rFonts w:ascii="Calibri" w:hAnsi="Calibri" w:cs="Calibri"/>
          <w:sz w:val="22"/>
        </w:rPr>
        <w:t>Significant progress has been made towards achieving the objectives laid down in the NSP</w:t>
      </w:r>
      <w:r>
        <w:rPr>
          <w:rFonts w:ascii="Calibri" w:hAnsi="Calibri" w:cs="Calibri"/>
          <w:sz w:val="22"/>
        </w:rPr>
        <w:t xml:space="preserve"> 2017-25,</w:t>
      </w:r>
      <w:r w:rsidRPr="005B3DFE">
        <w:rPr>
          <w:rFonts w:ascii="Calibri" w:hAnsi="Calibri" w:cs="Calibri"/>
          <w:sz w:val="22"/>
        </w:rPr>
        <w:t xml:space="preserve"> especially in the last 3 years</w:t>
      </w:r>
      <w:r w:rsidRPr="00A41DF5">
        <w:rPr>
          <w:rFonts w:ascii="Calibri" w:hAnsi="Calibri" w:cs="Calibri"/>
          <w:sz w:val="22"/>
        </w:rPr>
        <w:t xml:space="preserve">. The 2019 JMM provided </w:t>
      </w:r>
      <w:r>
        <w:rPr>
          <w:rFonts w:ascii="Calibri" w:hAnsi="Calibri" w:cs="Calibri"/>
          <w:sz w:val="22"/>
        </w:rPr>
        <w:t>NTEP</w:t>
      </w:r>
      <w:r w:rsidRPr="00A41DF5">
        <w:rPr>
          <w:rFonts w:ascii="Calibri" w:hAnsi="Calibri" w:cs="Calibri"/>
          <w:sz w:val="22"/>
        </w:rPr>
        <w:t xml:space="preserve"> with direction on the way forward to accelerate the progress towards ending TB. It recommended comprehensively deployed interventions to accelerate the decline in TB incidence, to </w:t>
      </w:r>
      <w:r w:rsidRPr="003B0BA2">
        <w:rPr>
          <w:rFonts w:ascii="Calibri" w:hAnsi="Calibri" w:cs="Calibri"/>
          <w:sz w:val="22"/>
        </w:rPr>
        <w:t>more than 6 - 7 % annually to achieve the 2030 SDG by 2025.   The prerequisites for moving towards ending</w:t>
      </w:r>
      <w:r w:rsidRPr="00A41DF5">
        <w:rPr>
          <w:rFonts w:ascii="Calibri" w:hAnsi="Calibri" w:cs="Calibri"/>
          <w:sz w:val="22"/>
        </w:rPr>
        <w:t xml:space="preserve"> TB and ultimately TB elimination have been integrated into the four strategic pillars of </w:t>
      </w:r>
      <w:r w:rsidRPr="00A41DF5">
        <w:rPr>
          <w:rFonts w:ascii="Calibri" w:hAnsi="Calibri" w:cs="Calibri"/>
          <w:b/>
          <w:sz w:val="22"/>
        </w:rPr>
        <w:t xml:space="preserve">BUILD - PREVENT - DETECT – TREAT </w:t>
      </w:r>
      <w:r w:rsidRPr="00A41DF5">
        <w:rPr>
          <w:rFonts w:ascii="Calibri" w:hAnsi="Calibri" w:cs="Calibri"/>
          <w:sz w:val="22"/>
        </w:rPr>
        <w:t>to accelerate the achievement of programme goals</w:t>
      </w:r>
      <w:r w:rsidRPr="00A41DF5">
        <w:rPr>
          <w:rFonts w:ascii="Calibri" w:hAnsi="Calibri" w:cs="Calibri"/>
          <w:b/>
          <w:sz w:val="22"/>
        </w:rPr>
        <w:t xml:space="preserve">. </w:t>
      </w:r>
      <w:r w:rsidRPr="00A41DF5">
        <w:rPr>
          <w:rFonts w:ascii="Calibri" w:hAnsi="Calibri" w:cs="Calibri"/>
          <w:sz w:val="22"/>
        </w:rPr>
        <w:t xml:space="preserve">The following table describes the renewed approach to END TB in the country. </w:t>
      </w:r>
    </w:p>
    <w:p w14:paraId="652DD955" w14:textId="1F3F71A8" w:rsidR="0085017B" w:rsidRPr="0085017B" w:rsidRDefault="00E34AC7" w:rsidP="00FA0EA8">
      <w:pPr>
        <w:spacing w:after="0"/>
        <w:jc w:val="both"/>
        <w:rPr>
          <w:rFonts w:asciiTheme="minorHAnsi" w:hAnsiTheme="minorHAnsi" w:cstheme="minorHAnsi"/>
          <w:b/>
          <w:szCs w:val="18"/>
        </w:rPr>
      </w:pPr>
      <w:r>
        <w:rPr>
          <w:rFonts w:asciiTheme="minorHAnsi" w:hAnsiTheme="minorHAnsi" w:cstheme="minorHAnsi"/>
          <w:b/>
          <w:szCs w:val="18"/>
        </w:rPr>
        <w:t>Table 8</w:t>
      </w:r>
      <w:r w:rsidR="0085017B" w:rsidRPr="0085017B">
        <w:rPr>
          <w:rFonts w:asciiTheme="minorHAnsi" w:hAnsiTheme="minorHAnsi" w:cstheme="minorHAnsi"/>
          <w:b/>
          <w:szCs w:val="18"/>
        </w:rPr>
        <w:t>:</w:t>
      </w:r>
      <w:r w:rsidR="0085017B">
        <w:rPr>
          <w:rFonts w:asciiTheme="minorHAnsi" w:hAnsiTheme="minorHAnsi" w:cstheme="minorHAnsi"/>
          <w:b/>
          <w:szCs w:val="18"/>
        </w:rPr>
        <w:t xml:space="preserve"> Pillars,</w:t>
      </w:r>
      <w:r w:rsidR="0085017B" w:rsidRPr="0085017B">
        <w:rPr>
          <w:rFonts w:asciiTheme="minorHAnsi" w:hAnsiTheme="minorHAnsi" w:cstheme="minorHAnsi"/>
          <w:b/>
          <w:szCs w:val="18"/>
        </w:rPr>
        <w:t xml:space="preserve"> </w:t>
      </w:r>
      <w:r w:rsidR="0085017B">
        <w:rPr>
          <w:rFonts w:asciiTheme="minorHAnsi" w:hAnsiTheme="minorHAnsi" w:cstheme="minorHAnsi"/>
          <w:b/>
          <w:szCs w:val="18"/>
        </w:rPr>
        <w:t>Objectives, Strategic area and Interventions in the NSP 2021-25</w:t>
      </w:r>
      <w:r w:rsidR="0085017B" w:rsidRPr="0085017B">
        <w:rPr>
          <w:rFonts w:asciiTheme="minorHAnsi" w:hAnsiTheme="minorHAnsi" w:cstheme="minorHAnsi"/>
          <w:b/>
          <w:szCs w:val="18"/>
        </w:rPr>
        <w:t xml:space="preserve"> </w:t>
      </w:r>
    </w:p>
    <w:tbl>
      <w:tblPr>
        <w:tblW w:w="9090" w:type="dxa"/>
        <w:tblInd w:w="-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4" w:type="dxa"/>
          <w:left w:w="43" w:type="dxa"/>
          <w:right w:w="0" w:type="dxa"/>
        </w:tblCellMar>
        <w:tblLook w:val="04A0" w:firstRow="1" w:lastRow="0" w:firstColumn="1" w:lastColumn="0" w:noHBand="0" w:noVBand="1"/>
      </w:tblPr>
      <w:tblGrid>
        <w:gridCol w:w="3170"/>
        <w:gridCol w:w="3005"/>
        <w:gridCol w:w="2915"/>
      </w:tblGrid>
      <w:tr w:rsidR="00FA0EA8" w:rsidRPr="00360D82" w14:paraId="0D0D874B" w14:textId="77777777" w:rsidTr="00644DE5">
        <w:trPr>
          <w:trHeight w:val="364"/>
        </w:trPr>
        <w:tc>
          <w:tcPr>
            <w:tcW w:w="9090" w:type="dxa"/>
            <w:gridSpan w:val="3"/>
            <w:shd w:val="clear" w:color="auto" w:fill="0F243E"/>
            <w:tcMar>
              <w:top w:w="14" w:type="dxa"/>
              <w:left w:w="43" w:type="dxa"/>
              <w:bottom w:w="14" w:type="dxa"/>
            </w:tcMar>
          </w:tcPr>
          <w:p w14:paraId="3A0280A2"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PILLAR 1:     B U I L D,    S T R E N G T H E N    A N D    S U S T A I N    A N    E N A B L I N G   E N V I R O N M E N T   F O R    T B    E L I M I N A T I O N</w:t>
            </w:r>
          </w:p>
        </w:tc>
      </w:tr>
      <w:tr w:rsidR="00FA0EA8" w:rsidRPr="00360D82" w14:paraId="76FB2BE9" w14:textId="77777777" w:rsidTr="00644DE5">
        <w:trPr>
          <w:trHeight w:val="121"/>
        </w:trPr>
        <w:tc>
          <w:tcPr>
            <w:tcW w:w="9090" w:type="dxa"/>
            <w:gridSpan w:val="3"/>
            <w:shd w:val="clear" w:color="auto" w:fill="0F243E"/>
            <w:tcMar>
              <w:top w:w="14" w:type="dxa"/>
              <w:left w:w="43" w:type="dxa"/>
              <w:bottom w:w="14" w:type="dxa"/>
            </w:tcMar>
          </w:tcPr>
          <w:p w14:paraId="5B0C03D0"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 xml:space="preserve">Objective 1. Build, strengthen and sustain enabling policies, empowered institutions, multi-sectoral collaborations, engaged communities, and human resources with enhanced capacities to create a supportive ecosystem which accelerates PREVENT – DETECT – TREAT  pillars of the NSP      </w:t>
            </w:r>
          </w:p>
        </w:tc>
      </w:tr>
      <w:tr w:rsidR="00FA0EA8" w:rsidRPr="00360D82" w14:paraId="7E787F0F" w14:textId="77777777" w:rsidTr="00644DE5">
        <w:trPr>
          <w:trHeight w:val="66"/>
        </w:trPr>
        <w:tc>
          <w:tcPr>
            <w:tcW w:w="3170" w:type="dxa"/>
            <w:shd w:val="clear" w:color="auto" w:fill="4381CF"/>
            <w:tcMar>
              <w:top w:w="14" w:type="dxa"/>
              <w:left w:w="43" w:type="dxa"/>
              <w:bottom w:w="14" w:type="dxa"/>
            </w:tcMar>
          </w:tcPr>
          <w:p w14:paraId="1CD07252"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 xml:space="preserve">S R A T E G I C   A R E A : </w:t>
            </w:r>
          </w:p>
          <w:p w14:paraId="03BE8431" w14:textId="77777777" w:rsidR="00FA0EA8" w:rsidRPr="00360D82" w:rsidRDefault="00FA0EA8" w:rsidP="00644DE5">
            <w:pPr>
              <w:spacing w:before="0" w:after="0" w:line="230" w:lineRule="auto"/>
              <w:jc w:val="both"/>
              <w:rPr>
                <w:rFonts w:ascii="Calibri" w:eastAsia="Times New Roman" w:hAnsi="Calibri" w:cs="Calibri"/>
                <w:b/>
                <w:color w:val="FFFFFF"/>
                <w:kern w:val="24"/>
                <w:sz w:val="22"/>
                <w:lang w:val="pt-PT" w:eastAsia="en-IN"/>
              </w:rPr>
            </w:pPr>
            <w:r w:rsidRPr="00360D82">
              <w:rPr>
                <w:rFonts w:ascii="Calibri" w:eastAsia="Times New Roman" w:hAnsi="Calibri" w:cs="Calibri"/>
                <w:b/>
                <w:bCs/>
                <w:color w:val="FFFFFF"/>
                <w:kern w:val="24"/>
                <w:sz w:val="22"/>
                <w:lang w:eastAsia="en-IN"/>
              </w:rPr>
              <w:t>1 . 1  to  1 . 1 4</w:t>
            </w:r>
          </w:p>
        </w:tc>
        <w:tc>
          <w:tcPr>
            <w:tcW w:w="5920" w:type="dxa"/>
            <w:gridSpan w:val="2"/>
            <w:shd w:val="clear" w:color="auto" w:fill="4381CF"/>
          </w:tcPr>
          <w:p w14:paraId="3EE1FB75" w14:textId="77777777" w:rsidR="00FA0EA8" w:rsidRPr="00360D82" w:rsidRDefault="00FA0EA8" w:rsidP="00644DE5">
            <w:pPr>
              <w:spacing w:before="0" w:after="0" w:line="230" w:lineRule="auto"/>
              <w:ind w:right="107"/>
              <w:jc w:val="both"/>
              <w:rPr>
                <w:rFonts w:ascii="Calibri" w:eastAsia="Times New Roman" w:hAnsi="Calibri" w:cs="Calibri"/>
                <w:b/>
                <w:color w:val="FFFFFF"/>
                <w:kern w:val="24"/>
                <w:sz w:val="22"/>
                <w:lang w:val="pt-PT" w:eastAsia="en-IN"/>
              </w:rPr>
            </w:pPr>
            <w:r w:rsidRPr="00360D82">
              <w:rPr>
                <w:rFonts w:ascii="Calibri" w:hAnsi="Calibri" w:cs="Calibri"/>
                <w:b/>
                <w:color w:val="FFFFFF"/>
                <w:kern w:val="24"/>
                <w:sz w:val="22"/>
                <w:lang w:eastAsia="en-IN"/>
              </w:rPr>
              <w:t>I N T E R V E N T I O N S</w:t>
            </w:r>
          </w:p>
        </w:tc>
      </w:tr>
      <w:tr w:rsidR="00FA0EA8" w:rsidRPr="00360D82" w14:paraId="057FCD2A" w14:textId="77777777" w:rsidTr="00644DE5">
        <w:trPr>
          <w:trHeight w:val="46"/>
        </w:trPr>
        <w:tc>
          <w:tcPr>
            <w:tcW w:w="3170" w:type="dxa"/>
            <w:shd w:val="clear" w:color="auto" w:fill="E5E5E5"/>
            <w:tcMar>
              <w:top w:w="14" w:type="dxa"/>
              <w:left w:w="43" w:type="dxa"/>
              <w:bottom w:w="14" w:type="dxa"/>
              <w:right w:w="76" w:type="dxa"/>
            </w:tcMar>
          </w:tcPr>
          <w:p w14:paraId="6FAF4E32"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sz w:val="22"/>
              </w:rPr>
            </w:pPr>
            <w:r w:rsidRPr="00303A02">
              <w:rPr>
                <w:rFonts w:ascii="Calibri" w:hAnsi="Calibri" w:cs="Calibri"/>
                <w:kern w:val="24"/>
                <w:sz w:val="22"/>
                <w:lang w:eastAsia="en-IN"/>
              </w:rPr>
              <w:t xml:space="preserve">Ensure a fully funded NSP </w:t>
            </w:r>
          </w:p>
        </w:tc>
        <w:tc>
          <w:tcPr>
            <w:tcW w:w="5920" w:type="dxa"/>
            <w:gridSpan w:val="2"/>
            <w:shd w:val="clear" w:color="auto" w:fill="E5E5E5"/>
          </w:tcPr>
          <w:p w14:paraId="3357B5CC" w14:textId="77777777" w:rsidR="00FA0EA8" w:rsidRPr="00360D82" w:rsidRDefault="00FA0EA8" w:rsidP="00644DE5">
            <w:pPr>
              <w:spacing w:before="0" w:after="0" w:line="230" w:lineRule="auto"/>
              <w:ind w:right="107"/>
              <w:rPr>
                <w:rFonts w:ascii="Calibri" w:hAnsi="Calibri" w:cs="Calibri"/>
                <w:sz w:val="22"/>
              </w:rPr>
            </w:pPr>
            <w:r w:rsidRPr="00360D82">
              <w:rPr>
                <w:rFonts w:ascii="Calibri" w:hAnsi="Calibri" w:cs="Calibri"/>
                <w:sz w:val="22"/>
              </w:rPr>
              <w:t>1.1.1 Improve health financing</w:t>
            </w:r>
          </w:p>
          <w:p w14:paraId="46E620A9" w14:textId="77777777" w:rsidR="00FA0EA8" w:rsidRPr="00360D82" w:rsidRDefault="00FA0EA8" w:rsidP="00644DE5">
            <w:pPr>
              <w:spacing w:before="0" w:after="0" w:line="230" w:lineRule="auto"/>
              <w:ind w:right="107"/>
              <w:rPr>
                <w:rFonts w:ascii="Calibri" w:hAnsi="Calibri" w:cs="Calibri"/>
                <w:sz w:val="22"/>
              </w:rPr>
            </w:pPr>
            <w:r w:rsidRPr="00360D82">
              <w:rPr>
                <w:rFonts w:ascii="Calibri" w:hAnsi="Calibri" w:cs="Calibri"/>
                <w:sz w:val="22"/>
              </w:rPr>
              <w:t>1.1.2 Improve financial flow</w:t>
            </w:r>
          </w:p>
        </w:tc>
      </w:tr>
      <w:tr w:rsidR="00FA0EA8" w:rsidRPr="00360D82" w14:paraId="012612F4" w14:textId="77777777" w:rsidTr="00644DE5">
        <w:trPr>
          <w:trHeight w:val="35"/>
        </w:trPr>
        <w:tc>
          <w:tcPr>
            <w:tcW w:w="3170" w:type="dxa"/>
            <w:shd w:val="clear" w:color="auto" w:fill="E5E5E5"/>
            <w:tcMar>
              <w:top w:w="14" w:type="dxa"/>
              <w:left w:w="43" w:type="dxa"/>
              <w:bottom w:w="14" w:type="dxa"/>
              <w:right w:w="76" w:type="dxa"/>
            </w:tcMar>
          </w:tcPr>
          <w:p w14:paraId="12EE689A"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Enhance the human resource and its management within the NTEP</w:t>
            </w:r>
          </w:p>
        </w:tc>
        <w:tc>
          <w:tcPr>
            <w:tcW w:w="5920" w:type="dxa"/>
            <w:gridSpan w:val="2"/>
            <w:shd w:val="clear" w:color="auto" w:fill="E5E5E5"/>
          </w:tcPr>
          <w:p w14:paraId="5F2F9317" w14:textId="77777777" w:rsidR="00FA0EA8" w:rsidRPr="00360D82" w:rsidRDefault="00FA0EA8" w:rsidP="00644DE5">
            <w:pPr>
              <w:spacing w:before="0" w:after="0" w:line="230" w:lineRule="auto"/>
              <w:ind w:right="107"/>
              <w:rPr>
                <w:rFonts w:ascii="Calibri" w:hAnsi="Calibri" w:cs="Calibri"/>
                <w:sz w:val="22"/>
              </w:rPr>
            </w:pPr>
            <w:r w:rsidRPr="00360D82">
              <w:rPr>
                <w:rFonts w:ascii="Calibri" w:hAnsi="Calibri" w:cs="Calibri"/>
                <w:kern w:val="24"/>
                <w:sz w:val="22"/>
                <w:lang w:eastAsia="en-IN"/>
              </w:rPr>
              <w:t xml:space="preserve">1.2.1 </w:t>
            </w:r>
            <w:r w:rsidRPr="00360D82">
              <w:rPr>
                <w:rFonts w:ascii="Calibri" w:hAnsi="Calibri" w:cs="Calibri"/>
                <w:sz w:val="22"/>
              </w:rPr>
              <w:t xml:space="preserve">Create and fill key positions in line with the scope of new NSP activities </w:t>
            </w:r>
          </w:p>
          <w:p w14:paraId="3F2ACD92" w14:textId="77777777" w:rsidR="00FA0EA8" w:rsidRPr="00360D82" w:rsidRDefault="00FA0EA8" w:rsidP="00644DE5">
            <w:pPr>
              <w:spacing w:before="0" w:after="0" w:line="230" w:lineRule="auto"/>
              <w:ind w:right="107"/>
              <w:rPr>
                <w:rFonts w:ascii="Calibri" w:hAnsi="Calibri" w:cs="Calibri"/>
                <w:sz w:val="22"/>
              </w:rPr>
            </w:pPr>
            <w:r w:rsidRPr="00360D82">
              <w:rPr>
                <w:rFonts w:ascii="Calibri" w:hAnsi="Calibri" w:cs="Calibri"/>
                <w:sz w:val="22"/>
              </w:rPr>
              <w:t xml:space="preserve">1.2.2 Update the staffing structures for NTEP staff in the states. </w:t>
            </w:r>
          </w:p>
          <w:p w14:paraId="681D2950" w14:textId="77777777" w:rsidR="00FA0EA8" w:rsidRPr="00360D82" w:rsidRDefault="00FA0EA8" w:rsidP="00644DE5">
            <w:pPr>
              <w:spacing w:before="0" w:after="0" w:line="230" w:lineRule="auto"/>
              <w:ind w:right="107"/>
              <w:rPr>
                <w:rFonts w:ascii="Calibri" w:hAnsi="Calibri" w:cs="Calibri"/>
                <w:sz w:val="22"/>
              </w:rPr>
            </w:pPr>
            <w:r w:rsidRPr="00360D82">
              <w:rPr>
                <w:rFonts w:ascii="Calibri" w:hAnsi="Calibri" w:cs="Calibri"/>
                <w:sz w:val="22"/>
              </w:rPr>
              <w:t xml:space="preserve">1.2.3 Training </w:t>
            </w:r>
          </w:p>
          <w:p w14:paraId="41C6C2A5" w14:textId="77777777" w:rsidR="00FA0EA8" w:rsidRPr="00360D82" w:rsidRDefault="00FA0EA8" w:rsidP="00644DE5">
            <w:pPr>
              <w:spacing w:before="0" w:after="0" w:line="230" w:lineRule="auto"/>
              <w:ind w:right="107"/>
              <w:rPr>
                <w:rFonts w:ascii="Calibri" w:hAnsi="Calibri" w:cs="Calibri"/>
                <w:kern w:val="24"/>
                <w:sz w:val="22"/>
                <w:lang w:eastAsia="en-IN"/>
              </w:rPr>
            </w:pPr>
            <w:r w:rsidRPr="00360D82">
              <w:rPr>
                <w:rFonts w:ascii="Calibri" w:hAnsi="Calibri" w:cs="Calibri"/>
                <w:sz w:val="22"/>
              </w:rPr>
              <w:t xml:space="preserve">1.2.4 Strengthening the capacity of the STDCs to execute key </w:t>
            </w:r>
            <w:r w:rsidRPr="00360D82">
              <w:rPr>
                <w:rFonts w:ascii="Calibri" w:hAnsi="Calibri" w:cs="Calibri"/>
                <w:sz w:val="22"/>
              </w:rPr>
              <w:lastRenderedPageBreak/>
              <w:t>functions</w:t>
            </w:r>
          </w:p>
        </w:tc>
      </w:tr>
      <w:tr w:rsidR="00FA0EA8" w:rsidRPr="00360D82" w14:paraId="5AA1F781" w14:textId="77777777" w:rsidTr="00644DE5">
        <w:trPr>
          <w:trHeight w:val="35"/>
        </w:trPr>
        <w:tc>
          <w:tcPr>
            <w:tcW w:w="3170" w:type="dxa"/>
            <w:shd w:val="clear" w:color="auto" w:fill="E5E5E5"/>
            <w:tcMar>
              <w:top w:w="14" w:type="dxa"/>
              <w:left w:w="43" w:type="dxa"/>
              <w:bottom w:w="14" w:type="dxa"/>
              <w:right w:w="76" w:type="dxa"/>
            </w:tcMar>
          </w:tcPr>
          <w:p w14:paraId="2CB1DA68"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lastRenderedPageBreak/>
              <w:t>Increase efficiency and effectiveness of governance and programme management mechanisms for TB elimination</w:t>
            </w:r>
          </w:p>
        </w:tc>
        <w:tc>
          <w:tcPr>
            <w:tcW w:w="5920" w:type="dxa"/>
            <w:gridSpan w:val="2"/>
            <w:shd w:val="clear" w:color="auto" w:fill="E5E5E5"/>
          </w:tcPr>
          <w:p w14:paraId="3E14915D" w14:textId="77777777" w:rsidR="00FA0EA8" w:rsidRPr="00360D82" w:rsidRDefault="00FA0EA8" w:rsidP="00644DE5">
            <w:pPr>
              <w:spacing w:before="0" w:after="0" w:line="230" w:lineRule="auto"/>
              <w:ind w:right="107"/>
              <w:rPr>
                <w:rFonts w:ascii="Calibri" w:hAnsi="Calibri" w:cs="Calibri"/>
                <w:kern w:val="24"/>
                <w:sz w:val="22"/>
                <w:lang w:eastAsia="en-IN"/>
              </w:rPr>
            </w:pPr>
            <w:r w:rsidRPr="00360D82">
              <w:rPr>
                <w:rFonts w:ascii="Calibri" w:hAnsi="Calibri" w:cs="Calibri"/>
                <w:kern w:val="24"/>
                <w:sz w:val="22"/>
                <w:lang w:eastAsia="en-IN"/>
              </w:rPr>
              <w:t>1.3.1. National TB Policy and TB Bill</w:t>
            </w:r>
          </w:p>
          <w:p w14:paraId="36196A00" w14:textId="77777777" w:rsidR="00FA0EA8" w:rsidRPr="00360D82" w:rsidRDefault="00FA0EA8" w:rsidP="00644DE5">
            <w:pPr>
              <w:spacing w:before="0" w:after="0" w:line="230" w:lineRule="auto"/>
              <w:ind w:right="107"/>
              <w:rPr>
                <w:rFonts w:ascii="Calibri" w:hAnsi="Calibri" w:cs="Calibri"/>
                <w:kern w:val="24"/>
                <w:sz w:val="22"/>
                <w:lang w:eastAsia="en-IN"/>
              </w:rPr>
            </w:pPr>
            <w:r w:rsidRPr="00360D82">
              <w:rPr>
                <w:rFonts w:ascii="Calibri" w:hAnsi="Calibri" w:cs="Calibri"/>
                <w:kern w:val="24"/>
                <w:sz w:val="22"/>
                <w:lang w:eastAsia="en-IN"/>
              </w:rPr>
              <w:t>1.3.2. Expedite setting up of prescribed governance structures</w:t>
            </w:r>
          </w:p>
          <w:p w14:paraId="08044FA1" w14:textId="77777777" w:rsidR="00FA0EA8" w:rsidRPr="00360D82" w:rsidRDefault="00FA0EA8" w:rsidP="00644DE5">
            <w:pPr>
              <w:spacing w:before="0" w:after="0" w:line="230" w:lineRule="auto"/>
              <w:ind w:right="107"/>
              <w:rPr>
                <w:rFonts w:ascii="Calibri" w:hAnsi="Calibri" w:cs="Calibri"/>
                <w:kern w:val="24"/>
                <w:sz w:val="22"/>
                <w:lang w:eastAsia="en-IN"/>
              </w:rPr>
            </w:pPr>
            <w:r w:rsidRPr="00360D82">
              <w:rPr>
                <w:rFonts w:ascii="Calibri" w:hAnsi="Calibri" w:cs="Calibri"/>
                <w:kern w:val="24"/>
                <w:sz w:val="22"/>
                <w:lang w:eastAsia="en-IN"/>
              </w:rPr>
              <w:t xml:space="preserve">1.3.3. Extend the governance and management structures to the States and District </w:t>
            </w:r>
          </w:p>
          <w:p w14:paraId="286F8DDC" w14:textId="77777777" w:rsidR="00FA0EA8" w:rsidRPr="00360D82" w:rsidRDefault="00FA0EA8" w:rsidP="00644DE5">
            <w:pPr>
              <w:spacing w:before="0" w:after="0" w:line="230" w:lineRule="auto"/>
              <w:ind w:right="107"/>
              <w:rPr>
                <w:rFonts w:ascii="Calibri" w:hAnsi="Calibri" w:cs="Calibri"/>
                <w:kern w:val="24"/>
                <w:sz w:val="22"/>
                <w:lang w:eastAsia="en-IN"/>
              </w:rPr>
            </w:pPr>
            <w:r w:rsidRPr="00360D82">
              <w:rPr>
                <w:rFonts w:ascii="Calibri" w:hAnsi="Calibri" w:cs="Calibri"/>
                <w:kern w:val="24"/>
                <w:sz w:val="22"/>
                <w:lang w:eastAsia="en-IN"/>
              </w:rPr>
              <w:t xml:space="preserve">1.3.4. Strengthen governance for private sector engagement  </w:t>
            </w:r>
          </w:p>
        </w:tc>
      </w:tr>
      <w:tr w:rsidR="00FA0EA8" w:rsidRPr="00360D82" w14:paraId="478C733D" w14:textId="77777777" w:rsidTr="00644DE5">
        <w:trPr>
          <w:trHeight w:val="35"/>
        </w:trPr>
        <w:tc>
          <w:tcPr>
            <w:tcW w:w="3170" w:type="dxa"/>
            <w:shd w:val="clear" w:color="auto" w:fill="E5E5E5"/>
            <w:tcMar>
              <w:top w:w="14" w:type="dxa"/>
              <w:left w:w="43" w:type="dxa"/>
              <w:bottom w:w="14" w:type="dxa"/>
              <w:right w:w="76" w:type="dxa"/>
            </w:tcMar>
          </w:tcPr>
          <w:p w14:paraId="12A0EDC0" w14:textId="033D6356"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 xml:space="preserve">Strengthen and scale-up the existing private sector engagement mechanisms with new additionalities to enlist greater pvt sector </w:t>
            </w:r>
            <w:r w:rsidR="0028684C">
              <w:rPr>
                <w:rFonts w:ascii="Calibri" w:hAnsi="Calibri" w:cs="Calibri"/>
                <w:kern w:val="24"/>
                <w:sz w:val="22"/>
                <w:lang w:eastAsia="en-IN"/>
              </w:rPr>
              <w:t xml:space="preserve">participation </w:t>
            </w:r>
            <w:r w:rsidRPr="00303A02">
              <w:rPr>
                <w:rFonts w:ascii="Calibri" w:hAnsi="Calibri" w:cs="Calibri"/>
                <w:kern w:val="24"/>
                <w:sz w:val="22"/>
                <w:lang w:eastAsia="en-IN"/>
              </w:rPr>
              <w:t xml:space="preserve">and programme reach    </w:t>
            </w:r>
          </w:p>
        </w:tc>
        <w:tc>
          <w:tcPr>
            <w:tcW w:w="5920" w:type="dxa"/>
            <w:gridSpan w:val="2"/>
            <w:shd w:val="clear" w:color="auto" w:fill="E5E5E5"/>
          </w:tcPr>
          <w:p w14:paraId="42CDA914"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1.4</w:t>
            </w:r>
            <w:r w:rsidRPr="00360D82">
              <w:rPr>
                <w:rFonts w:ascii="Calibri" w:hAnsi="Calibri" w:cs="Calibri"/>
                <w:kern w:val="24"/>
                <w:sz w:val="22"/>
                <w:lang w:eastAsia="en-IN"/>
              </w:rPr>
              <w:t>.1. Continue to Improv</w:t>
            </w:r>
            <w:r>
              <w:rPr>
                <w:rFonts w:ascii="Calibri" w:hAnsi="Calibri" w:cs="Calibri"/>
                <w:kern w:val="24"/>
                <w:sz w:val="22"/>
                <w:lang w:eastAsia="en-IN"/>
              </w:rPr>
              <w:t xml:space="preserve">e </w:t>
            </w:r>
            <w:r w:rsidRPr="00360D82">
              <w:rPr>
                <w:rFonts w:ascii="Calibri" w:hAnsi="Calibri" w:cs="Calibri"/>
                <w:kern w:val="24"/>
                <w:sz w:val="22"/>
                <w:lang w:eastAsia="en-IN"/>
              </w:rPr>
              <w:t xml:space="preserve">TB notification from private healthcare providers </w:t>
            </w:r>
          </w:p>
          <w:p w14:paraId="66DC454C"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1.4</w:t>
            </w:r>
            <w:r w:rsidRPr="00360D82">
              <w:rPr>
                <w:rFonts w:ascii="Calibri" w:hAnsi="Calibri" w:cs="Calibri"/>
                <w:kern w:val="24"/>
                <w:sz w:val="22"/>
                <w:lang w:eastAsia="en-IN"/>
              </w:rPr>
              <w:t xml:space="preserve">.2.  </w:t>
            </w:r>
            <w:r>
              <w:rPr>
                <w:rFonts w:ascii="Calibri" w:hAnsi="Calibri" w:cs="Calibri"/>
                <w:kern w:val="24"/>
                <w:sz w:val="22"/>
                <w:lang w:eastAsia="en-IN"/>
              </w:rPr>
              <w:t>Strengthen</w:t>
            </w:r>
            <w:r w:rsidRPr="00360D82">
              <w:rPr>
                <w:rFonts w:ascii="Calibri" w:hAnsi="Calibri" w:cs="Calibri"/>
                <w:kern w:val="24"/>
                <w:sz w:val="22"/>
                <w:lang w:eastAsia="en-IN"/>
              </w:rPr>
              <w:t xml:space="preserve"> collaboration with corporate hospitals</w:t>
            </w:r>
          </w:p>
          <w:p w14:paraId="2B5B5711"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1.4</w:t>
            </w:r>
            <w:r w:rsidRPr="00360D82">
              <w:rPr>
                <w:rFonts w:ascii="Calibri" w:hAnsi="Calibri" w:cs="Calibri"/>
                <w:kern w:val="24"/>
                <w:sz w:val="22"/>
                <w:lang w:eastAsia="en-IN"/>
              </w:rPr>
              <w:t xml:space="preserve">.4.  Improve access to diagnostics for TB patients notified from private sector </w:t>
            </w:r>
          </w:p>
          <w:p w14:paraId="6A27F493"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1.4</w:t>
            </w:r>
            <w:r w:rsidRPr="00360D82">
              <w:rPr>
                <w:rFonts w:ascii="Calibri" w:hAnsi="Calibri" w:cs="Calibri"/>
                <w:kern w:val="24"/>
                <w:sz w:val="22"/>
                <w:lang w:eastAsia="en-IN"/>
              </w:rPr>
              <w:t xml:space="preserve">.5. Improve access to drug for TB patients notified from private sector </w:t>
            </w:r>
          </w:p>
          <w:p w14:paraId="19DE9D99"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1.4</w:t>
            </w:r>
            <w:r w:rsidRPr="00360D82">
              <w:rPr>
                <w:rFonts w:ascii="Calibri" w:hAnsi="Calibri" w:cs="Calibri"/>
                <w:kern w:val="24"/>
                <w:sz w:val="22"/>
                <w:lang w:eastAsia="en-IN"/>
              </w:rPr>
              <w:t xml:space="preserve">.6. Enhance Surveillance and Quality improvement </w:t>
            </w:r>
          </w:p>
          <w:p w14:paraId="0C50A32B"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1.4</w:t>
            </w:r>
            <w:r w:rsidRPr="00360D82">
              <w:rPr>
                <w:rFonts w:ascii="Calibri" w:hAnsi="Calibri" w:cs="Calibri"/>
                <w:kern w:val="24"/>
                <w:sz w:val="22"/>
                <w:lang w:eastAsia="en-IN"/>
              </w:rPr>
              <w:t>.7. Expand ICT support to support the TB patients and private provider</w:t>
            </w:r>
          </w:p>
          <w:p w14:paraId="0C905F06"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1.4</w:t>
            </w:r>
            <w:r w:rsidRPr="00360D82">
              <w:rPr>
                <w:rFonts w:ascii="Calibri" w:hAnsi="Calibri" w:cs="Calibri"/>
                <w:kern w:val="24"/>
                <w:sz w:val="22"/>
                <w:lang w:eastAsia="en-IN"/>
              </w:rPr>
              <w:t xml:space="preserve">.8. Involvement of AYUSH Providers </w:t>
            </w:r>
          </w:p>
          <w:p w14:paraId="199A17B6" w14:textId="58992CD8"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1.4</w:t>
            </w:r>
            <w:r w:rsidRPr="00360D82">
              <w:rPr>
                <w:rFonts w:ascii="Calibri" w:hAnsi="Calibri" w:cs="Calibri"/>
                <w:kern w:val="24"/>
                <w:sz w:val="22"/>
                <w:lang w:eastAsia="en-IN"/>
              </w:rPr>
              <w:t xml:space="preserve">.9. Involvement of Health Establishments under other </w:t>
            </w:r>
            <w:r>
              <w:rPr>
                <w:rFonts w:ascii="Calibri" w:hAnsi="Calibri" w:cs="Calibri"/>
                <w:kern w:val="24"/>
                <w:sz w:val="22"/>
                <w:lang w:eastAsia="en-IN"/>
              </w:rPr>
              <w:t xml:space="preserve">line </w:t>
            </w:r>
            <w:r w:rsidRPr="00360D82">
              <w:rPr>
                <w:rFonts w:ascii="Calibri" w:hAnsi="Calibri" w:cs="Calibri"/>
                <w:kern w:val="24"/>
                <w:sz w:val="22"/>
                <w:lang w:eastAsia="en-IN"/>
              </w:rPr>
              <w:t>Ministries, PSUs, Corporates</w:t>
            </w:r>
            <w:r>
              <w:rPr>
                <w:rFonts w:ascii="Calibri" w:hAnsi="Calibri" w:cs="Calibri"/>
                <w:kern w:val="24"/>
                <w:sz w:val="22"/>
                <w:lang w:eastAsia="en-IN"/>
              </w:rPr>
              <w:t xml:space="preserve">, </w:t>
            </w:r>
            <w:r w:rsidR="00F51523">
              <w:rPr>
                <w:rFonts w:ascii="Calibri" w:hAnsi="Calibri" w:cs="Calibri"/>
                <w:kern w:val="24"/>
                <w:sz w:val="22"/>
                <w:lang w:eastAsia="en-IN"/>
              </w:rPr>
              <w:t>etc.</w:t>
            </w:r>
          </w:p>
        </w:tc>
      </w:tr>
      <w:tr w:rsidR="00FA0EA8" w:rsidRPr="00360D82" w14:paraId="0067CDF3" w14:textId="77777777" w:rsidTr="00644DE5">
        <w:trPr>
          <w:trHeight w:val="35"/>
        </w:trPr>
        <w:tc>
          <w:tcPr>
            <w:tcW w:w="3170" w:type="dxa"/>
            <w:tcBorders>
              <w:top w:val="single" w:sz="8" w:space="0" w:color="FFFFFF"/>
              <w:left w:val="single" w:sz="8" w:space="0" w:color="FFFFFF"/>
              <w:bottom w:val="single" w:sz="8" w:space="0" w:color="FFFFFF"/>
              <w:right w:val="single" w:sz="8" w:space="0" w:color="FFFFFF"/>
            </w:tcBorders>
            <w:shd w:val="clear" w:color="auto" w:fill="E5E5E5"/>
            <w:tcMar>
              <w:top w:w="14" w:type="dxa"/>
              <w:left w:w="43" w:type="dxa"/>
              <w:bottom w:w="14" w:type="dxa"/>
              <w:right w:w="76" w:type="dxa"/>
            </w:tcMar>
          </w:tcPr>
          <w:p w14:paraId="722DC7FE"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Expedite multi sectoral collaboration with a focus on the implementation of multisectoral accountability framework</w:t>
            </w:r>
          </w:p>
        </w:tc>
        <w:tc>
          <w:tcPr>
            <w:tcW w:w="5920" w:type="dxa"/>
            <w:gridSpan w:val="2"/>
            <w:tcBorders>
              <w:top w:val="single" w:sz="8" w:space="0" w:color="FFFFFF"/>
              <w:left w:val="single" w:sz="8" w:space="0" w:color="FFFFFF"/>
              <w:bottom w:val="single" w:sz="8" w:space="0" w:color="FFFFFF"/>
              <w:right w:val="single" w:sz="8" w:space="0" w:color="FFFFFF"/>
            </w:tcBorders>
            <w:shd w:val="clear" w:color="auto" w:fill="E5E5E5"/>
          </w:tcPr>
          <w:p w14:paraId="615E5D7F"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1.5</w:t>
            </w:r>
            <w:r w:rsidRPr="00360D82">
              <w:rPr>
                <w:rFonts w:ascii="Calibri" w:hAnsi="Calibri" w:cs="Calibri"/>
                <w:kern w:val="24"/>
                <w:sz w:val="22"/>
                <w:lang w:eastAsia="en-IN"/>
              </w:rPr>
              <w:t>.1. Ad</w:t>
            </w:r>
            <w:r>
              <w:rPr>
                <w:rFonts w:ascii="Calibri" w:hAnsi="Calibri" w:cs="Calibri"/>
                <w:kern w:val="24"/>
                <w:sz w:val="22"/>
                <w:lang w:eastAsia="en-IN"/>
              </w:rPr>
              <w:t>o</w:t>
            </w:r>
            <w:r w:rsidRPr="00360D82">
              <w:rPr>
                <w:rFonts w:ascii="Calibri" w:hAnsi="Calibri" w:cs="Calibri"/>
                <w:kern w:val="24"/>
                <w:sz w:val="22"/>
                <w:lang w:eastAsia="en-IN"/>
              </w:rPr>
              <w:t xml:space="preserve">pt </w:t>
            </w:r>
            <w:r>
              <w:rPr>
                <w:rFonts w:ascii="Calibri" w:hAnsi="Calibri" w:cs="Calibri"/>
                <w:kern w:val="24"/>
                <w:sz w:val="22"/>
                <w:lang w:eastAsia="en-IN"/>
              </w:rPr>
              <w:t>a</w:t>
            </w:r>
            <w:r w:rsidRPr="00360D82">
              <w:rPr>
                <w:rFonts w:ascii="Calibri" w:hAnsi="Calibri" w:cs="Calibri"/>
                <w:kern w:val="24"/>
                <w:sz w:val="22"/>
                <w:lang w:eastAsia="en-IN"/>
              </w:rPr>
              <w:t xml:space="preserve"> National multisectoral accountability framework to end TB</w:t>
            </w:r>
            <w:r>
              <w:rPr>
                <w:rFonts w:ascii="Calibri" w:hAnsi="Calibri" w:cs="Calibri"/>
                <w:kern w:val="24"/>
                <w:sz w:val="22"/>
                <w:lang w:eastAsia="en-IN"/>
              </w:rPr>
              <w:t xml:space="preserve"> </w:t>
            </w:r>
          </w:p>
          <w:p w14:paraId="7C35C5A6"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1.5</w:t>
            </w:r>
            <w:r w:rsidRPr="00360D82">
              <w:rPr>
                <w:rFonts w:ascii="Calibri" w:hAnsi="Calibri" w:cs="Calibri"/>
                <w:kern w:val="24"/>
                <w:sz w:val="22"/>
                <w:lang w:eastAsia="en-IN"/>
              </w:rPr>
              <w:t>.2. Drive multisectoral action, based on the right to health, via a TB Elimination Board</w:t>
            </w:r>
            <w:r>
              <w:rPr>
                <w:rFonts w:ascii="Calibri" w:hAnsi="Calibri" w:cs="Calibri"/>
                <w:kern w:val="24"/>
                <w:sz w:val="22"/>
                <w:lang w:eastAsia="en-IN"/>
              </w:rPr>
              <w:t>/Committees</w:t>
            </w:r>
            <w:r w:rsidRPr="00360D82">
              <w:rPr>
                <w:rFonts w:ascii="Calibri" w:hAnsi="Calibri" w:cs="Calibri"/>
                <w:kern w:val="24"/>
                <w:sz w:val="22"/>
                <w:lang w:eastAsia="en-IN"/>
              </w:rPr>
              <w:t xml:space="preserve"> and state/local counterparts, and inter-sectoral </w:t>
            </w:r>
            <w:r>
              <w:rPr>
                <w:rFonts w:ascii="Calibri" w:hAnsi="Calibri" w:cs="Calibri"/>
                <w:kern w:val="24"/>
                <w:sz w:val="22"/>
                <w:lang w:eastAsia="en-IN"/>
              </w:rPr>
              <w:t>c</w:t>
            </w:r>
            <w:r w:rsidRPr="00360D82">
              <w:rPr>
                <w:rFonts w:ascii="Calibri" w:hAnsi="Calibri" w:cs="Calibri"/>
                <w:kern w:val="24"/>
                <w:sz w:val="22"/>
                <w:lang w:eastAsia="en-IN"/>
              </w:rPr>
              <w:t xml:space="preserve">ommittees </w:t>
            </w:r>
          </w:p>
          <w:p w14:paraId="35EC5C74"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1.5</w:t>
            </w:r>
            <w:r w:rsidRPr="00360D82">
              <w:rPr>
                <w:rFonts w:ascii="Calibri" w:hAnsi="Calibri" w:cs="Calibri"/>
                <w:kern w:val="24"/>
                <w:sz w:val="22"/>
                <w:lang w:eastAsia="en-IN"/>
              </w:rPr>
              <w:t xml:space="preserve">.3. Strengthen the Inter ministerial committee </w:t>
            </w:r>
          </w:p>
          <w:p w14:paraId="47A39E64"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1.5</w:t>
            </w:r>
            <w:r w:rsidRPr="00360D82">
              <w:rPr>
                <w:rFonts w:ascii="Calibri" w:hAnsi="Calibri" w:cs="Calibri"/>
                <w:kern w:val="24"/>
                <w:sz w:val="22"/>
                <w:lang w:eastAsia="en-IN"/>
              </w:rPr>
              <w:t xml:space="preserve">.4. Actions to ensure major national initiatives/programmes are and can contribute to ending TB </w:t>
            </w:r>
          </w:p>
          <w:p w14:paraId="6B002A68"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1.5</w:t>
            </w:r>
            <w:r w:rsidRPr="00360D82">
              <w:rPr>
                <w:rFonts w:ascii="Calibri" w:hAnsi="Calibri" w:cs="Calibri"/>
                <w:kern w:val="24"/>
                <w:sz w:val="22"/>
                <w:lang w:eastAsia="en-IN"/>
              </w:rPr>
              <w:t>.5. Undertake mapping of key populations and interventions</w:t>
            </w:r>
          </w:p>
        </w:tc>
      </w:tr>
      <w:tr w:rsidR="00FA0EA8" w:rsidRPr="00360D82" w14:paraId="014E548A" w14:textId="77777777" w:rsidTr="00644DE5">
        <w:trPr>
          <w:trHeight w:val="35"/>
        </w:trPr>
        <w:tc>
          <w:tcPr>
            <w:tcW w:w="3170" w:type="dxa"/>
            <w:shd w:val="clear" w:color="auto" w:fill="E5E5E5"/>
            <w:tcMar>
              <w:top w:w="14" w:type="dxa"/>
              <w:left w:w="43" w:type="dxa"/>
              <w:bottom w:w="14" w:type="dxa"/>
              <w:right w:w="76" w:type="dxa"/>
            </w:tcMar>
          </w:tcPr>
          <w:p w14:paraId="295481A0"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Support to create empowered and engaged communities to fight TB</w:t>
            </w:r>
          </w:p>
        </w:tc>
        <w:tc>
          <w:tcPr>
            <w:tcW w:w="5920" w:type="dxa"/>
            <w:gridSpan w:val="2"/>
            <w:shd w:val="clear" w:color="auto" w:fill="E5E5E5"/>
          </w:tcPr>
          <w:p w14:paraId="29FDA042" w14:textId="77777777" w:rsidR="00FA0EA8" w:rsidRPr="00360D82" w:rsidRDefault="00FA0EA8" w:rsidP="00644DE5">
            <w:pPr>
              <w:spacing w:before="0" w:after="0" w:line="230" w:lineRule="auto"/>
              <w:ind w:right="107"/>
              <w:rPr>
                <w:rFonts w:ascii="Calibri" w:hAnsi="Calibri" w:cs="Calibri"/>
                <w:kern w:val="24"/>
                <w:sz w:val="22"/>
                <w:lang w:eastAsia="en-IN"/>
              </w:rPr>
            </w:pPr>
            <w:r w:rsidRPr="00360D82">
              <w:rPr>
                <w:rFonts w:ascii="Calibri" w:hAnsi="Calibri" w:cs="Calibri"/>
                <w:kern w:val="24"/>
                <w:sz w:val="22"/>
                <w:lang w:eastAsia="en-IN"/>
              </w:rPr>
              <w:t>1.6.1. Amplify</w:t>
            </w:r>
            <w:r>
              <w:rPr>
                <w:rFonts w:ascii="Calibri" w:hAnsi="Calibri" w:cs="Calibri"/>
                <w:kern w:val="24"/>
                <w:sz w:val="22"/>
                <w:lang w:eastAsia="en-IN"/>
              </w:rPr>
              <w:t xml:space="preserve"> and scale</w:t>
            </w:r>
            <w:r w:rsidRPr="00360D82">
              <w:rPr>
                <w:rFonts w:ascii="Calibri" w:hAnsi="Calibri" w:cs="Calibri"/>
                <w:kern w:val="24"/>
                <w:sz w:val="22"/>
                <w:lang w:eastAsia="en-IN"/>
              </w:rPr>
              <w:t xml:space="preserve"> up active engagement of communities affected by Tuberculosis, especially TB survivors and key populations </w:t>
            </w:r>
          </w:p>
          <w:p w14:paraId="01F9D0A2" w14:textId="77777777" w:rsidR="00FA0EA8" w:rsidRPr="00360D82" w:rsidRDefault="00FA0EA8" w:rsidP="00644DE5">
            <w:pPr>
              <w:spacing w:before="0" w:after="0" w:line="230" w:lineRule="auto"/>
              <w:ind w:right="107"/>
              <w:rPr>
                <w:rFonts w:ascii="Calibri" w:hAnsi="Calibri" w:cs="Calibri"/>
                <w:kern w:val="24"/>
                <w:sz w:val="22"/>
                <w:lang w:eastAsia="en-IN"/>
              </w:rPr>
            </w:pPr>
            <w:r w:rsidRPr="00360D82">
              <w:rPr>
                <w:rFonts w:ascii="Calibri" w:hAnsi="Calibri" w:cs="Calibri"/>
                <w:kern w:val="24"/>
                <w:sz w:val="22"/>
                <w:lang w:eastAsia="en-IN"/>
              </w:rPr>
              <w:t xml:space="preserve">1.6.2. </w:t>
            </w:r>
            <w:r>
              <w:rPr>
                <w:rFonts w:ascii="Calibri" w:hAnsi="Calibri" w:cs="Calibri"/>
                <w:kern w:val="24"/>
                <w:sz w:val="22"/>
                <w:lang w:eastAsia="en-IN"/>
              </w:rPr>
              <w:t>Expand</w:t>
            </w:r>
            <w:r w:rsidRPr="00360D82">
              <w:rPr>
                <w:rFonts w:ascii="Calibri" w:hAnsi="Calibri" w:cs="Calibri"/>
                <w:kern w:val="24"/>
                <w:sz w:val="22"/>
                <w:lang w:eastAsia="en-IN"/>
              </w:rPr>
              <w:t xml:space="preserve"> community participation in the mission to end TB </w:t>
            </w:r>
          </w:p>
          <w:p w14:paraId="67C5835B"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1.6.3. Build</w:t>
            </w:r>
            <w:r w:rsidRPr="00360D82">
              <w:rPr>
                <w:rFonts w:ascii="Calibri" w:hAnsi="Calibri" w:cs="Calibri"/>
                <w:kern w:val="24"/>
                <w:sz w:val="22"/>
                <w:lang w:eastAsia="en-IN"/>
              </w:rPr>
              <w:t xml:space="preserve"> new need-based collaborations and strengthening current partnerships at national and sub-national levels with Community-Based and Civil Society Organizations</w:t>
            </w:r>
          </w:p>
          <w:p w14:paraId="1F4D3638"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1.6.4. Institute</w:t>
            </w:r>
            <w:r w:rsidRPr="00360D82">
              <w:rPr>
                <w:rFonts w:ascii="Calibri" w:hAnsi="Calibri" w:cs="Calibri"/>
                <w:kern w:val="24"/>
                <w:sz w:val="22"/>
                <w:lang w:eastAsia="en-IN"/>
              </w:rPr>
              <w:t xml:space="preserve"> mechanisms at various levels for ensuring accountability of the health system to the community and making the programme responsive to the community needs. </w:t>
            </w:r>
          </w:p>
          <w:p w14:paraId="7025CBFF" w14:textId="77777777" w:rsidR="00FA0EA8" w:rsidRPr="00360D82" w:rsidRDefault="00FA0EA8" w:rsidP="00644DE5">
            <w:pPr>
              <w:spacing w:before="0" w:after="0" w:line="230" w:lineRule="auto"/>
              <w:ind w:right="107"/>
              <w:rPr>
                <w:rFonts w:ascii="Calibri" w:hAnsi="Calibri" w:cs="Calibri"/>
                <w:kern w:val="24"/>
                <w:sz w:val="22"/>
                <w:lang w:eastAsia="en-IN"/>
              </w:rPr>
            </w:pPr>
            <w:r>
              <w:rPr>
                <w:rFonts w:ascii="Calibri" w:hAnsi="Calibri" w:cs="Calibri"/>
                <w:kern w:val="24"/>
                <w:sz w:val="22"/>
                <w:lang w:eastAsia="en-IN"/>
              </w:rPr>
              <w:t>1.6.5. Explore</w:t>
            </w:r>
            <w:r w:rsidRPr="00360D82">
              <w:rPr>
                <w:rFonts w:ascii="Calibri" w:hAnsi="Calibri" w:cs="Calibri"/>
                <w:kern w:val="24"/>
                <w:sz w:val="22"/>
                <w:lang w:eastAsia="en-IN"/>
              </w:rPr>
              <w:t xml:space="preserve"> innovative resource mobilization strategies for community engagement, including but not limited to leveraging CSR funds. </w:t>
            </w:r>
          </w:p>
          <w:p w14:paraId="750FE4AD" w14:textId="77777777" w:rsidR="00FA0EA8" w:rsidRPr="00360D82" w:rsidRDefault="00FA0EA8" w:rsidP="00644DE5">
            <w:pPr>
              <w:spacing w:before="0" w:after="0" w:line="230" w:lineRule="auto"/>
              <w:ind w:right="107"/>
              <w:rPr>
                <w:rFonts w:ascii="Calibri" w:hAnsi="Calibri" w:cs="Calibri"/>
                <w:kern w:val="24"/>
                <w:sz w:val="22"/>
                <w:lang w:eastAsia="en-IN"/>
              </w:rPr>
            </w:pPr>
            <w:r w:rsidRPr="00360D82">
              <w:rPr>
                <w:rFonts w:ascii="Calibri" w:hAnsi="Calibri" w:cs="Calibri"/>
                <w:kern w:val="24"/>
                <w:sz w:val="22"/>
                <w:lang w:eastAsia="en-IN"/>
              </w:rPr>
              <w:t>1.6.6</w:t>
            </w:r>
            <w:r>
              <w:rPr>
                <w:rFonts w:ascii="Calibri" w:hAnsi="Calibri" w:cs="Calibri"/>
                <w:kern w:val="24"/>
                <w:sz w:val="22"/>
                <w:lang w:eastAsia="en-IN"/>
              </w:rPr>
              <w:t>. Build</w:t>
            </w:r>
            <w:r w:rsidRPr="00360D82">
              <w:rPr>
                <w:rFonts w:ascii="Calibri" w:hAnsi="Calibri" w:cs="Calibri"/>
                <w:kern w:val="24"/>
                <w:sz w:val="22"/>
                <w:lang w:eastAsia="en-IN"/>
              </w:rPr>
              <w:t xml:space="preserve"> a knowledge base and sharing of experiences and good practices with potential for replication in different settings </w:t>
            </w:r>
          </w:p>
          <w:p w14:paraId="7DC4C88A" w14:textId="77777777" w:rsidR="00FA0EA8" w:rsidRPr="00360D82" w:rsidRDefault="00FA0EA8" w:rsidP="00644DE5">
            <w:pPr>
              <w:spacing w:before="0" w:after="0" w:line="230" w:lineRule="auto"/>
              <w:ind w:right="107"/>
              <w:rPr>
                <w:rFonts w:ascii="Calibri" w:hAnsi="Calibri" w:cs="Calibri"/>
                <w:kern w:val="24"/>
                <w:sz w:val="22"/>
                <w:lang w:eastAsia="en-IN"/>
              </w:rPr>
            </w:pPr>
            <w:r w:rsidRPr="00360D82">
              <w:rPr>
                <w:rFonts w:ascii="Calibri" w:hAnsi="Calibri" w:cs="Calibri"/>
                <w:kern w:val="24"/>
                <w:sz w:val="22"/>
                <w:lang w:eastAsia="en-IN"/>
              </w:rPr>
              <w:t>1.6.7. Build capacity of community structures and institutions for supporting diff</w:t>
            </w:r>
            <w:r>
              <w:rPr>
                <w:rFonts w:ascii="Calibri" w:hAnsi="Calibri" w:cs="Calibri"/>
                <w:kern w:val="24"/>
                <w:sz w:val="22"/>
                <w:lang w:eastAsia="en-IN"/>
              </w:rPr>
              <w:t xml:space="preserve">erent facets of TB elimination </w:t>
            </w:r>
          </w:p>
        </w:tc>
      </w:tr>
      <w:tr w:rsidR="00FA0EA8" w:rsidRPr="00360D82" w14:paraId="21B6C085" w14:textId="77777777" w:rsidTr="00644DE5">
        <w:trPr>
          <w:trHeight w:val="35"/>
        </w:trPr>
        <w:tc>
          <w:tcPr>
            <w:tcW w:w="3170" w:type="dxa"/>
            <w:shd w:val="clear" w:color="auto" w:fill="E5E5E5"/>
            <w:tcMar>
              <w:top w:w="14" w:type="dxa"/>
              <w:left w:w="43" w:type="dxa"/>
              <w:bottom w:w="14" w:type="dxa"/>
              <w:right w:w="76" w:type="dxa"/>
            </w:tcMar>
          </w:tcPr>
          <w:p w14:paraId="350DF618"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Advocacy and strategic communication</w:t>
            </w:r>
          </w:p>
        </w:tc>
        <w:tc>
          <w:tcPr>
            <w:tcW w:w="5920" w:type="dxa"/>
            <w:gridSpan w:val="2"/>
            <w:shd w:val="clear" w:color="auto" w:fill="E5E5E5"/>
          </w:tcPr>
          <w:p w14:paraId="73A6C6E4"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1.7.1. Engage in high-level advocacy with the National Parliament and State Assemblies</w:t>
            </w:r>
          </w:p>
          <w:p w14:paraId="60290BCE" w14:textId="371DDFF3" w:rsidR="00FA0EA8" w:rsidRPr="00360D82"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1.7.2. Conduct round-the-year communication campaigns that are strategically designed</w:t>
            </w:r>
            <w:r w:rsidR="007E218C">
              <w:rPr>
                <w:rFonts w:ascii="Calibri" w:hAnsi="Calibri" w:cs="Calibri"/>
                <w:kern w:val="24"/>
                <w:sz w:val="22"/>
                <w:lang w:eastAsia="en-IN"/>
              </w:rPr>
              <w:t xml:space="preserve"> </w:t>
            </w:r>
            <w:r w:rsidR="007E218C" w:rsidRPr="2343DF4C">
              <w:rPr>
                <w:rFonts w:ascii="Calibri" w:hAnsi="Calibri" w:cs="Calibri"/>
                <w:sz w:val="22"/>
              </w:rPr>
              <w:t>in close collaboration with affected communities</w:t>
            </w:r>
            <w:r w:rsidRPr="00360D82">
              <w:rPr>
                <w:rFonts w:ascii="Calibri" w:hAnsi="Calibri" w:cs="Calibri"/>
                <w:kern w:val="24"/>
                <w:sz w:val="22"/>
                <w:lang w:eastAsia="en-IN"/>
              </w:rPr>
              <w:t xml:space="preserve"> to influence positive behaviors and improved awareness. Implement, monitor and evaluate the impact of </w:t>
            </w:r>
            <w:r w:rsidRPr="00360D82">
              <w:rPr>
                <w:rFonts w:ascii="Calibri" w:hAnsi="Calibri" w:cs="Calibri"/>
                <w:kern w:val="24"/>
                <w:sz w:val="22"/>
                <w:lang w:eastAsia="en-IN"/>
              </w:rPr>
              <w:lastRenderedPageBreak/>
              <w:t>communication campaigns</w:t>
            </w:r>
          </w:p>
        </w:tc>
      </w:tr>
      <w:tr w:rsidR="00FA0EA8" w:rsidRPr="00360D82" w14:paraId="2F427E19" w14:textId="77777777" w:rsidTr="00644DE5">
        <w:trPr>
          <w:trHeight w:val="35"/>
        </w:trPr>
        <w:tc>
          <w:tcPr>
            <w:tcW w:w="3170" w:type="dxa"/>
            <w:shd w:val="clear" w:color="auto" w:fill="E5E5E5"/>
            <w:tcMar>
              <w:top w:w="14" w:type="dxa"/>
              <w:left w:w="43" w:type="dxa"/>
              <w:bottom w:w="14" w:type="dxa"/>
              <w:right w:w="76" w:type="dxa"/>
            </w:tcMar>
          </w:tcPr>
          <w:p w14:paraId="7B046A41"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lastRenderedPageBreak/>
              <w:t>Enhance and strengthen surveillance, monitoring and evaluation of NTEP</w:t>
            </w:r>
          </w:p>
        </w:tc>
        <w:tc>
          <w:tcPr>
            <w:tcW w:w="5920" w:type="dxa"/>
            <w:gridSpan w:val="2"/>
            <w:shd w:val="clear" w:color="auto" w:fill="E5E5E5"/>
          </w:tcPr>
          <w:p w14:paraId="736D4BCD"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1.8.1.</w:t>
            </w:r>
            <w:r w:rsidRPr="00360D82">
              <w:rPr>
                <w:rFonts w:ascii="Calibri" w:hAnsi="Calibri" w:cs="Calibri"/>
                <w:kern w:val="24"/>
                <w:sz w:val="22"/>
                <w:lang w:eastAsia="en-IN"/>
              </w:rPr>
              <w:tab/>
              <w:t>Build and mentor a strong surveillance, epidemiology, and monitoring and evaluation workforce.</w:t>
            </w:r>
          </w:p>
          <w:p w14:paraId="4301F1FB"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1.8.2.</w:t>
            </w:r>
            <w:r w:rsidRPr="00360D82">
              <w:rPr>
                <w:rFonts w:ascii="Calibri" w:hAnsi="Calibri" w:cs="Calibri"/>
                <w:kern w:val="24"/>
                <w:sz w:val="22"/>
                <w:lang w:eastAsia="en-IN"/>
              </w:rPr>
              <w:tab/>
              <w:t>Use local data for local action; create process indicators that are vital for larger outcomes.</w:t>
            </w:r>
          </w:p>
          <w:p w14:paraId="3CAD036C"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1.8.3.</w:t>
            </w:r>
            <w:r w:rsidRPr="00360D82">
              <w:rPr>
                <w:rFonts w:ascii="Calibri" w:hAnsi="Calibri" w:cs="Calibri"/>
                <w:kern w:val="24"/>
                <w:sz w:val="22"/>
                <w:lang w:eastAsia="en-IN"/>
              </w:rPr>
              <w:tab/>
              <w:t xml:space="preserve">Develop user-friendly, virtual “workspaces” and data visualizations to prompt local public health action. </w:t>
            </w:r>
          </w:p>
          <w:p w14:paraId="54692CE3"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1.8.4.</w:t>
            </w:r>
            <w:r w:rsidRPr="00360D82">
              <w:rPr>
                <w:rFonts w:ascii="Calibri" w:hAnsi="Calibri" w:cs="Calibri"/>
                <w:kern w:val="24"/>
                <w:sz w:val="22"/>
                <w:lang w:eastAsia="en-IN"/>
              </w:rPr>
              <w:tab/>
              <w:t xml:space="preserve">Accelerate alignment </w:t>
            </w:r>
            <w:r>
              <w:rPr>
                <w:rFonts w:ascii="Calibri" w:hAnsi="Calibri" w:cs="Calibri"/>
                <w:kern w:val="24"/>
                <w:sz w:val="22"/>
                <w:lang w:eastAsia="en-IN"/>
              </w:rPr>
              <w:t>with</w:t>
            </w:r>
            <w:r w:rsidRPr="00360D82">
              <w:rPr>
                <w:rFonts w:ascii="Calibri" w:hAnsi="Calibri" w:cs="Calibri"/>
                <w:kern w:val="24"/>
                <w:sz w:val="22"/>
                <w:lang w:eastAsia="en-IN"/>
              </w:rPr>
              <w:t xml:space="preserve"> all health information systems and applications.</w:t>
            </w:r>
          </w:p>
          <w:p w14:paraId="61EBD475"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1.8.5.</w:t>
            </w:r>
            <w:r w:rsidRPr="00360D82">
              <w:rPr>
                <w:rFonts w:ascii="Calibri" w:hAnsi="Calibri" w:cs="Calibri"/>
                <w:kern w:val="24"/>
                <w:sz w:val="22"/>
                <w:lang w:eastAsia="en-IN"/>
              </w:rPr>
              <w:tab/>
              <w:t>Phase out paper-based recording systems.</w:t>
            </w:r>
          </w:p>
        </w:tc>
      </w:tr>
      <w:tr w:rsidR="00FA0EA8" w:rsidRPr="00360D82" w14:paraId="6F6E2DD0" w14:textId="77777777" w:rsidTr="00644DE5">
        <w:trPr>
          <w:trHeight w:val="128"/>
        </w:trPr>
        <w:tc>
          <w:tcPr>
            <w:tcW w:w="3170" w:type="dxa"/>
            <w:shd w:val="clear" w:color="auto" w:fill="E5E5E5"/>
            <w:tcMar>
              <w:top w:w="14" w:type="dxa"/>
              <w:left w:w="43" w:type="dxa"/>
              <w:bottom w:w="14" w:type="dxa"/>
              <w:right w:w="76" w:type="dxa"/>
            </w:tcMar>
          </w:tcPr>
          <w:p w14:paraId="24EC46A5"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Research</w:t>
            </w:r>
          </w:p>
        </w:tc>
        <w:tc>
          <w:tcPr>
            <w:tcW w:w="5920" w:type="dxa"/>
            <w:gridSpan w:val="2"/>
            <w:shd w:val="clear" w:color="auto" w:fill="E5E5E5"/>
          </w:tcPr>
          <w:p w14:paraId="175EFF50"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1.9.1.</w:t>
            </w:r>
            <w:r w:rsidRPr="00360D82">
              <w:rPr>
                <w:rFonts w:ascii="Calibri" w:hAnsi="Calibri" w:cs="Calibri"/>
                <w:kern w:val="24"/>
                <w:sz w:val="22"/>
                <w:lang w:eastAsia="en-IN"/>
              </w:rPr>
              <w:tab/>
              <w:t xml:space="preserve">Improve the institutional structure and capacity for TB research </w:t>
            </w:r>
          </w:p>
          <w:p w14:paraId="58E1F483" w14:textId="208BDDB1" w:rsidR="00FA0EA8" w:rsidRPr="00360D82" w:rsidRDefault="00FA0EA8" w:rsidP="00F46DA6">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1.9.2.</w:t>
            </w:r>
            <w:r w:rsidRPr="00360D82">
              <w:rPr>
                <w:rFonts w:ascii="Calibri" w:hAnsi="Calibri" w:cs="Calibri"/>
                <w:kern w:val="24"/>
                <w:sz w:val="22"/>
                <w:lang w:eastAsia="en-IN"/>
              </w:rPr>
              <w:tab/>
              <w:t>Address issues related to Operational Research and Implementation Science 1.9.3.</w:t>
            </w:r>
            <w:r w:rsidRPr="00360D82">
              <w:rPr>
                <w:rFonts w:ascii="Calibri" w:hAnsi="Calibri" w:cs="Calibri"/>
                <w:kern w:val="24"/>
                <w:sz w:val="22"/>
                <w:lang w:eastAsia="en-IN"/>
              </w:rPr>
              <w:tab/>
            </w:r>
            <w:r>
              <w:rPr>
                <w:rFonts w:ascii="Calibri" w:hAnsi="Calibri" w:cs="Calibri"/>
                <w:kern w:val="24"/>
                <w:sz w:val="22"/>
                <w:lang w:eastAsia="en-IN"/>
              </w:rPr>
              <w:t>Undertake r</w:t>
            </w:r>
            <w:r w:rsidRPr="00360D82">
              <w:rPr>
                <w:rFonts w:ascii="Calibri" w:hAnsi="Calibri" w:cs="Calibri"/>
                <w:kern w:val="24"/>
                <w:sz w:val="22"/>
                <w:lang w:eastAsia="en-IN"/>
              </w:rPr>
              <w:t xml:space="preserve">esearch in </w:t>
            </w:r>
            <w:r>
              <w:rPr>
                <w:rFonts w:ascii="Calibri" w:hAnsi="Calibri" w:cs="Calibri"/>
                <w:kern w:val="24"/>
                <w:sz w:val="22"/>
                <w:lang w:eastAsia="en-IN"/>
              </w:rPr>
              <w:t xml:space="preserve">key priority areas like </w:t>
            </w:r>
            <w:r w:rsidRPr="00360D82">
              <w:rPr>
                <w:rFonts w:ascii="Calibri" w:hAnsi="Calibri" w:cs="Calibri"/>
                <w:kern w:val="24"/>
                <w:sz w:val="22"/>
                <w:lang w:eastAsia="en-IN"/>
              </w:rPr>
              <w:t>Case Finding</w:t>
            </w:r>
            <w:r>
              <w:rPr>
                <w:rFonts w:ascii="Calibri" w:hAnsi="Calibri" w:cs="Calibri"/>
                <w:kern w:val="24"/>
                <w:sz w:val="22"/>
                <w:lang w:eastAsia="en-IN"/>
              </w:rPr>
              <w:t>, treatment</w:t>
            </w:r>
            <w:r w:rsidR="00F46DA6">
              <w:rPr>
                <w:rFonts w:ascii="Calibri" w:hAnsi="Calibri" w:cs="Calibri"/>
                <w:kern w:val="24"/>
                <w:sz w:val="22"/>
                <w:lang w:eastAsia="en-IN"/>
              </w:rPr>
              <w:t>,</w:t>
            </w:r>
            <w:r>
              <w:rPr>
                <w:rFonts w:ascii="Calibri" w:hAnsi="Calibri" w:cs="Calibri"/>
                <w:kern w:val="24"/>
                <w:sz w:val="22"/>
                <w:lang w:eastAsia="en-IN"/>
              </w:rPr>
              <w:t xml:space="preserve"> and prevention</w:t>
            </w:r>
            <w:r w:rsidR="00F46DA6">
              <w:rPr>
                <w:rFonts w:ascii="Calibri" w:hAnsi="Calibri" w:cs="Calibri"/>
                <w:kern w:val="24"/>
                <w:sz w:val="22"/>
                <w:lang w:eastAsia="en-IN"/>
              </w:rPr>
              <w:t xml:space="preserve"> </w:t>
            </w:r>
            <w:r w:rsidR="00F46DA6" w:rsidRPr="43717A59">
              <w:rPr>
                <w:rFonts w:ascii="Calibri" w:hAnsi="Calibri" w:cs="Calibri"/>
                <w:sz w:val="22"/>
              </w:rPr>
              <w:t>among different high risk  populations</w:t>
            </w:r>
            <w:r w:rsidR="009B4BB5">
              <w:rPr>
                <w:rFonts w:ascii="Calibri" w:hAnsi="Calibri" w:cs="Calibri"/>
                <w:kern w:val="24"/>
                <w:sz w:val="22"/>
                <w:lang w:eastAsia="en-IN"/>
              </w:rPr>
              <w:t xml:space="preserve"> </w:t>
            </w:r>
          </w:p>
        </w:tc>
      </w:tr>
      <w:tr w:rsidR="00FA0EA8" w:rsidRPr="00360D82" w14:paraId="0A8ED6DA" w14:textId="77777777" w:rsidTr="00644DE5">
        <w:trPr>
          <w:trHeight w:val="35"/>
        </w:trPr>
        <w:tc>
          <w:tcPr>
            <w:tcW w:w="3170" w:type="dxa"/>
            <w:shd w:val="clear" w:color="auto" w:fill="E5E5E5"/>
            <w:tcMar>
              <w:top w:w="14" w:type="dxa"/>
              <w:left w:w="43" w:type="dxa"/>
              <w:bottom w:w="14" w:type="dxa"/>
              <w:right w:w="76" w:type="dxa"/>
            </w:tcMar>
          </w:tcPr>
          <w:p w14:paraId="70E077CD"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Strengthen procurement and supply chain management</w:t>
            </w:r>
          </w:p>
        </w:tc>
        <w:tc>
          <w:tcPr>
            <w:tcW w:w="5920" w:type="dxa"/>
            <w:gridSpan w:val="2"/>
            <w:shd w:val="clear" w:color="auto" w:fill="E5E5E5"/>
          </w:tcPr>
          <w:p w14:paraId="6E60DB65" w14:textId="77777777" w:rsidR="00FA0EA8" w:rsidRPr="003331BF" w:rsidRDefault="00FA0EA8" w:rsidP="00644DE5">
            <w:pPr>
              <w:spacing w:before="0" w:after="0" w:line="230" w:lineRule="auto"/>
              <w:ind w:right="107"/>
              <w:jc w:val="both"/>
              <w:rPr>
                <w:rFonts w:ascii="Calibri" w:eastAsia="Times New Roman" w:hAnsi="Calibri" w:cs="Calibri"/>
                <w:sz w:val="22"/>
              </w:rPr>
            </w:pPr>
            <w:r>
              <w:rPr>
                <w:rFonts w:ascii="Calibri" w:hAnsi="Calibri" w:cs="Calibri"/>
                <w:kern w:val="24"/>
                <w:sz w:val="22"/>
                <w:lang w:eastAsia="en-IN"/>
              </w:rPr>
              <w:t xml:space="preserve">1.10.1 </w:t>
            </w:r>
            <w:r w:rsidRPr="00755B59">
              <w:rPr>
                <w:rFonts w:ascii="Calibri" w:hAnsi="Calibri" w:cs="Calibri"/>
                <w:kern w:val="24"/>
                <w:sz w:val="22"/>
                <w:lang w:eastAsia="en-IN"/>
              </w:rPr>
              <w:t>Create</w:t>
            </w:r>
            <w:r>
              <w:rPr>
                <w:rFonts w:ascii="Calibri" w:hAnsi="Calibri" w:cs="Calibri"/>
                <w:kern w:val="24"/>
                <w:sz w:val="22"/>
                <w:lang w:eastAsia="en-IN"/>
              </w:rPr>
              <w:t xml:space="preserve"> </w:t>
            </w:r>
            <w:r w:rsidRPr="003331BF">
              <w:rPr>
                <w:rFonts w:ascii="Calibri" w:eastAsia="Times New Roman" w:hAnsi="Calibri" w:cs="Calibri"/>
                <w:sz w:val="22"/>
              </w:rPr>
              <w:t xml:space="preserve">an alternative back-up mechanism to speed up procurement of drugs and diagnostics </w:t>
            </w:r>
          </w:p>
          <w:p w14:paraId="14CDAF80" w14:textId="77777777" w:rsidR="00FA0EA8" w:rsidRPr="00755B59" w:rsidRDefault="00FA0EA8" w:rsidP="00644DE5">
            <w:pPr>
              <w:spacing w:before="0" w:after="0"/>
              <w:ind w:right="107"/>
              <w:jc w:val="both"/>
              <w:rPr>
                <w:rFonts w:ascii="Calibri" w:eastAsia="Times New Roman" w:hAnsi="Calibri" w:cs="Calibri"/>
                <w:sz w:val="22"/>
              </w:rPr>
            </w:pPr>
            <w:r>
              <w:rPr>
                <w:rFonts w:ascii="Calibri" w:hAnsi="Calibri" w:cs="Calibri"/>
                <w:kern w:val="24"/>
                <w:sz w:val="22"/>
                <w:lang w:eastAsia="en-IN"/>
              </w:rPr>
              <w:t xml:space="preserve">1.10.2 </w:t>
            </w:r>
            <w:r w:rsidRPr="00755B59">
              <w:rPr>
                <w:rFonts w:ascii="Calibri" w:eastAsia="Times New Roman" w:hAnsi="Calibri" w:cs="Calibri"/>
                <w:sz w:val="22"/>
              </w:rPr>
              <w:t xml:space="preserve">Develop E-Pharmacy / commerce platforms to enable door-step delivery of drugs </w:t>
            </w:r>
          </w:p>
          <w:p w14:paraId="31D27414" w14:textId="038EA564" w:rsidR="00FA0EA8" w:rsidRPr="00755B59" w:rsidRDefault="00FA0EA8" w:rsidP="00644DE5">
            <w:pPr>
              <w:spacing w:before="0" w:after="0"/>
              <w:ind w:right="107"/>
              <w:jc w:val="both"/>
              <w:rPr>
                <w:rFonts w:ascii="Calibri" w:eastAsia="Times New Roman" w:hAnsi="Calibri" w:cs="Calibri"/>
                <w:sz w:val="22"/>
              </w:rPr>
            </w:pPr>
            <w:r>
              <w:rPr>
                <w:rFonts w:ascii="Calibri" w:hAnsi="Calibri" w:cs="Calibri"/>
                <w:kern w:val="24"/>
                <w:sz w:val="22"/>
                <w:lang w:eastAsia="en-IN"/>
              </w:rPr>
              <w:t>1.10.3</w:t>
            </w:r>
            <w:r w:rsidR="00CD41BA">
              <w:rPr>
                <w:rFonts w:ascii="Calibri" w:hAnsi="Calibri" w:cs="Calibri"/>
                <w:kern w:val="24"/>
                <w:sz w:val="22"/>
                <w:lang w:eastAsia="en-IN"/>
              </w:rPr>
              <w:t xml:space="preserve"> </w:t>
            </w:r>
            <w:r>
              <w:rPr>
                <w:rFonts w:ascii="Calibri" w:eastAsia="Times New Roman" w:hAnsi="Calibri" w:cs="Calibri"/>
                <w:sz w:val="22"/>
                <w:lang w:val="en-GB"/>
              </w:rPr>
              <w:t>Strengthening</w:t>
            </w:r>
            <w:r w:rsidRPr="00755B59">
              <w:rPr>
                <w:rFonts w:ascii="Calibri" w:eastAsia="Times New Roman" w:hAnsi="Calibri" w:cs="Calibri"/>
                <w:sz w:val="22"/>
                <w:lang w:val="en-GB"/>
              </w:rPr>
              <w:t xml:space="preserve"> of procurement and supply chain management</w:t>
            </w:r>
            <w:r>
              <w:rPr>
                <w:rFonts w:ascii="Calibri" w:eastAsia="Times New Roman" w:hAnsi="Calibri" w:cs="Calibri"/>
                <w:sz w:val="22"/>
                <w:lang w:val="en-GB"/>
              </w:rPr>
              <w:t xml:space="preserve"> systems</w:t>
            </w:r>
            <w:r w:rsidRPr="00755B59">
              <w:rPr>
                <w:rFonts w:ascii="Calibri" w:eastAsia="Times New Roman" w:hAnsi="Calibri" w:cs="Calibri"/>
                <w:sz w:val="22"/>
                <w:lang w:val="en-GB"/>
              </w:rPr>
              <w:t xml:space="preserve"> by </w:t>
            </w:r>
            <w:r>
              <w:rPr>
                <w:rFonts w:ascii="Calibri" w:eastAsia="Times New Roman" w:hAnsi="Calibri" w:cs="Calibri"/>
                <w:sz w:val="22"/>
                <w:lang w:val="en-GB"/>
              </w:rPr>
              <w:t xml:space="preserve">upgrading </w:t>
            </w:r>
            <w:r w:rsidRPr="00755B59">
              <w:rPr>
                <w:rFonts w:ascii="Calibri" w:eastAsia="Times New Roman" w:hAnsi="Calibri" w:cs="Calibri"/>
                <w:sz w:val="22"/>
                <w:lang w:val="en-GB"/>
              </w:rPr>
              <w:t xml:space="preserve">institutional </w:t>
            </w:r>
            <w:r>
              <w:rPr>
                <w:rFonts w:ascii="Calibri" w:eastAsia="Times New Roman" w:hAnsi="Calibri" w:cs="Calibri"/>
                <w:sz w:val="22"/>
                <w:lang w:val="en-GB"/>
              </w:rPr>
              <w:t xml:space="preserve">and individual capacities </w:t>
            </w:r>
          </w:p>
          <w:p w14:paraId="71BBEE0B" w14:textId="77777777" w:rsidR="00FA0EA8" w:rsidRPr="00755B59" w:rsidRDefault="00FA0EA8" w:rsidP="00644DE5">
            <w:pPr>
              <w:spacing w:before="0" w:after="0"/>
              <w:ind w:right="107"/>
              <w:jc w:val="both"/>
              <w:rPr>
                <w:rFonts w:ascii="Calibri" w:eastAsia="Times New Roman" w:hAnsi="Calibri" w:cs="Calibri"/>
                <w:sz w:val="22"/>
                <w:lang w:val="en-GB"/>
              </w:rPr>
            </w:pPr>
            <w:r>
              <w:rPr>
                <w:rFonts w:ascii="Calibri" w:hAnsi="Calibri" w:cs="Calibri"/>
                <w:kern w:val="24"/>
                <w:sz w:val="22"/>
                <w:lang w:eastAsia="en-IN"/>
              </w:rPr>
              <w:t>1.10.4</w:t>
            </w:r>
            <w:r>
              <w:rPr>
                <w:rFonts w:ascii="Calibri" w:eastAsia="Times New Roman" w:hAnsi="Calibri" w:cs="Calibri"/>
                <w:sz w:val="22"/>
                <w:lang w:val="en-GB"/>
              </w:rPr>
              <w:t xml:space="preserve"> Increase uptake of Digital Technologies for SCM </w:t>
            </w:r>
            <w:r w:rsidRPr="00755B59">
              <w:rPr>
                <w:rFonts w:ascii="Calibri" w:eastAsia="Times New Roman" w:hAnsi="Calibri" w:cs="Calibri"/>
                <w:sz w:val="22"/>
                <w:lang w:val="en-GB"/>
              </w:rPr>
              <w:tab/>
            </w:r>
          </w:p>
          <w:p w14:paraId="51A80079" w14:textId="77777777" w:rsidR="00FA0EA8" w:rsidRPr="00755B59" w:rsidRDefault="00FA0EA8" w:rsidP="00644DE5">
            <w:pPr>
              <w:spacing w:before="0" w:after="0"/>
              <w:ind w:right="107"/>
              <w:jc w:val="both"/>
              <w:rPr>
                <w:rFonts w:ascii="Calibri" w:eastAsia="Times New Roman" w:hAnsi="Calibri" w:cs="Calibri"/>
                <w:sz w:val="22"/>
                <w:lang w:val="en-GB"/>
              </w:rPr>
            </w:pPr>
            <w:r>
              <w:rPr>
                <w:rFonts w:ascii="Calibri" w:hAnsi="Calibri" w:cs="Calibri"/>
                <w:kern w:val="24"/>
                <w:sz w:val="22"/>
                <w:lang w:eastAsia="en-IN"/>
              </w:rPr>
              <w:t xml:space="preserve">1.10.5  </w:t>
            </w:r>
            <w:r w:rsidRPr="00755B59">
              <w:rPr>
                <w:rFonts w:ascii="Calibri" w:eastAsia="Times New Roman" w:hAnsi="Calibri" w:cs="Calibri"/>
                <w:sz w:val="22"/>
                <w:lang w:val="en-GB"/>
              </w:rPr>
              <w:t xml:space="preserve">Create mechanisms for enabling the availability of NTEP drugs to patients in the private sector </w:t>
            </w:r>
          </w:p>
          <w:p w14:paraId="36EF2C3E" w14:textId="23822473" w:rsidR="00FA0EA8" w:rsidRPr="00755B59" w:rsidRDefault="00FA0EA8" w:rsidP="00644DE5">
            <w:pPr>
              <w:spacing w:before="0" w:after="0"/>
              <w:ind w:right="107"/>
              <w:jc w:val="both"/>
              <w:rPr>
                <w:rFonts w:ascii="Calibri" w:eastAsia="Times New Roman" w:hAnsi="Calibri" w:cs="Calibri"/>
                <w:b/>
                <w:sz w:val="22"/>
                <w:lang w:val="en-GB"/>
              </w:rPr>
            </w:pPr>
            <w:r>
              <w:rPr>
                <w:rFonts w:ascii="Calibri" w:hAnsi="Calibri" w:cs="Calibri"/>
                <w:kern w:val="24"/>
                <w:sz w:val="22"/>
                <w:lang w:eastAsia="en-IN"/>
              </w:rPr>
              <w:t>1.10.</w:t>
            </w:r>
            <w:r w:rsidR="00CD41BA">
              <w:rPr>
                <w:rFonts w:ascii="Calibri" w:hAnsi="Calibri" w:cs="Calibri"/>
                <w:kern w:val="24"/>
                <w:sz w:val="22"/>
                <w:lang w:eastAsia="en-IN"/>
              </w:rPr>
              <w:t>6</w:t>
            </w:r>
            <w:r>
              <w:rPr>
                <w:rFonts w:ascii="Calibri" w:hAnsi="Calibri" w:cs="Calibri"/>
                <w:kern w:val="24"/>
                <w:sz w:val="22"/>
                <w:lang w:eastAsia="en-IN"/>
              </w:rPr>
              <w:t xml:space="preserve"> </w:t>
            </w:r>
            <w:r w:rsidRPr="00755B59">
              <w:rPr>
                <w:rFonts w:ascii="Calibri" w:eastAsia="Times New Roman" w:hAnsi="Calibri" w:cs="Calibri"/>
                <w:sz w:val="22"/>
                <w:lang w:val="en-GB"/>
              </w:rPr>
              <w:t>St</w:t>
            </w:r>
            <w:r>
              <w:rPr>
                <w:rFonts w:ascii="Calibri" w:eastAsia="Times New Roman" w:hAnsi="Calibri" w:cs="Calibri"/>
                <w:sz w:val="22"/>
                <w:lang w:val="en-GB"/>
              </w:rPr>
              <w:t>rengthening</w:t>
            </w:r>
            <w:r w:rsidRPr="00755B59">
              <w:rPr>
                <w:rFonts w:ascii="Calibri" w:eastAsia="Times New Roman" w:hAnsi="Calibri" w:cs="Calibri"/>
                <w:sz w:val="22"/>
                <w:lang w:val="en-GB"/>
              </w:rPr>
              <w:t xml:space="preserve"> of Nikshay Aushadi  </w:t>
            </w:r>
          </w:p>
          <w:p w14:paraId="20B00099" w14:textId="3EDD669D" w:rsidR="00056B35" w:rsidRDefault="00CD41BA" w:rsidP="00644DE5">
            <w:pPr>
              <w:spacing w:before="0" w:after="0"/>
              <w:ind w:right="107"/>
              <w:jc w:val="both"/>
              <w:rPr>
                <w:rFonts w:ascii="Calibri" w:hAnsi="Calibri" w:cs="Calibri"/>
                <w:kern w:val="24"/>
                <w:sz w:val="22"/>
                <w:lang w:eastAsia="en-IN"/>
              </w:rPr>
            </w:pPr>
            <w:r>
              <w:rPr>
                <w:rFonts w:ascii="Calibri" w:hAnsi="Calibri" w:cs="Calibri"/>
                <w:kern w:val="24"/>
                <w:sz w:val="22"/>
                <w:lang w:eastAsia="en-IN"/>
              </w:rPr>
              <w:t>1.10.7</w:t>
            </w:r>
            <w:r w:rsidR="00FA0EA8">
              <w:rPr>
                <w:rFonts w:ascii="Calibri" w:hAnsi="Calibri" w:cs="Calibri"/>
                <w:kern w:val="24"/>
                <w:sz w:val="22"/>
                <w:lang w:eastAsia="en-IN"/>
              </w:rPr>
              <w:t xml:space="preserve"> </w:t>
            </w:r>
            <w:r w:rsidR="00056B35" w:rsidRPr="00056B35">
              <w:rPr>
                <w:rFonts w:ascii="Calibri" w:hAnsi="Calibri" w:cs="Calibri"/>
                <w:kern w:val="24"/>
                <w:sz w:val="22"/>
                <w:lang w:eastAsia="en-IN"/>
              </w:rPr>
              <w:t>Improve supply chain efficiency and effectiveness</w:t>
            </w:r>
          </w:p>
          <w:p w14:paraId="7F4868C0" w14:textId="77777777" w:rsidR="00056B35" w:rsidRDefault="00CD41BA" w:rsidP="00644DE5">
            <w:pPr>
              <w:tabs>
                <w:tab w:val="left" w:pos="810"/>
              </w:tabs>
              <w:spacing w:before="0" w:after="0"/>
              <w:ind w:right="107"/>
              <w:jc w:val="both"/>
              <w:rPr>
                <w:rFonts w:ascii="Calibri" w:hAnsi="Calibri" w:cs="Calibri"/>
                <w:kern w:val="24"/>
                <w:sz w:val="22"/>
                <w:lang w:eastAsia="en-IN"/>
              </w:rPr>
            </w:pPr>
            <w:r>
              <w:rPr>
                <w:rFonts w:ascii="Calibri" w:hAnsi="Calibri" w:cs="Calibri"/>
                <w:kern w:val="24"/>
                <w:sz w:val="22"/>
                <w:lang w:eastAsia="en-IN"/>
              </w:rPr>
              <w:t>1.10.8</w:t>
            </w:r>
            <w:r w:rsidR="00FA0EA8">
              <w:rPr>
                <w:rFonts w:ascii="Calibri" w:hAnsi="Calibri" w:cs="Calibri"/>
                <w:kern w:val="24"/>
                <w:sz w:val="22"/>
                <w:lang w:eastAsia="en-IN"/>
              </w:rPr>
              <w:t xml:space="preserve"> </w:t>
            </w:r>
            <w:r w:rsidR="00056B35" w:rsidRPr="00056B35">
              <w:rPr>
                <w:rFonts w:ascii="Calibri" w:hAnsi="Calibri" w:cs="Calibri"/>
                <w:kern w:val="24"/>
                <w:sz w:val="22"/>
                <w:lang w:eastAsia="en-IN"/>
              </w:rPr>
              <w:t>Strengthen and upgrade drug store infrastructure at state, district and block levels</w:t>
            </w:r>
            <w:r w:rsidR="00056B35">
              <w:rPr>
                <w:rFonts w:ascii="Calibri" w:hAnsi="Calibri" w:cs="Calibri"/>
                <w:kern w:val="24"/>
                <w:sz w:val="22"/>
                <w:lang w:eastAsia="en-IN"/>
              </w:rPr>
              <w:t xml:space="preserve"> </w:t>
            </w:r>
          </w:p>
          <w:p w14:paraId="44A0E302" w14:textId="081A09F5" w:rsidR="00FA0EA8" w:rsidRPr="00755B59" w:rsidRDefault="00056B35" w:rsidP="00644DE5">
            <w:pPr>
              <w:tabs>
                <w:tab w:val="left" w:pos="810"/>
              </w:tabs>
              <w:spacing w:before="0" w:after="0"/>
              <w:ind w:right="107"/>
              <w:jc w:val="both"/>
              <w:rPr>
                <w:rFonts w:ascii="Calibri" w:eastAsia="Times New Roman" w:hAnsi="Calibri" w:cs="Calibri"/>
                <w:sz w:val="22"/>
                <w:lang w:val="en-GB"/>
              </w:rPr>
            </w:pPr>
            <w:r>
              <w:rPr>
                <w:rFonts w:ascii="Calibri" w:hAnsi="Calibri" w:cs="Calibri"/>
                <w:kern w:val="24"/>
                <w:sz w:val="22"/>
                <w:lang w:eastAsia="en-IN"/>
              </w:rPr>
              <w:t xml:space="preserve">1.10.9 </w:t>
            </w:r>
            <w:r w:rsidR="00FA0EA8">
              <w:rPr>
                <w:rFonts w:ascii="Calibri" w:eastAsia="Times New Roman" w:hAnsi="Calibri" w:cs="Calibri"/>
                <w:sz w:val="22"/>
                <w:lang w:val="en-GB"/>
              </w:rPr>
              <w:t>Set</w:t>
            </w:r>
            <w:r w:rsidR="00FA0EA8" w:rsidRPr="00755B59">
              <w:rPr>
                <w:rFonts w:ascii="Calibri" w:eastAsia="Times New Roman" w:hAnsi="Calibri" w:cs="Calibri"/>
                <w:sz w:val="22"/>
                <w:lang w:val="en-GB"/>
              </w:rPr>
              <w:t xml:space="preserve"> up state level PSM units </w:t>
            </w:r>
          </w:p>
          <w:p w14:paraId="6B31A834" w14:textId="3DA54511" w:rsidR="00FA0EA8" w:rsidRPr="00755B59" w:rsidRDefault="00CD41BA" w:rsidP="00644DE5">
            <w:pPr>
              <w:tabs>
                <w:tab w:val="left" w:pos="810"/>
              </w:tabs>
              <w:spacing w:before="0" w:after="0"/>
              <w:ind w:right="107"/>
              <w:jc w:val="both"/>
              <w:rPr>
                <w:rFonts w:ascii="Calibri" w:eastAsia="Times New Roman" w:hAnsi="Calibri" w:cs="Calibri"/>
                <w:sz w:val="22"/>
                <w:lang w:val="en-GB"/>
              </w:rPr>
            </w:pPr>
            <w:r>
              <w:rPr>
                <w:rFonts w:ascii="Calibri" w:hAnsi="Calibri" w:cs="Calibri"/>
                <w:kern w:val="24"/>
                <w:sz w:val="22"/>
                <w:lang w:eastAsia="en-IN"/>
              </w:rPr>
              <w:t>1.10.</w:t>
            </w:r>
            <w:r w:rsidR="004F1B16">
              <w:rPr>
                <w:rFonts w:ascii="Calibri" w:hAnsi="Calibri" w:cs="Calibri"/>
                <w:kern w:val="24"/>
                <w:sz w:val="22"/>
                <w:lang w:eastAsia="en-IN"/>
              </w:rPr>
              <w:t>10</w:t>
            </w:r>
            <w:r w:rsidR="00FA0EA8">
              <w:rPr>
                <w:rFonts w:ascii="Calibri" w:hAnsi="Calibri" w:cs="Calibri"/>
                <w:kern w:val="24"/>
                <w:sz w:val="22"/>
                <w:lang w:eastAsia="en-IN"/>
              </w:rPr>
              <w:t xml:space="preserve"> </w:t>
            </w:r>
            <w:r w:rsidR="00FA0EA8">
              <w:rPr>
                <w:rFonts w:ascii="Calibri" w:eastAsia="Times New Roman" w:hAnsi="Calibri" w:cs="Calibri"/>
                <w:sz w:val="22"/>
                <w:lang w:val="en-GB"/>
              </w:rPr>
              <w:t xml:space="preserve">Build capacity </w:t>
            </w:r>
            <w:r w:rsidR="00FA0EA8" w:rsidRPr="00755B59">
              <w:rPr>
                <w:rFonts w:ascii="Calibri" w:eastAsia="Times New Roman" w:hAnsi="Calibri" w:cs="Calibri"/>
                <w:sz w:val="22"/>
                <w:lang w:val="en-GB"/>
              </w:rPr>
              <w:t>at state level</w:t>
            </w:r>
          </w:p>
          <w:p w14:paraId="6B0EC2FB" w14:textId="1FD0D6DE" w:rsidR="00FA0EA8" w:rsidRPr="00755B59" w:rsidRDefault="00FA0EA8" w:rsidP="00644DE5">
            <w:pPr>
              <w:tabs>
                <w:tab w:val="left" w:pos="810"/>
              </w:tabs>
              <w:spacing w:before="0" w:after="0"/>
              <w:ind w:right="107"/>
              <w:jc w:val="both"/>
              <w:rPr>
                <w:rFonts w:ascii="Calibri" w:eastAsia="Times New Roman" w:hAnsi="Calibri" w:cs="Calibri"/>
                <w:sz w:val="22"/>
                <w:lang w:val="en-GB"/>
              </w:rPr>
            </w:pPr>
            <w:r>
              <w:rPr>
                <w:rFonts w:ascii="Calibri" w:hAnsi="Calibri" w:cs="Calibri"/>
                <w:kern w:val="24"/>
                <w:sz w:val="22"/>
                <w:lang w:eastAsia="en-IN"/>
              </w:rPr>
              <w:t>1.10.1</w:t>
            </w:r>
            <w:r w:rsidR="004F1B16">
              <w:rPr>
                <w:rFonts w:ascii="Calibri" w:hAnsi="Calibri" w:cs="Calibri"/>
                <w:kern w:val="24"/>
                <w:sz w:val="22"/>
                <w:lang w:eastAsia="en-IN"/>
              </w:rPr>
              <w:t>1</w:t>
            </w:r>
            <w:r>
              <w:rPr>
                <w:rFonts w:ascii="Calibri" w:hAnsi="Calibri" w:cs="Calibri"/>
                <w:kern w:val="24"/>
                <w:sz w:val="22"/>
                <w:lang w:eastAsia="en-IN"/>
              </w:rPr>
              <w:t xml:space="preserve"> </w:t>
            </w:r>
            <w:r>
              <w:rPr>
                <w:rFonts w:ascii="Calibri" w:eastAsia="Times New Roman" w:hAnsi="Calibri" w:cs="Calibri"/>
                <w:sz w:val="22"/>
                <w:lang w:val="en-GB"/>
              </w:rPr>
              <w:t>Establish / strengthen</w:t>
            </w:r>
            <w:r w:rsidRPr="00755B59">
              <w:rPr>
                <w:rFonts w:ascii="Calibri" w:eastAsia="Times New Roman" w:hAnsi="Calibri" w:cs="Calibri"/>
                <w:sz w:val="22"/>
                <w:lang w:val="en-GB"/>
              </w:rPr>
              <w:t xml:space="preserve">  transportation system through third party logistics</w:t>
            </w:r>
          </w:p>
          <w:p w14:paraId="305B0D32" w14:textId="2256A69B" w:rsidR="00FA0EA8" w:rsidRPr="00755B59" w:rsidRDefault="004F1B16" w:rsidP="00644DE5">
            <w:pPr>
              <w:tabs>
                <w:tab w:val="left" w:pos="810"/>
              </w:tabs>
              <w:spacing w:before="0" w:after="0"/>
              <w:ind w:right="107"/>
              <w:jc w:val="both"/>
              <w:rPr>
                <w:rFonts w:ascii="Calibri" w:eastAsia="Times New Roman" w:hAnsi="Calibri" w:cs="Calibri"/>
                <w:sz w:val="22"/>
                <w:lang w:val="en-GB"/>
              </w:rPr>
            </w:pPr>
            <w:r>
              <w:rPr>
                <w:rFonts w:ascii="Calibri" w:hAnsi="Calibri" w:cs="Calibri"/>
                <w:kern w:val="24"/>
                <w:sz w:val="22"/>
                <w:lang w:eastAsia="en-IN"/>
              </w:rPr>
              <w:t>1.10.12</w:t>
            </w:r>
            <w:r w:rsidR="00FA0EA8">
              <w:rPr>
                <w:rFonts w:ascii="Calibri" w:hAnsi="Calibri" w:cs="Calibri"/>
                <w:kern w:val="24"/>
                <w:sz w:val="22"/>
                <w:lang w:eastAsia="en-IN"/>
              </w:rPr>
              <w:t xml:space="preserve"> Prepare and execute </w:t>
            </w:r>
            <w:r w:rsidR="00FA0EA8">
              <w:rPr>
                <w:rFonts w:ascii="Calibri" w:eastAsia="Times New Roman" w:hAnsi="Calibri" w:cs="Calibri"/>
                <w:sz w:val="22"/>
                <w:lang w:val="en-GB"/>
              </w:rPr>
              <w:t>mechanism for thorough u</w:t>
            </w:r>
            <w:r w:rsidR="00FA0EA8" w:rsidRPr="00755B59">
              <w:rPr>
                <w:rFonts w:ascii="Calibri" w:eastAsia="Times New Roman" w:hAnsi="Calibri" w:cs="Calibri"/>
                <w:sz w:val="22"/>
                <w:lang w:val="en-GB"/>
              </w:rPr>
              <w:t>pkeep</w:t>
            </w:r>
            <w:r w:rsidR="00FA0EA8">
              <w:rPr>
                <w:rFonts w:ascii="Calibri" w:eastAsia="Times New Roman" w:hAnsi="Calibri" w:cs="Calibri"/>
                <w:sz w:val="22"/>
                <w:lang w:val="en-GB"/>
              </w:rPr>
              <w:t xml:space="preserve"> and u</w:t>
            </w:r>
            <w:r w:rsidR="00FA0EA8" w:rsidRPr="00755B59">
              <w:rPr>
                <w:rFonts w:ascii="Calibri" w:eastAsia="Times New Roman" w:hAnsi="Calibri" w:cs="Calibri"/>
                <w:sz w:val="22"/>
                <w:lang w:val="en-GB"/>
              </w:rPr>
              <w:t>ptime maintenance of Mobile Medical Vans &amp; Equipment</w:t>
            </w:r>
          </w:p>
          <w:p w14:paraId="3016144D" w14:textId="1996EAAC" w:rsidR="00FA0EA8" w:rsidRPr="00755B59" w:rsidRDefault="004F1B16" w:rsidP="00644DE5">
            <w:pPr>
              <w:tabs>
                <w:tab w:val="left" w:pos="810"/>
              </w:tabs>
              <w:spacing w:before="0" w:after="0"/>
              <w:ind w:right="107"/>
              <w:jc w:val="both"/>
              <w:rPr>
                <w:rFonts w:ascii="Calibri" w:eastAsia="Times New Roman" w:hAnsi="Calibri" w:cs="Calibri"/>
                <w:sz w:val="22"/>
                <w:lang w:val="en-GB"/>
              </w:rPr>
            </w:pPr>
            <w:r>
              <w:rPr>
                <w:rFonts w:ascii="Calibri" w:hAnsi="Calibri" w:cs="Calibri"/>
                <w:kern w:val="24"/>
                <w:sz w:val="22"/>
                <w:lang w:eastAsia="en-IN"/>
              </w:rPr>
              <w:t>1.10.13</w:t>
            </w:r>
            <w:r w:rsidR="00FA0EA8">
              <w:rPr>
                <w:rFonts w:ascii="Calibri" w:hAnsi="Calibri" w:cs="Calibri"/>
                <w:kern w:val="24"/>
                <w:sz w:val="22"/>
                <w:lang w:eastAsia="en-IN"/>
              </w:rPr>
              <w:t xml:space="preserve"> </w:t>
            </w:r>
            <w:r w:rsidR="00FA0EA8" w:rsidRPr="00755B59">
              <w:rPr>
                <w:rFonts w:ascii="Calibri" w:eastAsia="Times New Roman" w:hAnsi="Calibri" w:cs="Calibri"/>
                <w:bCs/>
                <w:sz w:val="22"/>
                <w:lang w:val="en-GB"/>
              </w:rPr>
              <w:t>Strengthen supervision and M&amp;E in PSM</w:t>
            </w:r>
          </w:p>
          <w:p w14:paraId="5A159F58" w14:textId="4610E1A9" w:rsidR="00FA0EA8" w:rsidRPr="00755B59" w:rsidRDefault="004F1B16" w:rsidP="00644DE5">
            <w:pPr>
              <w:tabs>
                <w:tab w:val="left" w:pos="810"/>
              </w:tabs>
              <w:spacing w:before="0" w:after="0"/>
              <w:ind w:right="107"/>
              <w:jc w:val="both"/>
              <w:rPr>
                <w:rFonts w:ascii="Calibri" w:hAnsi="Calibri" w:cs="Calibri"/>
                <w:color w:val="FF0000"/>
                <w:kern w:val="24"/>
                <w:sz w:val="22"/>
                <w:lang w:eastAsia="en-IN"/>
              </w:rPr>
            </w:pPr>
            <w:r>
              <w:rPr>
                <w:rFonts w:ascii="Calibri" w:hAnsi="Calibri" w:cs="Calibri"/>
                <w:kern w:val="24"/>
                <w:sz w:val="22"/>
                <w:lang w:eastAsia="en-IN"/>
              </w:rPr>
              <w:t>1.10.14</w:t>
            </w:r>
            <w:r w:rsidR="00FA0EA8">
              <w:rPr>
                <w:rFonts w:ascii="Calibri" w:hAnsi="Calibri" w:cs="Calibri"/>
                <w:kern w:val="24"/>
                <w:sz w:val="22"/>
                <w:lang w:eastAsia="en-IN"/>
              </w:rPr>
              <w:t xml:space="preserve"> Establish Pol</w:t>
            </w:r>
            <w:r w:rsidR="007B2412">
              <w:rPr>
                <w:rFonts w:ascii="Calibri" w:hAnsi="Calibri" w:cs="Calibri"/>
                <w:kern w:val="24"/>
                <w:sz w:val="22"/>
                <w:lang w:eastAsia="en-IN"/>
              </w:rPr>
              <w:t>ic</w:t>
            </w:r>
            <w:r w:rsidR="00FA0EA8">
              <w:rPr>
                <w:rFonts w:ascii="Calibri" w:hAnsi="Calibri" w:cs="Calibri"/>
                <w:kern w:val="24"/>
                <w:sz w:val="22"/>
                <w:lang w:eastAsia="en-IN"/>
              </w:rPr>
              <w:t xml:space="preserve">ies for decentralized </w:t>
            </w:r>
            <w:r w:rsidR="00FA0EA8" w:rsidRPr="00755B59">
              <w:rPr>
                <w:rFonts w:ascii="Calibri" w:eastAsia="Times New Roman" w:hAnsi="Calibri" w:cs="Calibri"/>
                <w:sz w:val="22"/>
                <w:lang w:val="en-GB"/>
              </w:rPr>
              <w:t>writ</w:t>
            </w:r>
            <w:r w:rsidR="00FA0EA8">
              <w:rPr>
                <w:rFonts w:ascii="Calibri" w:eastAsia="Times New Roman" w:hAnsi="Calibri" w:cs="Calibri"/>
                <w:sz w:val="22"/>
                <w:lang w:val="en-GB"/>
              </w:rPr>
              <w:t>e</w:t>
            </w:r>
            <w:r w:rsidR="00FA0EA8" w:rsidRPr="00755B59">
              <w:rPr>
                <w:rFonts w:ascii="Calibri" w:eastAsia="Times New Roman" w:hAnsi="Calibri" w:cs="Calibri"/>
                <w:sz w:val="22"/>
                <w:lang w:val="en-GB"/>
              </w:rPr>
              <w:t xml:space="preserve"> off up to 2% of cost of</w:t>
            </w:r>
            <w:r w:rsidR="00FA0EA8">
              <w:rPr>
                <w:rFonts w:ascii="Calibri" w:eastAsia="Times New Roman" w:hAnsi="Calibri" w:cs="Calibri"/>
                <w:sz w:val="22"/>
                <w:lang w:val="en-GB"/>
              </w:rPr>
              <w:t xml:space="preserve"> annual supply for expired drugs and</w:t>
            </w:r>
            <w:r w:rsidR="00FA0EA8" w:rsidRPr="00755B59">
              <w:rPr>
                <w:rFonts w:ascii="Calibri" w:eastAsia="Times New Roman" w:hAnsi="Calibri" w:cs="Calibri"/>
                <w:sz w:val="22"/>
                <w:lang w:val="en-GB"/>
              </w:rPr>
              <w:t xml:space="preserve"> commodities </w:t>
            </w:r>
          </w:p>
        </w:tc>
      </w:tr>
      <w:tr w:rsidR="00FA0EA8" w:rsidRPr="00360D82" w14:paraId="0294CD29" w14:textId="77777777" w:rsidTr="00644DE5">
        <w:trPr>
          <w:trHeight w:val="35"/>
        </w:trPr>
        <w:tc>
          <w:tcPr>
            <w:tcW w:w="3170" w:type="dxa"/>
            <w:shd w:val="clear" w:color="auto" w:fill="E5E5E5"/>
            <w:tcMar>
              <w:top w:w="14" w:type="dxa"/>
              <w:left w:w="43" w:type="dxa"/>
              <w:bottom w:w="14" w:type="dxa"/>
              <w:right w:w="76" w:type="dxa"/>
            </w:tcMar>
          </w:tcPr>
          <w:p w14:paraId="24D5218B" w14:textId="17E795BF"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Digital information ecosystem for TB care</w:t>
            </w:r>
          </w:p>
        </w:tc>
        <w:tc>
          <w:tcPr>
            <w:tcW w:w="5920" w:type="dxa"/>
            <w:gridSpan w:val="2"/>
            <w:shd w:val="clear" w:color="auto" w:fill="E5E5E5"/>
          </w:tcPr>
          <w:p w14:paraId="1F749BC1" w14:textId="56AD0EFB" w:rsidR="00FA0EA8" w:rsidRDefault="00CD41BA" w:rsidP="00CD41BA">
            <w:pPr>
              <w:tabs>
                <w:tab w:val="left" w:pos="810"/>
              </w:tabs>
              <w:spacing w:before="0" w:after="0"/>
              <w:ind w:right="107"/>
              <w:jc w:val="both"/>
              <w:rPr>
                <w:rFonts w:ascii="Calibri" w:hAnsi="Calibri" w:cs="Calibri"/>
                <w:kern w:val="24"/>
                <w:sz w:val="22"/>
                <w:lang w:eastAsia="en-IN"/>
              </w:rPr>
            </w:pPr>
            <w:r>
              <w:rPr>
                <w:rFonts w:ascii="Calibri" w:hAnsi="Calibri" w:cs="Calibri"/>
                <w:kern w:val="24"/>
                <w:sz w:val="22"/>
                <w:lang w:eastAsia="en-IN"/>
              </w:rPr>
              <w:t xml:space="preserve">1.11.1 </w:t>
            </w:r>
            <w:r w:rsidR="00FA0EA8">
              <w:rPr>
                <w:rFonts w:ascii="Calibri" w:hAnsi="Calibri" w:cs="Calibri"/>
                <w:kern w:val="24"/>
                <w:sz w:val="22"/>
                <w:lang w:eastAsia="en-IN"/>
              </w:rPr>
              <w:t xml:space="preserve">Strengthen </w:t>
            </w:r>
            <w:r w:rsidR="00FA0EA8" w:rsidRPr="00360D82">
              <w:rPr>
                <w:rFonts w:ascii="Calibri" w:hAnsi="Calibri" w:cs="Calibri"/>
                <w:kern w:val="24"/>
                <w:sz w:val="22"/>
                <w:lang w:eastAsia="en-IN"/>
              </w:rPr>
              <w:t>Central TB Division,</w:t>
            </w:r>
            <w:r w:rsidR="00FA0EA8">
              <w:rPr>
                <w:rFonts w:ascii="Calibri" w:hAnsi="Calibri" w:cs="Calibri"/>
                <w:kern w:val="24"/>
                <w:sz w:val="22"/>
                <w:lang w:eastAsia="en-IN"/>
              </w:rPr>
              <w:t xml:space="preserve"> to be</w:t>
            </w:r>
            <w:r w:rsidR="00FA0EA8" w:rsidRPr="00360D82">
              <w:rPr>
                <w:rFonts w:ascii="Calibri" w:hAnsi="Calibri" w:cs="Calibri"/>
                <w:kern w:val="24"/>
                <w:sz w:val="22"/>
                <w:lang w:eastAsia="en-IN"/>
              </w:rPr>
              <w:t xml:space="preserve"> equipped with resources to develop and maintain IT Systems, manage and use real time information for program management </w:t>
            </w:r>
          </w:p>
          <w:p w14:paraId="5787EED0" w14:textId="48248F45" w:rsidR="00FA0EA8" w:rsidRDefault="00CD41BA" w:rsidP="00CD41BA">
            <w:pPr>
              <w:tabs>
                <w:tab w:val="left" w:pos="810"/>
              </w:tabs>
              <w:spacing w:before="0" w:after="0"/>
              <w:ind w:right="107"/>
              <w:jc w:val="both"/>
              <w:rPr>
                <w:rFonts w:ascii="Calibri" w:hAnsi="Calibri" w:cs="Calibri"/>
                <w:kern w:val="24"/>
                <w:sz w:val="22"/>
                <w:lang w:eastAsia="en-IN"/>
              </w:rPr>
            </w:pPr>
            <w:r>
              <w:rPr>
                <w:rFonts w:ascii="Calibri" w:hAnsi="Calibri" w:cs="Calibri"/>
                <w:kern w:val="24"/>
                <w:sz w:val="22"/>
                <w:lang w:eastAsia="en-IN"/>
              </w:rPr>
              <w:t xml:space="preserve">1.11.2 </w:t>
            </w:r>
            <w:r w:rsidR="00FA0EA8">
              <w:rPr>
                <w:rFonts w:ascii="Calibri" w:hAnsi="Calibri" w:cs="Calibri"/>
                <w:kern w:val="24"/>
                <w:sz w:val="22"/>
                <w:lang w:eastAsia="en-IN"/>
              </w:rPr>
              <w:t xml:space="preserve">Systems for monitoring </w:t>
            </w:r>
            <w:r w:rsidR="00FA0EA8" w:rsidRPr="00360D82">
              <w:rPr>
                <w:rFonts w:ascii="Calibri" w:hAnsi="Calibri" w:cs="Calibri"/>
                <w:kern w:val="24"/>
                <w:sz w:val="22"/>
                <w:lang w:eastAsia="en-IN"/>
              </w:rPr>
              <w:t xml:space="preserve"> TB Epidemiology, information dissemination and </w:t>
            </w:r>
            <w:r w:rsidR="00FA0EA8">
              <w:rPr>
                <w:rFonts w:ascii="Calibri" w:hAnsi="Calibri" w:cs="Calibri"/>
                <w:kern w:val="24"/>
                <w:sz w:val="22"/>
                <w:lang w:eastAsia="en-IN"/>
              </w:rPr>
              <w:t>capacity building</w:t>
            </w:r>
          </w:p>
          <w:p w14:paraId="2B309A1B" w14:textId="3D992CF9" w:rsidR="00FA0EA8" w:rsidRPr="00FA0EA8" w:rsidRDefault="00CD41BA" w:rsidP="00CD41BA">
            <w:pPr>
              <w:tabs>
                <w:tab w:val="left" w:pos="810"/>
              </w:tabs>
              <w:spacing w:before="0" w:after="0"/>
              <w:ind w:right="107"/>
              <w:jc w:val="both"/>
              <w:rPr>
                <w:rFonts w:ascii="Calibri" w:hAnsi="Calibri" w:cs="Calibri"/>
                <w:kern w:val="24"/>
                <w:sz w:val="22"/>
                <w:lang w:eastAsia="en-IN"/>
              </w:rPr>
            </w:pPr>
            <w:r>
              <w:rPr>
                <w:rFonts w:ascii="Calibri" w:hAnsi="Calibri" w:cs="Calibri"/>
                <w:kern w:val="24"/>
                <w:sz w:val="22"/>
                <w:lang w:eastAsia="en-IN"/>
              </w:rPr>
              <w:t xml:space="preserve">1.11.3 Strengthen </w:t>
            </w:r>
            <w:r w:rsidR="00FA0EA8" w:rsidRPr="00360D82">
              <w:rPr>
                <w:rFonts w:ascii="Calibri" w:hAnsi="Calibri" w:cs="Calibri"/>
                <w:kern w:val="24"/>
                <w:sz w:val="22"/>
                <w:lang w:eastAsia="en-IN"/>
              </w:rPr>
              <w:t>National TB Call Centre</w:t>
            </w:r>
            <w:r w:rsidR="00FA0EA8">
              <w:rPr>
                <w:rFonts w:ascii="Calibri" w:hAnsi="Calibri" w:cs="Calibri"/>
                <w:kern w:val="24"/>
                <w:sz w:val="22"/>
                <w:lang w:eastAsia="en-IN"/>
              </w:rPr>
              <w:t xml:space="preserve"> for provision of comprehensive inbound and outbound call services</w:t>
            </w:r>
            <w:r w:rsidR="00FA0EA8" w:rsidRPr="00360D82">
              <w:rPr>
                <w:rFonts w:ascii="Calibri" w:hAnsi="Calibri" w:cs="Calibri"/>
                <w:kern w:val="24"/>
                <w:sz w:val="22"/>
                <w:lang w:eastAsia="en-IN"/>
              </w:rPr>
              <w:t>.</w:t>
            </w:r>
          </w:p>
        </w:tc>
      </w:tr>
      <w:tr w:rsidR="00FA0EA8" w:rsidRPr="00360D82" w14:paraId="51FC1015" w14:textId="77777777" w:rsidTr="00644DE5">
        <w:trPr>
          <w:trHeight w:val="35"/>
        </w:trPr>
        <w:tc>
          <w:tcPr>
            <w:tcW w:w="3170" w:type="dxa"/>
            <w:shd w:val="clear" w:color="auto" w:fill="E5E5E5"/>
            <w:tcMar>
              <w:top w:w="14" w:type="dxa"/>
              <w:left w:w="43" w:type="dxa"/>
              <w:bottom w:w="14" w:type="dxa"/>
              <w:right w:w="76" w:type="dxa"/>
            </w:tcMar>
          </w:tcPr>
          <w:p w14:paraId="218F5F16"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 xml:space="preserve">Secure cutting edge technical assistance </w:t>
            </w:r>
          </w:p>
        </w:tc>
        <w:tc>
          <w:tcPr>
            <w:tcW w:w="5920" w:type="dxa"/>
            <w:gridSpan w:val="2"/>
            <w:shd w:val="clear" w:color="auto" w:fill="E5E5E5"/>
          </w:tcPr>
          <w:p w14:paraId="143F8386" w14:textId="77777777" w:rsidR="00FA0EA8" w:rsidRPr="00360D82" w:rsidRDefault="00FA0EA8" w:rsidP="00644DE5">
            <w:pPr>
              <w:spacing w:before="0" w:after="0" w:line="230" w:lineRule="auto"/>
              <w:jc w:val="both"/>
              <w:rPr>
                <w:rFonts w:ascii="Calibri" w:hAnsi="Calibri" w:cs="Calibri"/>
                <w:kern w:val="24"/>
                <w:sz w:val="22"/>
                <w:lang w:eastAsia="en-IN"/>
              </w:rPr>
            </w:pPr>
            <w:r w:rsidRPr="00360D82">
              <w:rPr>
                <w:rFonts w:ascii="Calibri" w:hAnsi="Calibri" w:cs="Calibri"/>
                <w:kern w:val="24"/>
                <w:sz w:val="22"/>
                <w:lang w:eastAsia="en-IN"/>
              </w:rPr>
              <w:t>1.12.1.</w:t>
            </w:r>
            <w:r w:rsidRPr="00360D82">
              <w:rPr>
                <w:rFonts w:ascii="Calibri" w:hAnsi="Calibri" w:cs="Calibri"/>
                <w:kern w:val="24"/>
                <w:sz w:val="22"/>
                <w:lang w:eastAsia="en-IN"/>
              </w:rPr>
              <w:tab/>
              <w:t>Strengthen the TSN and make TA responsive to the emerging TB landscape in India.</w:t>
            </w:r>
          </w:p>
          <w:p w14:paraId="63A55C75" w14:textId="77777777" w:rsidR="00FA0EA8" w:rsidRPr="00360D82" w:rsidRDefault="00FA0EA8" w:rsidP="00644DE5">
            <w:pPr>
              <w:spacing w:before="0" w:after="0" w:line="230" w:lineRule="auto"/>
              <w:jc w:val="both"/>
              <w:rPr>
                <w:rFonts w:ascii="Calibri" w:hAnsi="Calibri" w:cs="Calibri"/>
                <w:kern w:val="24"/>
                <w:sz w:val="22"/>
                <w:lang w:eastAsia="en-IN"/>
              </w:rPr>
            </w:pPr>
            <w:r w:rsidRPr="00360D82">
              <w:rPr>
                <w:rFonts w:ascii="Calibri" w:hAnsi="Calibri" w:cs="Calibri"/>
                <w:kern w:val="24"/>
                <w:sz w:val="22"/>
                <w:lang w:eastAsia="en-IN"/>
              </w:rPr>
              <w:t>1.12.2.</w:t>
            </w:r>
            <w:r w:rsidRPr="00360D82">
              <w:rPr>
                <w:rFonts w:ascii="Calibri" w:hAnsi="Calibri" w:cs="Calibri"/>
                <w:kern w:val="24"/>
                <w:sz w:val="22"/>
                <w:lang w:eastAsia="en-IN"/>
              </w:rPr>
              <w:tab/>
              <w:t xml:space="preserve">Extend TA to other </w:t>
            </w:r>
            <w:r>
              <w:rPr>
                <w:rFonts w:ascii="Calibri" w:hAnsi="Calibri" w:cs="Calibri"/>
                <w:kern w:val="24"/>
                <w:sz w:val="22"/>
                <w:lang w:eastAsia="en-IN"/>
              </w:rPr>
              <w:t xml:space="preserve">line </w:t>
            </w:r>
            <w:r w:rsidRPr="00360D82">
              <w:rPr>
                <w:rFonts w:ascii="Calibri" w:hAnsi="Calibri" w:cs="Calibri"/>
                <w:kern w:val="24"/>
                <w:sz w:val="22"/>
                <w:lang w:eastAsia="en-IN"/>
              </w:rPr>
              <w:t xml:space="preserve">ministries </w:t>
            </w:r>
          </w:p>
          <w:p w14:paraId="59D8D7DC" w14:textId="77777777" w:rsidR="00FA0EA8" w:rsidRPr="00360D82" w:rsidRDefault="00FA0EA8" w:rsidP="00644DE5">
            <w:pPr>
              <w:spacing w:before="0" w:after="0" w:line="230" w:lineRule="auto"/>
              <w:jc w:val="both"/>
              <w:rPr>
                <w:rFonts w:ascii="Calibri" w:hAnsi="Calibri" w:cs="Calibri"/>
                <w:kern w:val="24"/>
                <w:sz w:val="22"/>
                <w:lang w:eastAsia="en-IN"/>
              </w:rPr>
            </w:pPr>
            <w:r w:rsidRPr="00360D82">
              <w:rPr>
                <w:rFonts w:ascii="Calibri" w:hAnsi="Calibri" w:cs="Calibri"/>
                <w:kern w:val="24"/>
                <w:sz w:val="22"/>
                <w:lang w:eastAsia="en-IN"/>
              </w:rPr>
              <w:t>1.12.3.</w:t>
            </w:r>
            <w:r w:rsidRPr="00360D82">
              <w:rPr>
                <w:rFonts w:ascii="Calibri" w:hAnsi="Calibri" w:cs="Calibri"/>
                <w:kern w:val="24"/>
                <w:sz w:val="22"/>
                <w:lang w:eastAsia="en-IN"/>
              </w:rPr>
              <w:tab/>
              <w:t>Expedite the establishment of the TSU’s</w:t>
            </w:r>
            <w:r>
              <w:rPr>
                <w:rFonts w:ascii="Calibri" w:hAnsi="Calibri" w:cs="Calibri"/>
                <w:kern w:val="24"/>
                <w:sz w:val="22"/>
                <w:lang w:eastAsia="en-IN"/>
              </w:rPr>
              <w:t xml:space="preserve"> for high priority States</w:t>
            </w:r>
            <w:r w:rsidRPr="00360D82">
              <w:rPr>
                <w:rFonts w:ascii="Calibri" w:hAnsi="Calibri" w:cs="Calibri"/>
                <w:kern w:val="24"/>
                <w:sz w:val="22"/>
                <w:lang w:eastAsia="en-IN"/>
              </w:rPr>
              <w:t xml:space="preserve"> </w:t>
            </w:r>
          </w:p>
          <w:p w14:paraId="6EDDE737" w14:textId="77777777" w:rsidR="00FA0EA8" w:rsidRPr="00360D82" w:rsidRDefault="00FA0EA8" w:rsidP="00644DE5">
            <w:pPr>
              <w:spacing w:before="0" w:after="0" w:line="230" w:lineRule="auto"/>
              <w:jc w:val="both"/>
              <w:rPr>
                <w:rFonts w:ascii="Calibri" w:hAnsi="Calibri" w:cs="Calibri"/>
                <w:kern w:val="24"/>
                <w:sz w:val="22"/>
                <w:lang w:eastAsia="en-IN"/>
              </w:rPr>
            </w:pPr>
            <w:r w:rsidRPr="00360D82">
              <w:rPr>
                <w:rFonts w:ascii="Calibri" w:hAnsi="Calibri" w:cs="Calibri"/>
                <w:kern w:val="24"/>
                <w:sz w:val="22"/>
                <w:lang w:eastAsia="en-IN"/>
              </w:rPr>
              <w:lastRenderedPageBreak/>
              <w:t>1.12.4.</w:t>
            </w:r>
            <w:r w:rsidRPr="00360D82">
              <w:rPr>
                <w:rFonts w:ascii="Calibri" w:hAnsi="Calibri" w:cs="Calibri"/>
                <w:kern w:val="24"/>
                <w:sz w:val="22"/>
                <w:lang w:eastAsia="en-IN"/>
              </w:rPr>
              <w:tab/>
              <w:t>Create a platform/mechanism to enlist and provide information on th</w:t>
            </w:r>
            <w:r>
              <w:rPr>
                <w:rFonts w:ascii="Calibri" w:hAnsi="Calibri" w:cs="Calibri"/>
                <w:kern w:val="24"/>
                <w:sz w:val="22"/>
                <w:lang w:eastAsia="en-IN"/>
              </w:rPr>
              <w:t>e available TA subject experts</w:t>
            </w:r>
          </w:p>
        </w:tc>
      </w:tr>
      <w:tr w:rsidR="00FA0EA8" w:rsidRPr="00360D82" w14:paraId="212D0BDC" w14:textId="77777777" w:rsidTr="00644DE5">
        <w:trPr>
          <w:trHeight w:val="35"/>
        </w:trPr>
        <w:tc>
          <w:tcPr>
            <w:tcW w:w="3170" w:type="dxa"/>
            <w:shd w:val="clear" w:color="auto" w:fill="E5E5E5"/>
            <w:tcMar>
              <w:top w:w="14" w:type="dxa"/>
              <w:left w:w="43" w:type="dxa"/>
              <w:bottom w:w="14" w:type="dxa"/>
              <w:right w:w="76" w:type="dxa"/>
            </w:tcMar>
          </w:tcPr>
          <w:p w14:paraId="4E01CD12" w14:textId="77777777"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Pr>
                <w:rFonts w:ascii="Calibri" w:hAnsi="Calibri" w:cs="Calibri"/>
                <w:kern w:val="24"/>
                <w:sz w:val="22"/>
                <w:lang w:eastAsia="en-IN"/>
              </w:rPr>
              <w:lastRenderedPageBreak/>
              <w:t>Address</w:t>
            </w:r>
            <w:r w:rsidRPr="00303A02">
              <w:rPr>
                <w:rFonts w:ascii="Calibri" w:hAnsi="Calibri" w:cs="Calibri"/>
                <w:kern w:val="24"/>
                <w:sz w:val="22"/>
                <w:lang w:eastAsia="en-IN"/>
              </w:rPr>
              <w:t xml:space="preserve"> human rights and gender related barriers in access to TB services</w:t>
            </w:r>
          </w:p>
        </w:tc>
        <w:tc>
          <w:tcPr>
            <w:tcW w:w="5920" w:type="dxa"/>
            <w:gridSpan w:val="2"/>
            <w:shd w:val="clear" w:color="auto" w:fill="E5E5E5"/>
          </w:tcPr>
          <w:p w14:paraId="36250468"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1.13.1.</w:t>
            </w:r>
            <w:r w:rsidRPr="00360D82">
              <w:rPr>
                <w:rFonts w:ascii="Calibri" w:hAnsi="Calibri" w:cs="Calibri"/>
                <w:kern w:val="24"/>
                <w:sz w:val="22"/>
                <w:lang w:eastAsia="en-IN"/>
              </w:rPr>
              <w:tab/>
              <w:t xml:space="preserve">Provide equitable, rights-based TB services for women, men and transgender persons by adopting a gender-specific programmatic approach at all levels  </w:t>
            </w:r>
          </w:p>
          <w:p w14:paraId="4526CD97" w14:textId="77777777" w:rsidR="00FA0EA8" w:rsidRDefault="00FA0EA8" w:rsidP="00644DE5">
            <w:pPr>
              <w:spacing w:before="0" w:after="0" w:line="230" w:lineRule="auto"/>
              <w:ind w:right="107"/>
              <w:jc w:val="both"/>
              <w:rPr>
                <w:rFonts w:ascii="Calibri" w:hAnsi="Calibri" w:cs="Calibri"/>
                <w:kern w:val="24"/>
                <w:sz w:val="22"/>
                <w:lang w:eastAsia="en-IN"/>
              </w:rPr>
            </w:pPr>
            <w:r w:rsidRPr="00360D82">
              <w:rPr>
                <w:rFonts w:ascii="Calibri" w:hAnsi="Calibri" w:cs="Calibri"/>
                <w:kern w:val="24"/>
                <w:sz w:val="22"/>
                <w:lang w:eastAsia="en-IN"/>
              </w:rPr>
              <w:t>1.13.2.</w:t>
            </w:r>
            <w:r w:rsidRPr="00360D82">
              <w:rPr>
                <w:rFonts w:ascii="Calibri" w:hAnsi="Calibri" w:cs="Calibri"/>
                <w:kern w:val="24"/>
                <w:sz w:val="22"/>
                <w:lang w:eastAsia="en-IN"/>
              </w:rPr>
              <w:tab/>
              <w:t>Mobilize, empower and engage women, men and transgender persons in the TB response at the health system and community levels</w:t>
            </w:r>
          </w:p>
          <w:p w14:paraId="7CAA0274"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Pr>
                <w:rFonts w:ascii="Calibri" w:hAnsi="Calibri" w:cs="Calibri"/>
                <w:kern w:val="24"/>
                <w:sz w:val="22"/>
                <w:lang w:eastAsia="en-IN"/>
              </w:rPr>
              <w:t>1.13.3 Create empowered community monitoring system for ensuring human right centric care for people affected by TB.</w:t>
            </w:r>
          </w:p>
        </w:tc>
      </w:tr>
      <w:tr w:rsidR="00FA0EA8" w:rsidRPr="00360D82" w14:paraId="6C8B6DC3" w14:textId="77777777" w:rsidTr="00644DE5">
        <w:trPr>
          <w:trHeight w:val="35"/>
        </w:trPr>
        <w:tc>
          <w:tcPr>
            <w:tcW w:w="3170" w:type="dxa"/>
            <w:shd w:val="clear" w:color="auto" w:fill="E5E5E5"/>
            <w:tcMar>
              <w:top w:w="14" w:type="dxa"/>
              <w:left w:w="43" w:type="dxa"/>
              <w:bottom w:w="14" w:type="dxa"/>
              <w:right w:w="76" w:type="dxa"/>
            </w:tcMar>
          </w:tcPr>
          <w:p w14:paraId="582CCA2B" w14:textId="72D0E63D" w:rsidR="00FA0EA8" w:rsidRPr="00303A02" w:rsidRDefault="00FA0EA8" w:rsidP="009136E5">
            <w:pPr>
              <w:pStyle w:val="ListParagraph"/>
              <w:numPr>
                <w:ilvl w:val="1"/>
                <w:numId w:val="87"/>
              </w:numPr>
              <w:spacing w:before="0" w:after="0" w:line="230" w:lineRule="auto"/>
              <w:ind w:left="750" w:hanging="672"/>
              <w:rPr>
                <w:rFonts w:ascii="Calibri" w:hAnsi="Calibri" w:cs="Calibri"/>
                <w:kern w:val="24"/>
                <w:sz w:val="22"/>
                <w:lang w:eastAsia="en-IN"/>
              </w:rPr>
            </w:pPr>
            <w:r w:rsidRPr="00303A02">
              <w:rPr>
                <w:rFonts w:ascii="Calibri" w:hAnsi="Calibri" w:cs="Calibri"/>
                <w:kern w:val="24"/>
                <w:sz w:val="22"/>
                <w:lang w:eastAsia="en-IN"/>
              </w:rPr>
              <w:t xml:space="preserve">TB care in the era of </w:t>
            </w:r>
            <w:r w:rsidR="001A7278">
              <w:rPr>
                <w:rFonts w:ascii="Calibri" w:hAnsi="Calibri" w:cs="Calibri"/>
                <w:kern w:val="24"/>
                <w:sz w:val="22"/>
                <w:lang w:eastAsia="en-IN"/>
              </w:rPr>
              <w:t xml:space="preserve">COVID-19   </w:t>
            </w:r>
            <w:r w:rsidRPr="00303A02">
              <w:rPr>
                <w:rFonts w:ascii="Calibri" w:hAnsi="Calibri" w:cs="Calibri"/>
                <w:kern w:val="24"/>
                <w:sz w:val="22"/>
                <w:lang w:eastAsia="en-IN"/>
              </w:rPr>
              <w:t xml:space="preserve"> : Build a resilient, responsive and agile NTEP to respond to complex emergencies</w:t>
            </w:r>
          </w:p>
        </w:tc>
        <w:tc>
          <w:tcPr>
            <w:tcW w:w="5920" w:type="dxa"/>
            <w:gridSpan w:val="2"/>
            <w:shd w:val="clear" w:color="auto" w:fill="E5E5E5"/>
          </w:tcPr>
          <w:p w14:paraId="4954A5E4" w14:textId="77777777" w:rsidR="00FA0EA8" w:rsidRDefault="00FA0EA8" w:rsidP="00644DE5">
            <w:pPr>
              <w:spacing w:before="0" w:after="0" w:line="230" w:lineRule="auto"/>
              <w:ind w:right="107"/>
              <w:jc w:val="both"/>
              <w:rPr>
                <w:rFonts w:ascii="Calibri" w:hAnsi="Calibri" w:cs="Calibri"/>
                <w:kern w:val="24"/>
                <w:sz w:val="22"/>
                <w:lang w:eastAsia="en-IN"/>
              </w:rPr>
            </w:pPr>
            <w:r w:rsidRPr="00863E49">
              <w:rPr>
                <w:rFonts w:ascii="Calibri" w:hAnsi="Calibri" w:cs="Calibri"/>
                <w:kern w:val="24"/>
                <w:sz w:val="22"/>
                <w:lang w:eastAsia="en-IN"/>
              </w:rPr>
              <w:t>1.14.1.</w:t>
            </w:r>
            <w:r w:rsidRPr="00863E49">
              <w:rPr>
                <w:rFonts w:ascii="Calibri" w:hAnsi="Calibri" w:cs="Calibri"/>
                <w:kern w:val="24"/>
                <w:sz w:val="22"/>
                <w:lang w:eastAsia="en-IN"/>
              </w:rPr>
              <w:tab/>
            </w:r>
            <w:r w:rsidRPr="00652B98">
              <w:rPr>
                <w:rFonts w:ascii="Calibri" w:hAnsi="Calibri" w:cs="Calibri"/>
                <w:kern w:val="24"/>
                <w:sz w:val="22"/>
                <w:lang w:eastAsia="en-IN"/>
              </w:rPr>
              <w:t>Leverage the momentum generated on anti-COVID-19 response across institutions, policies, regulations and behavioural risk communication for NTEP.</w:t>
            </w:r>
          </w:p>
          <w:p w14:paraId="4F6D069A" w14:textId="77777777" w:rsidR="00FA0EA8" w:rsidRPr="00863E49" w:rsidRDefault="00FA0EA8" w:rsidP="00644DE5">
            <w:pPr>
              <w:spacing w:before="0" w:after="0" w:line="230" w:lineRule="auto"/>
              <w:ind w:right="107"/>
              <w:jc w:val="both"/>
              <w:rPr>
                <w:rFonts w:ascii="Calibri" w:hAnsi="Calibri" w:cs="Calibri"/>
                <w:kern w:val="24"/>
                <w:sz w:val="22"/>
                <w:lang w:eastAsia="en-IN"/>
              </w:rPr>
            </w:pPr>
            <w:r w:rsidRPr="00863E49">
              <w:rPr>
                <w:rFonts w:ascii="Calibri" w:hAnsi="Calibri" w:cs="Calibri"/>
                <w:kern w:val="24"/>
                <w:sz w:val="22"/>
                <w:lang w:eastAsia="en-IN"/>
              </w:rPr>
              <w:t>1.14.2.Pandemic preparedness actions</w:t>
            </w:r>
          </w:p>
          <w:p w14:paraId="24A31591" w14:textId="77777777" w:rsidR="00FA0EA8" w:rsidRPr="00863E49" w:rsidRDefault="00FA0EA8" w:rsidP="00644DE5">
            <w:pPr>
              <w:spacing w:before="0" w:after="0" w:line="230" w:lineRule="auto"/>
              <w:ind w:right="107"/>
              <w:jc w:val="both"/>
              <w:rPr>
                <w:rFonts w:ascii="Calibri" w:hAnsi="Calibri" w:cs="Calibri"/>
                <w:kern w:val="24"/>
                <w:sz w:val="22"/>
                <w:lang w:eastAsia="en-IN"/>
              </w:rPr>
            </w:pPr>
            <w:r w:rsidRPr="00863E49">
              <w:rPr>
                <w:rFonts w:ascii="Calibri" w:hAnsi="Calibri" w:cs="Calibri"/>
                <w:kern w:val="24"/>
                <w:sz w:val="22"/>
                <w:lang w:eastAsia="en-IN"/>
              </w:rPr>
              <w:t>1.14.</w:t>
            </w:r>
            <w:r>
              <w:rPr>
                <w:rFonts w:ascii="Calibri" w:hAnsi="Calibri" w:cs="Calibri"/>
                <w:kern w:val="24"/>
                <w:sz w:val="22"/>
                <w:lang w:eastAsia="en-IN"/>
              </w:rPr>
              <w:t>3</w:t>
            </w:r>
            <w:r w:rsidRPr="00863E49">
              <w:rPr>
                <w:rFonts w:ascii="Calibri" w:hAnsi="Calibri" w:cs="Calibri"/>
                <w:kern w:val="24"/>
                <w:sz w:val="22"/>
                <w:lang w:eastAsia="en-IN"/>
              </w:rPr>
              <w:t>.</w:t>
            </w:r>
            <w:r w:rsidRPr="00863E49">
              <w:rPr>
                <w:rFonts w:ascii="Calibri" w:hAnsi="Calibri" w:cs="Calibri"/>
                <w:kern w:val="24"/>
                <w:sz w:val="22"/>
                <w:lang w:eastAsia="en-IN"/>
              </w:rPr>
              <w:tab/>
              <w:t>Pandemic response</w:t>
            </w:r>
          </w:p>
          <w:p w14:paraId="1F7F2A6D" w14:textId="77777777" w:rsidR="00FA0EA8" w:rsidRPr="00360D82" w:rsidRDefault="00FA0EA8" w:rsidP="00644DE5">
            <w:pPr>
              <w:spacing w:before="0" w:after="0" w:line="230" w:lineRule="auto"/>
              <w:ind w:right="107"/>
              <w:jc w:val="both"/>
              <w:rPr>
                <w:rFonts w:ascii="Calibri" w:hAnsi="Calibri" w:cs="Calibri"/>
                <w:kern w:val="24"/>
                <w:sz w:val="22"/>
                <w:lang w:eastAsia="en-IN"/>
              </w:rPr>
            </w:pPr>
            <w:r w:rsidRPr="00863E49">
              <w:rPr>
                <w:rFonts w:ascii="Calibri" w:hAnsi="Calibri" w:cs="Calibri"/>
                <w:kern w:val="24"/>
                <w:sz w:val="22"/>
                <w:lang w:eastAsia="en-IN"/>
              </w:rPr>
              <w:t>1.1</w:t>
            </w:r>
            <w:r>
              <w:rPr>
                <w:rFonts w:ascii="Calibri" w:hAnsi="Calibri" w:cs="Calibri"/>
                <w:kern w:val="24"/>
                <w:sz w:val="22"/>
                <w:lang w:eastAsia="en-IN"/>
              </w:rPr>
              <w:t>4</w:t>
            </w:r>
            <w:r w:rsidRPr="00863E49">
              <w:rPr>
                <w:rFonts w:ascii="Calibri" w:hAnsi="Calibri" w:cs="Calibri"/>
                <w:kern w:val="24"/>
                <w:sz w:val="22"/>
                <w:lang w:eastAsia="en-IN"/>
              </w:rPr>
              <w:t>.</w:t>
            </w:r>
            <w:r>
              <w:rPr>
                <w:rFonts w:ascii="Calibri" w:hAnsi="Calibri" w:cs="Calibri"/>
                <w:kern w:val="24"/>
                <w:sz w:val="22"/>
                <w:lang w:eastAsia="en-IN"/>
              </w:rPr>
              <w:t>4</w:t>
            </w:r>
            <w:r w:rsidRPr="00863E49">
              <w:rPr>
                <w:rFonts w:ascii="Calibri" w:hAnsi="Calibri" w:cs="Calibri"/>
                <w:kern w:val="24"/>
                <w:sz w:val="22"/>
                <w:lang w:eastAsia="en-IN"/>
              </w:rPr>
              <w:t xml:space="preserve"> Pos</w:t>
            </w:r>
            <w:r>
              <w:rPr>
                <w:rFonts w:ascii="Calibri" w:hAnsi="Calibri" w:cs="Calibri"/>
                <w:kern w:val="24"/>
                <w:sz w:val="22"/>
                <w:lang w:eastAsia="en-IN"/>
              </w:rPr>
              <w:t>t pandemic restoration response</w:t>
            </w:r>
          </w:p>
        </w:tc>
      </w:tr>
      <w:tr w:rsidR="00FA0EA8" w:rsidRPr="00360D82" w14:paraId="3926093F" w14:textId="77777777" w:rsidTr="00644DE5">
        <w:trPr>
          <w:trHeight w:val="230"/>
        </w:trPr>
        <w:tc>
          <w:tcPr>
            <w:tcW w:w="9090" w:type="dxa"/>
            <w:gridSpan w:val="3"/>
            <w:shd w:val="clear" w:color="auto" w:fill="0F243E"/>
            <w:tcMar>
              <w:top w:w="14" w:type="dxa"/>
              <w:left w:w="43" w:type="dxa"/>
              <w:bottom w:w="14" w:type="dxa"/>
            </w:tcMar>
          </w:tcPr>
          <w:p w14:paraId="3BFECDB2"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PILLAR 2:  P R E V E N T</w:t>
            </w:r>
          </w:p>
        </w:tc>
      </w:tr>
      <w:tr w:rsidR="00FA0EA8" w:rsidRPr="00360D82" w14:paraId="684D2BF1" w14:textId="77777777" w:rsidTr="00644DE5">
        <w:trPr>
          <w:trHeight w:val="21"/>
        </w:trPr>
        <w:tc>
          <w:tcPr>
            <w:tcW w:w="9090" w:type="dxa"/>
            <w:gridSpan w:val="3"/>
            <w:shd w:val="clear" w:color="auto" w:fill="0F243E"/>
            <w:tcMar>
              <w:top w:w="14" w:type="dxa"/>
              <w:left w:w="43" w:type="dxa"/>
              <w:bottom w:w="14" w:type="dxa"/>
            </w:tcMar>
          </w:tcPr>
          <w:p w14:paraId="033D78BA"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val="en-GB" w:eastAsia="en-IN"/>
              </w:rPr>
            </w:pPr>
            <w:r w:rsidRPr="00360D82">
              <w:rPr>
                <w:rFonts w:ascii="Calibri" w:eastAsia="Times New Roman" w:hAnsi="Calibri" w:cs="Calibri"/>
                <w:b/>
                <w:bCs/>
                <w:color w:val="FFFFFF"/>
                <w:kern w:val="24"/>
                <w:sz w:val="22"/>
                <w:lang w:eastAsia="en-IN"/>
              </w:rPr>
              <w:t xml:space="preserve">Objective 2: Prevent the emergence of TB in </w:t>
            </w:r>
            <w:r>
              <w:rPr>
                <w:rFonts w:ascii="Calibri" w:eastAsia="Times New Roman" w:hAnsi="Calibri" w:cs="Calibri"/>
                <w:b/>
                <w:bCs/>
                <w:color w:val="FFFFFF"/>
                <w:kern w:val="24"/>
                <w:sz w:val="22"/>
                <w:lang w:eastAsia="en-IN"/>
              </w:rPr>
              <w:t>vulnerable</w:t>
            </w:r>
            <w:r w:rsidRPr="00360D82">
              <w:rPr>
                <w:rFonts w:ascii="Calibri" w:eastAsia="Times New Roman" w:hAnsi="Calibri" w:cs="Calibri"/>
                <w:b/>
                <w:bCs/>
                <w:color w:val="FFFFFF"/>
                <w:kern w:val="24"/>
                <w:sz w:val="22"/>
                <w:lang w:eastAsia="en-IN"/>
              </w:rPr>
              <w:t xml:space="preserve"> populations using a combination of biomedical, behavioural, social and structural </w:t>
            </w:r>
            <w:r>
              <w:rPr>
                <w:rFonts w:ascii="Calibri" w:eastAsia="Times New Roman" w:hAnsi="Calibri" w:cs="Calibri"/>
                <w:b/>
                <w:bCs/>
                <w:color w:val="FFFFFF"/>
                <w:kern w:val="24"/>
                <w:sz w:val="22"/>
                <w:lang w:eastAsia="en-IN"/>
              </w:rPr>
              <w:t xml:space="preserve">targeted </w:t>
            </w:r>
            <w:r w:rsidRPr="00360D82">
              <w:rPr>
                <w:rFonts w:ascii="Calibri" w:eastAsia="Times New Roman" w:hAnsi="Calibri" w:cs="Calibri"/>
                <w:b/>
                <w:bCs/>
                <w:color w:val="FFFFFF"/>
                <w:kern w:val="24"/>
                <w:sz w:val="22"/>
                <w:lang w:eastAsia="en-IN"/>
              </w:rPr>
              <w:t>interventions.</w:t>
            </w:r>
          </w:p>
        </w:tc>
      </w:tr>
      <w:tr w:rsidR="00FA0EA8" w:rsidRPr="00360D82" w14:paraId="69215C5B" w14:textId="77777777" w:rsidTr="00644DE5">
        <w:trPr>
          <w:trHeight w:val="230"/>
        </w:trPr>
        <w:tc>
          <w:tcPr>
            <w:tcW w:w="3170" w:type="dxa"/>
            <w:shd w:val="clear" w:color="auto" w:fill="4381CF"/>
            <w:tcMar>
              <w:top w:w="14" w:type="dxa"/>
              <w:left w:w="43" w:type="dxa"/>
              <w:bottom w:w="14" w:type="dxa"/>
            </w:tcMar>
          </w:tcPr>
          <w:p w14:paraId="739BBB7B"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 xml:space="preserve">S R A T E G I C   A R E A  :   </w:t>
            </w:r>
          </w:p>
          <w:p w14:paraId="387442FD"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2 . 1   t o    2 . 2</w:t>
            </w:r>
          </w:p>
        </w:tc>
        <w:tc>
          <w:tcPr>
            <w:tcW w:w="5920" w:type="dxa"/>
            <w:gridSpan w:val="2"/>
            <w:shd w:val="clear" w:color="auto" w:fill="4381CF"/>
          </w:tcPr>
          <w:p w14:paraId="5F3AAD90"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hAnsi="Calibri" w:cs="Calibri"/>
                <w:b/>
                <w:color w:val="FFFFFF"/>
                <w:kern w:val="24"/>
                <w:sz w:val="22"/>
                <w:lang w:eastAsia="en-IN"/>
              </w:rPr>
              <w:t>I N T E R V E N T I O N S</w:t>
            </w:r>
          </w:p>
        </w:tc>
      </w:tr>
      <w:tr w:rsidR="00FA0EA8" w:rsidRPr="00360D82" w14:paraId="42B6510B" w14:textId="77777777" w:rsidTr="00644DE5">
        <w:trPr>
          <w:trHeight w:val="20"/>
          <w:hidden/>
        </w:trPr>
        <w:tc>
          <w:tcPr>
            <w:tcW w:w="3170" w:type="dxa"/>
            <w:shd w:val="clear" w:color="auto" w:fill="E5E5E5"/>
            <w:tcMar>
              <w:top w:w="14" w:type="dxa"/>
              <w:left w:w="43" w:type="dxa"/>
              <w:bottom w:w="14" w:type="dxa"/>
              <w:right w:w="76" w:type="dxa"/>
            </w:tcMar>
            <w:hideMark/>
          </w:tcPr>
          <w:p w14:paraId="3FE0F03E" w14:textId="77777777" w:rsidR="00FA0EA8" w:rsidRPr="00303A02" w:rsidRDefault="00FA0EA8" w:rsidP="009136E5">
            <w:pPr>
              <w:pStyle w:val="ListParagraph"/>
              <w:numPr>
                <w:ilvl w:val="0"/>
                <w:numId w:val="103"/>
              </w:numPr>
              <w:spacing w:before="0" w:after="0" w:line="230" w:lineRule="auto"/>
              <w:rPr>
                <w:rFonts w:ascii="Calibri" w:hAnsi="Calibri" w:cs="Calibri"/>
                <w:vanish/>
                <w:kern w:val="24"/>
                <w:sz w:val="22"/>
                <w:lang w:eastAsia="en-IN"/>
              </w:rPr>
            </w:pPr>
          </w:p>
          <w:p w14:paraId="336D448E" w14:textId="77777777" w:rsidR="00FA0EA8" w:rsidRPr="00303A02" w:rsidRDefault="00FA0EA8" w:rsidP="009136E5">
            <w:pPr>
              <w:pStyle w:val="ListParagraph"/>
              <w:numPr>
                <w:ilvl w:val="0"/>
                <w:numId w:val="103"/>
              </w:numPr>
              <w:spacing w:before="0" w:after="0" w:line="230" w:lineRule="auto"/>
              <w:rPr>
                <w:rFonts w:ascii="Calibri" w:hAnsi="Calibri" w:cs="Calibri"/>
                <w:vanish/>
                <w:kern w:val="24"/>
                <w:sz w:val="22"/>
                <w:lang w:eastAsia="en-IN"/>
              </w:rPr>
            </w:pPr>
          </w:p>
          <w:p w14:paraId="01EBC0C0" w14:textId="77777777" w:rsidR="00FA0EA8" w:rsidRPr="00303A02" w:rsidRDefault="00FA0EA8" w:rsidP="009136E5">
            <w:pPr>
              <w:pStyle w:val="ListParagraph"/>
              <w:numPr>
                <w:ilvl w:val="1"/>
                <w:numId w:val="103"/>
              </w:numPr>
              <w:spacing w:before="0" w:after="0" w:line="230" w:lineRule="auto"/>
              <w:ind w:left="510"/>
              <w:rPr>
                <w:rFonts w:ascii="Calibri" w:hAnsi="Calibri" w:cs="Calibri"/>
                <w:sz w:val="22"/>
              </w:rPr>
            </w:pPr>
            <w:r w:rsidRPr="00303A02">
              <w:rPr>
                <w:rFonts w:ascii="Calibri" w:hAnsi="Calibri" w:cs="Calibri"/>
                <w:kern w:val="24"/>
                <w:sz w:val="22"/>
                <w:lang w:eastAsia="en-IN"/>
              </w:rPr>
              <w:t>TB Preventive Treatment (TPT) and Programmatic management of  TPT</w:t>
            </w:r>
          </w:p>
        </w:tc>
        <w:tc>
          <w:tcPr>
            <w:tcW w:w="5920" w:type="dxa"/>
            <w:gridSpan w:val="2"/>
            <w:shd w:val="clear" w:color="auto" w:fill="E5E5E5"/>
          </w:tcPr>
          <w:p w14:paraId="4C4E2BF7" w14:textId="23BB1AC1" w:rsidR="00FA0EA8" w:rsidRPr="00360D82" w:rsidRDefault="00FA0EA8" w:rsidP="00644DE5">
            <w:pPr>
              <w:spacing w:before="0" w:after="0" w:line="230" w:lineRule="auto"/>
              <w:ind w:right="107"/>
              <w:rPr>
                <w:rFonts w:ascii="Calibri" w:hAnsi="Calibri" w:cs="Calibri"/>
                <w:sz w:val="22"/>
              </w:rPr>
            </w:pPr>
            <w:r w:rsidRPr="00360D82">
              <w:rPr>
                <w:rFonts w:ascii="Calibri" w:eastAsia="Times New Roman" w:hAnsi="Calibri" w:cs="Calibri"/>
                <w:b/>
                <w:bCs/>
                <w:sz w:val="22"/>
                <w:lang w:val="en-GB" w:eastAsia="en-IN"/>
              </w:rPr>
              <w:t xml:space="preserve">2.1.1  </w:t>
            </w:r>
            <w:r w:rsidR="0027421A" w:rsidRPr="7B856692">
              <w:rPr>
                <w:rFonts w:ascii="Calibri" w:hAnsi="Calibri" w:cs="Calibri"/>
                <w:sz w:val="22"/>
              </w:rPr>
              <w:t xml:space="preserve">Saturation of TPT coverage and integrated monitoring </w:t>
            </w:r>
            <w:r w:rsidR="0027421A" w:rsidRPr="0061288C">
              <w:rPr>
                <w:rFonts w:ascii="Calibri" w:hAnsi="Calibri" w:cs="Calibri"/>
                <w:sz w:val="22"/>
              </w:rPr>
              <w:t>of TPT among</w:t>
            </w:r>
            <w:r w:rsidR="0027421A" w:rsidRPr="7B856692">
              <w:rPr>
                <w:rFonts w:ascii="Calibri" w:hAnsi="Calibri" w:cs="Calibri"/>
                <w:b/>
                <w:bCs/>
                <w:sz w:val="22"/>
              </w:rPr>
              <w:t xml:space="preserve"> </w:t>
            </w:r>
            <w:r w:rsidR="0027421A" w:rsidRPr="7B856692">
              <w:rPr>
                <w:rFonts w:ascii="Calibri" w:hAnsi="Calibri" w:cs="Calibri"/>
                <w:sz w:val="22"/>
              </w:rPr>
              <w:t>PLHIV, contacts of TB patient and other target populations</w:t>
            </w:r>
          </w:p>
          <w:p w14:paraId="6DF96EA2" w14:textId="77777777" w:rsidR="00FA0EA8" w:rsidRPr="00360D82" w:rsidRDefault="00FA0EA8" w:rsidP="00644DE5">
            <w:pPr>
              <w:spacing w:before="0" w:after="0" w:line="230" w:lineRule="auto"/>
              <w:ind w:right="107"/>
              <w:rPr>
                <w:rFonts w:ascii="Calibri" w:hAnsi="Calibri" w:cs="Calibri"/>
                <w:sz w:val="22"/>
              </w:rPr>
            </w:pPr>
            <w:r w:rsidRPr="00360D82">
              <w:rPr>
                <w:rFonts w:ascii="Calibri" w:hAnsi="Calibri" w:cs="Calibri"/>
                <w:sz w:val="22"/>
              </w:rPr>
              <w:t xml:space="preserve">2.1.2 </w:t>
            </w:r>
            <w:r>
              <w:rPr>
                <w:rFonts w:ascii="Calibri" w:hAnsi="Calibri" w:cs="Calibri"/>
                <w:sz w:val="22"/>
              </w:rPr>
              <w:t xml:space="preserve">Introduce and expand </w:t>
            </w:r>
            <w:r w:rsidRPr="00360D82">
              <w:rPr>
                <w:rFonts w:ascii="Calibri" w:hAnsi="Calibri" w:cs="Calibri"/>
                <w:sz w:val="22"/>
              </w:rPr>
              <w:t xml:space="preserve"> phase wise </w:t>
            </w:r>
            <w:r>
              <w:rPr>
                <w:rFonts w:ascii="Calibri" w:hAnsi="Calibri" w:cs="Calibri"/>
                <w:sz w:val="22"/>
              </w:rPr>
              <w:t xml:space="preserve">LTBI management coverage among adolescent and adult contacts in households, proximity contacts, vulnerable populations and workplace contacts </w:t>
            </w:r>
          </w:p>
          <w:p w14:paraId="15162DC5" w14:textId="189E1E93" w:rsidR="00FA0EA8" w:rsidRPr="00360D82" w:rsidRDefault="00FA0EA8" w:rsidP="00644DE5">
            <w:pPr>
              <w:spacing w:before="0" w:after="0" w:line="230" w:lineRule="auto"/>
              <w:ind w:right="107"/>
              <w:rPr>
                <w:rFonts w:ascii="Calibri" w:hAnsi="Calibri" w:cs="Calibri"/>
                <w:sz w:val="22"/>
              </w:rPr>
            </w:pPr>
            <w:r w:rsidRPr="00360D82">
              <w:rPr>
                <w:rFonts w:ascii="Calibri" w:hAnsi="Calibri" w:cs="Calibri"/>
                <w:sz w:val="22"/>
              </w:rPr>
              <w:t>2.1.3 Introduc</w:t>
            </w:r>
            <w:r>
              <w:rPr>
                <w:rFonts w:ascii="Calibri" w:hAnsi="Calibri" w:cs="Calibri"/>
                <w:sz w:val="22"/>
              </w:rPr>
              <w:t xml:space="preserve">e and expand coverage of </w:t>
            </w:r>
            <w:r w:rsidRPr="00360D82">
              <w:rPr>
                <w:rFonts w:ascii="Calibri" w:hAnsi="Calibri" w:cs="Calibri"/>
                <w:sz w:val="22"/>
              </w:rPr>
              <w:t xml:space="preserve">newer and effective TPT diagnostics and </w:t>
            </w:r>
            <w:r w:rsidR="0027421A" w:rsidRPr="43717A59">
              <w:rPr>
                <w:rFonts w:ascii="Calibri" w:hAnsi="Calibri" w:cs="Calibri"/>
                <w:sz w:val="22"/>
              </w:rPr>
              <w:t>shorter</w:t>
            </w:r>
            <w:r w:rsidR="0027421A" w:rsidRPr="00360D82">
              <w:rPr>
                <w:rFonts w:ascii="Calibri" w:hAnsi="Calibri" w:cs="Calibri"/>
                <w:sz w:val="22"/>
              </w:rPr>
              <w:t xml:space="preserve"> </w:t>
            </w:r>
            <w:r w:rsidR="0027421A">
              <w:rPr>
                <w:rFonts w:ascii="Calibri" w:hAnsi="Calibri" w:cs="Calibri"/>
                <w:sz w:val="22"/>
              </w:rPr>
              <w:t xml:space="preserve">TB preventive </w:t>
            </w:r>
            <w:r w:rsidRPr="00360D82">
              <w:rPr>
                <w:rFonts w:ascii="Calibri" w:hAnsi="Calibri" w:cs="Calibri"/>
                <w:sz w:val="22"/>
              </w:rPr>
              <w:t xml:space="preserve">treatment regimens </w:t>
            </w:r>
          </w:p>
          <w:p w14:paraId="0EE6AE38" w14:textId="77777777" w:rsidR="00FA0EA8" w:rsidRPr="00360D82" w:rsidRDefault="00FA0EA8" w:rsidP="00644DE5">
            <w:pPr>
              <w:spacing w:before="0" w:after="0" w:line="230" w:lineRule="auto"/>
              <w:ind w:right="107"/>
              <w:rPr>
                <w:rFonts w:ascii="Calibri" w:hAnsi="Calibri" w:cs="Calibri"/>
                <w:sz w:val="22"/>
              </w:rPr>
            </w:pPr>
            <w:r w:rsidRPr="00360D82">
              <w:rPr>
                <w:rFonts w:ascii="Calibri" w:hAnsi="Calibri" w:cs="Calibri"/>
                <w:sz w:val="22"/>
              </w:rPr>
              <w:t xml:space="preserve">2.1.4 </w:t>
            </w:r>
            <w:r>
              <w:rPr>
                <w:rFonts w:ascii="Calibri" w:hAnsi="Calibri" w:cs="Calibri"/>
                <w:sz w:val="22"/>
              </w:rPr>
              <w:t>Expedite r</w:t>
            </w:r>
            <w:r w:rsidRPr="00360D82">
              <w:rPr>
                <w:rFonts w:ascii="Calibri" w:hAnsi="Calibri" w:cs="Calibri"/>
                <w:sz w:val="22"/>
              </w:rPr>
              <w:t>esearch and fast tracking adoption of new products and innovations</w:t>
            </w:r>
          </w:p>
        </w:tc>
      </w:tr>
      <w:tr w:rsidR="00FA0EA8" w:rsidRPr="00360D82" w14:paraId="61345544" w14:textId="77777777" w:rsidTr="00644DE5">
        <w:trPr>
          <w:trHeight w:val="20"/>
        </w:trPr>
        <w:tc>
          <w:tcPr>
            <w:tcW w:w="3170" w:type="dxa"/>
            <w:shd w:val="clear" w:color="auto" w:fill="E5E5E5"/>
            <w:tcMar>
              <w:top w:w="14" w:type="dxa"/>
              <w:left w:w="43" w:type="dxa"/>
              <w:bottom w:w="14" w:type="dxa"/>
              <w:right w:w="76" w:type="dxa"/>
            </w:tcMar>
          </w:tcPr>
          <w:p w14:paraId="674FDD66" w14:textId="77777777" w:rsidR="00FA0EA8" w:rsidRPr="00303A02" w:rsidRDefault="00FA0EA8" w:rsidP="009136E5">
            <w:pPr>
              <w:pStyle w:val="ListParagraph"/>
              <w:numPr>
                <w:ilvl w:val="1"/>
                <w:numId w:val="103"/>
              </w:numPr>
              <w:spacing w:before="0" w:after="0" w:line="230" w:lineRule="auto"/>
              <w:ind w:left="510"/>
              <w:rPr>
                <w:rFonts w:ascii="Calibri" w:hAnsi="Calibri" w:cs="Calibri"/>
                <w:kern w:val="24"/>
                <w:sz w:val="22"/>
                <w:lang w:eastAsia="en-IN"/>
              </w:rPr>
            </w:pPr>
            <w:r w:rsidRPr="00303A02">
              <w:rPr>
                <w:rFonts w:ascii="Calibri" w:hAnsi="Calibri" w:cs="Calibri"/>
                <w:kern w:val="24"/>
                <w:sz w:val="22"/>
                <w:lang w:eastAsia="en-IN"/>
              </w:rPr>
              <w:t xml:space="preserve">Scale up TB - infection control (TB-IC) measures at home, community, and health care facilities </w:t>
            </w:r>
          </w:p>
        </w:tc>
        <w:tc>
          <w:tcPr>
            <w:tcW w:w="5920" w:type="dxa"/>
            <w:gridSpan w:val="2"/>
            <w:shd w:val="clear" w:color="auto" w:fill="E5E5E5"/>
          </w:tcPr>
          <w:p w14:paraId="7DED7A0D"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Pr>
                <w:rFonts w:ascii="Calibri" w:hAnsi="Calibri" w:cs="Calibri"/>
                <w:kern w:val="24"/>
                <w:sz w:val="22"/>
                <w:lang w:eastAsia="en-IN"/>
              </w:rPr>
              <w:t>2.2.1 Enhance</w:t>
            </w:r>
            <w:r w:rsidRPr="00360D82">
              <w:rPr>
                <w:rFonts w:ascii="Calibri" w:hAnsi="Calibri" w:cs="Calibri"/>
                <w:kern w:val="24"/>
                <w:sz w:val="22"/>
                <w:lang w:eastAsia="en-IN"/>
              </w:rPr>
              <w:t xml:space="preserve"> policy support and  human and financial resources to mainstream Airborne Infection Control </w:t>
            </w:r>
            <w:r>
              <w:rPr>
                <w:rFonts w:ascii="Calibri" w:hAnsi="Calibri" w:cs="Calibri"/>
                <w:kern w:val="24"/>
                <w:sz w:val="22"/>
                <w:lang w:eastAsia="en-IN"/>
              </w:rPr>
              <w:t>(</w:t>
            </w:r>
            <w:r w:rsidRPr="00360D82">
              <w:rPr>
                <w:rFonts w:ascii="Calibri" w:hAnsi="Calibri" w:cs="Calibri"/>
                <w:kern w:val="24"/>
                <w:sz w:val="22"/>
                <w:lang w:eastAsia="en-IN"/>
              </w:rPr>
              <w:t>AIC</w:t>
            </w:r>
            <w:r>
              <w:rPr>
                <w:rFonts w:ascii="Calibri" w:hAnsi="Calibri" w:cs="Calibri"/>
                <w:kern w:val="24"/>
                <w:sz w:val="22"/>
                <w:lang w:eastAsia="en-IN"/>
              </w:rPr>
              <w:t>)</w:t>
            </w:r>
            <w:r w:rsidRPr="00360D82">
              <w:rPr>
                <w:rFonts w:ascii="Calibri" w:hAnsi="Calibri" w:cs="Calibri"/>
                <w:kern w:val="24"/>
                <w:sz w:val="22"/>
                <w:lang w:eastAsia="en-IN"/>
              </w:rPr>
              <w:t xml:space="preserve"> </w:t>
            </w:r>
          </w:p>
          <w:p w14:paraId="1A70496C" w14:textId="199F04E8" w:rsidR="00FA0EA8"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2.2.2 Strengthen AIC through effective implementation of administrative</w:t>
            </w:r>
            <w:r>
              <w:rPr>
                <w:rFonts w:ascii="Calibri" w:hAnsi="Calibri" w:cs="Calibri"/>
                <w:kern w:val="24"/>
                <w:sz w:val="22"/>
                <w:lang w:eastAsia="en-IN"/>
              </w:rPr>
              <w:t>,</w:t>
            </w:r>
            <w:r w:rsidRPr="00360D82">
              <w:rPr>
                <w:rFonts w:ascii="Calibri" w:hAnsi="Calibri" w:cs="Calibri"/>
                <w:kern w:val="24"/>
                <w:sz w:val="22"/>
                <w:lang w:eastAsia="en-IN"/>
              </w:rPr>
              <w:t xml:space="preserve"> </w:t>
            </w:r>
            <w:r>
              <w:rPr>
                <w:rFonts w:ascii="Calibri" w:hAnsi="Calibri" w:cs="Calibri"/>
                <w:kern w:val="24"/>
                <w:sz w:val="22"/>
                <w:lang w:eastAsia="en-IN"/>
              </w:rPr>
              <w:t>environmental measures and personal protection</w:t>
            </w:r>
            <w:r w:rsidRPr="00360D82">
              <w:rPr>
                <w:rFonts w:ascii="Calibri" w:hAnsi="Calibri" w:cs="Calibri"/>
                <w:kern w:val="24"/>
                <w:sz w:val="22"/>
                <w:lang w:eastAsia="en-IN"/>
              </w:rPr>
              <w:t xml:space="preserve"> measures</w:t>
            </w:r>
            <w:r>
              <w:rPr>
                <w:rFonts w:ascii="Calibri" w:hAnsi="Calibri" w:cs="Calibri"/>
                <w:kern w:val="24"/>
                <w:sz w:val="22"/>
                <w:lang w:eastAsia="en-IN"/>
              </w:rPr>
              <w:t xml:space="preserve"> at healthcare, community and workplace settings</w:t>
            </w:r>
          </w:p>
          <w:p w14:paraId="60BD8215" w14:textId="1EEA3279" w:rsidR="00FA0EA8" w:rsidRPr="00360D82" w:rsidRDefault="00FA0EA8" w:rsidP="00644DE5">
            <w:pPr>
              <w:spacing w:before="0" w:after="0" w:line="230" w:lineRule="auto"/>
              <w:ind w:left="78" w:right="107"/>
              <w:jc w:val="both"/>
              <w:rPr>
                <w:rFonts w:ascii="Calibri" w:hAnsi="Calibri" w:cs="Calibri"/>
                <w:kern w:val="24"/>
                <w:sz w:val="22"/>
                <w:lang w:eastAsia="en-IN"/>
              </w:rPr>
            </w:pPr>
            <w:r>
              <w:rPr>
                <w:rFonts w:ascii="Calibri" w:hAnsi="Calibri" w:cs="Calibri"/>
                <w:kern w:val="24"/>
                <w:sz w:val="22"/>
                <w:lang w:eastAsia="en-IN"/>
              </w:rPr>
              <w:t xml:space="preserve">2.2.3 Strengthened and responsive system for </w:t>
            </w:r>
            <w:r w:rsidR="004F37E5" w:rsidRPr="43717A59">
              <w:rPr>
                <w:rFonts w:ascii="Calibri" w:hAnsi="Calibri" w:cs="Calibri"/>
                <w:sz w:val="22"/>
              </w:rPr>
              <w:t>surveillance of  TB among health workers</w:t>
            </w:r>
          </w:p>
        </w:tc>
      </w:tr>
      <w:tr w:rsidR="00FA0EA8" w:rsidRPr="00360D82" w14:paraId="3ED6B987" w14:textId="77777777" w:rsidTr="00644DE5">
        <w:trPr>
          <w:trHeight w:val="35"/>
        </w:trPr>
        <w:tc>
          <w:tcPr>
            <w:tcW w:w="9090" w:type="dxa"/>
            <w:gridSpan w:val="3"/>
            <w:shd w:val="clear" w:color="auto" w:fill="0F243E"/>
            <w:tcMar>
              <w:top w:w="14" w:type="dxa"/>
              <w:left w:w="43" w:type="dxa"/>
              <w:bottom w:w="14" w:type="dxa"/>
            </w:tcMar>
          </w:tcPr>
          <w:p w14:paraId="2FB7F249"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 xml:space="preserve">PILLAR 3 :  D E T E C T   A L L </w:t>
            </w:r>
          </w:p>
        </w:tc>
      </w:tr>
      <w:tr w:rsidR="00FA0EA8" w:rsidRPr="00360D82" w14:paraId="452E9F90" w14:textId="77777777" w:rsidTr="00644DE5">
        <w:trPr>
          <w:trHeight w:val="21"/>
        </w:trPr>
        <w:tc>
          <w:tcPr>
            <w:tcW w:w="9090" w:type="dxa"/>
            <w:gridSpan w:val="3"/>
            <w:shd w:val="clear" w:color="auto" w:fill="0F243E"/>
            <w:tcMar>
              <w:top w:w="14" w:type="dxa"/>
              <w:left w:w="43" w:type="dxa"/>
              <w:bottom w:w="14" w:type="dxa"/>
            </w:tcMar>
          </w:tcPr>
          <w:p w14:paraId="4E98562B"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 xml:space="preserve">Objective 3: Early identification of presumptive TB, at the first point of contact </w:t>
            </w:r>
            <w:r>
              <w:rPr>
                <w:rFonts w:ascii="Calibri" w:eastAsia="Times New Roman" w:hAnsi="Calibri" w:cs="Calibri"/>
                <w:b/>
                <w:bCs/>
                <w:color w:val="FFFFFF"/>
                <w:kern w:val="24"/>
                <w:sz w:val="22"/>
                <w:lang w:eastAsia="en-IN"/>
              </w:rPr>
              <w:t>(</w:t>
            </w:r>
            <w:r w:rsidRPr="00360D82">
              <w:rPr>
                <w:rFonts w:ascii="Calibri" w:eastAsia="Times New Roman" w:hAnsi="Calibri" w:cs="Calibri"/>
                <w:b/>
                <w:bCs/>
                <w:color w:val="FFFFFF"/>
                <w:kern w:val="24"/>
                <w:sz w:val="22"/>
                <w:lang w:eastAsia="en-IN"/>
              </w:rPr>
              <w:t>private or public sectors</w:t>
            </w:r>
            <w:r>
              <w:rPr>
                <w:rFonts w:ascii="Calibri" w:eastAsia="Times New Roman" w:hAnsi="Calibri" w:cs="Calibri"/>
                <w:b/>
                <w:bCs/>
                <w:color w:val="FFFFFF"/>
                <w:kern w:val="24"/>
                <w:sz w:val="22"/>
                <w:lang w:eastAsia="en-IN"/>
              </w:rPr>
              <w:t>)</w:t>
            </w:r>
            <w:r w:rsidRPr="00360D82">
              <w:rPr>
                <w:rFonts w:ascii="Calibri" w:eastAsia="Times New Roman" w:hAnsi="Calibri" w:cs="Calibri"/>
                <w:b/>
                <w:bCs/>
                <w:color w:val="FFFFFF"/>
                <w:kern w:val="24"/>
                <w:sz w:val="22"/>
                <w:lang w:eastAsia="en-IN"/>
              </w:rPr>
              <w:t>, and prompt diagnosis using high sensitivity diagnostic tests to provide universal access to quality TB diagnosis including drug resistant TB in the country.</w:t>
            </w:r>
          </w:p>
        </w:tc>
      </w:tr>
      <w:tr w:rsidR="00FA0EA8" w:rsidRPr="00360D82" w14:paraId="71B92FF6" w14:textId="77777777" w:rsidTr="00644DE5">
        <w:trPr>
          <w:trHeight w:val="212"/>
        </w:trPr>
        <w:tc>
          <w:tcPr>
            <w:tcW w:w="3170" w:type="dxa"/>
            <w:shd w:val="clear" w:color="auto" w:fill="4381CF"/>
            <w:tcMar>
              <w:top w:w="14" w:type="dxa"/>
              <w:left w:w="43" w:type="dxa"/>
              <w:bottom w:w="14" w:type="dxa"/>
            </w:tcMar>
          </w:tcPr>
          <w:p w14:paraId="28AC3F64"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 xml:space="preserve">S R A T E G I C   A R E A  :  </w:t>
            </w:r>
          </w:p>
          <w:p w14:paraId="73089E44"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 xml:space="preserve"> 3 . 1   t o    3 . 3 </w:t>
            </w:r>
          </w:p>
        </w:tc>
        <w:tc>
          <w:tcPr>
            <w:tcW w:w="5920" w:type="dxa"/>
            <w:gridSpan w:val="2"/>
            <w:shd w:val="clear" w:color="auto" w:fill="4381CF"/>
          </w:tcPr>
          <w:p w14:paraId="2CAC86B9"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hAnsi="Calibri" w:cs="Calibri"/>
                <w:b/>
                <w:color w:val="FFFFFF"/>
                <w:kern w:val="24"/>
                <w:sz w:val="22"/>
                <w:lang w:eastAsia="en-IN"/>
              </w:rPr>
              <w:t>I N T E R V E N T I O N S</w:t>
            </w:r>
          </w:p>
        </w:tc>
      </w:tr>
      <w:tr w:rsidR="00FA0EA8" w:rsidRPr="00360D82" w14:paraId="08A45B38" w14:textId="77777777" w:rsidTr="00644DE5">
        <w:trPr>
          <w:trHeight w:val="65"/>
          <w:hidden/>
        </w:trPr>
        <w:tc>
          <w:tcPr>
            <w:tcW w:w="3170" w:type="dxa"/>
            <w:shd w:val="clear" w:color="auto" w:fill="E5E5E5"/>
            <w:tcMar>
              <w:top w:w="14" w:type="dxa"/>
              <w:left w:w="43" w:type="dxa"/>
              <w:bottom w:w="14" w:type="dxa"/>
              <w:right w:w="76" w:type="dxa"/>
            </w:tcMar>
            <w:hideMark/>
          </w:tcPr>
          <w:p w14:paraId="6871D884" w14:textId="77777777" w:rsidR="00FA0EA8" w:rsidRPr="00303A02" w:rsidRDefault="00FA0EA8" w:rsidP="009136E5">
            <w:pPr>
              <w:pStyle w:val="ListParagraph"/>
              <w:numPr>
                <w:ilvl w:val="0"/>
                <w:numId w:val="103"/>
              </w:numPr>
              <w:spacing w:before="0" w:after="0" w:line="230" w:lineRule="auto"/>
              <w:rPr>
                <w:rFonts w:ascii="Calibri" w:hAnsi="Calibri" w:cs="Calibri"/>
                <w:vanish/>
                <w:kern w:val="24"/>
                <w:sz w:val="22"/>
                <w:lang w:eastAsia="en-IN"/>
              </w:rPr>
            </w:pPr>
          </w:p>
          <w:p w14:paraId="728C2C5F" w14:textId="77777777" w:rsidR="00FA0EA8" w:rsidRPr="00303A02" w:rsidRDefault="00FA0EA8" w:rsidP="009136E5">
            <w:pPr>
              <w:pStyle w:val="ListParagraph"/>
              <w:numPr>
                <w:ilvl w:val="1"/>
                <w:numId w:val="103"/>
              </w:numPr>
              <w:spacing w:before="0" w:after="0" w:line="230" w:lineRule="auto"/>
              <w:ind w:left="510"/>
              <w:rPr>
                <w:rFonts w:ascii="Calibri" w:hAnsi="Calibri" w:cs="Calibri"/>
                <w:vanish/>
                <w:kern w:val="24"/>
                <w:sz w:val="22"/>
                <w:lang w:eastAsia="en-IN"/>
              </w:rPr>
            </w:pPr>
            <w:r w:rsidRPr="00303A02">
              <w:rPr>
                <w:rFonts w:ascii="Calibri" w:hAnsi="Calibri" w:cs="Calibri"/>
                <w:kern w:val="24"/>
                <w:sz w:val="22"/>
                <w:lang w:eastAsia="en-IN"/>
              </w:rPr>
              <w:t>Scale-up free, high sensitivity diagnostic tests and algorithms</w:t>
            </w:r>
          </w:p>
        </w:tc>
        <w:tc>
          <w:tcPr>
            <w:tcW w:w="5920" w:type="dxa"/>
            <w:gridSpan w:val="2"/>
            <w:shd w:val="clear" w:color="auto" w:fill="E5E5E5"/>
          </w:tcPr>
          <w:p w14:paraId="068F3259"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 xml:space="preserve">3.1.1. Enhance the use of novel and improved strategies to enable diagnosis of latent as well as active TB (including DR TB) </w:t>
            </w:r>
          </w:p>
          <w:p w14:paraId="3E8B414C"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3.1.2. Strengthen the laboratory and diagnostic systems</w:t>
            </w:r>
            <w:r>
              <w:rPr>
                <w:rFonts w:ascii="Calibri" w:hAnsi="Calibri" w:cs="Calibri"/>
                <w:kern w:val="24"/>
                <w:sz w:val="22"/>
                <w:lang w:eastAsia="en-IN"/>
              </w:rPr>
              <w:t xml:space="preserve"> to shift from sputum microscopy to molecular diagnostics for diagnosis of TB, in a phased manner</w:t>
            </w:r>
            <w:r w:rsidRPr="00360D82">
              <w:rPr>
                <w:rFonts w:ascii="Calibri" w:hAnsi="Calibri" w:cs="Calibri"/>
                <w:kern w:val="24"/>
                <w:sz w:val="22"/>
                <w:lang w:eastAsia="en-IN"/>
              </w:rPr>
              <w:t xml:space="preserve"> </w:t>
            </w:r>
          </w:p>
          <w:p w14:paraId="7F54C697" w14:textId="77777777" w:rsidR="00FA0EA8"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lastRenderedPageBreak/>
              <w:t>3.1.3 Strengthen efficient specimen transport</w:t>
            </w:r>
            <w:r>
              <w:rPr>
                <w:rFonts w:ascii="Calibri" w:hAnsi="Calibri" w:cs="Calibri"/>
                <w:kern w:val="24"/>
                <w:sz w:val="22"/>
                <w:lang w:eastAsia="en-IN"/>
              </w:rPr>
              <w:t xml:space="preserve"> mechanisms</w:t>
            </w:r>
          </w:p>
          <w:p w14:paraId="725381B8" w14:textId="555E2BBF" w:rsidR="00FA0EA8" w:rsidRPr="00360D82" w:rsidRDefault="00FA0EA8" w:rsidP="00644DE5">
            <w:pPr>
              <w:spacing w:before="0" w:after="0" w:line="230" w:lineRule="auto"/>
              <w:ind w:left="78" w:right="107"/>
              <w:jc w:val="both"/>
              <w:rPr>
                <w:rFonts w:ascii="Calibri" w:hAnsi="Calibri" w:cs="Calibri"/>
                <w:kern w:val="24"/>
                <w:sz w:val="22"/>
                <w:lang w:eastAsia="en-IN"/>
              </w:rPr>
            </w:pPr>
            <w:r>
              <w:rPr>
                <w:rFonts w:ascii="Calibri" w:hAnsi="Calibri" w:cs="Calibri"/>
                <w:kern w:val="24"/>
                <w:sz w:val="22"/>
                <w:lang w:eastAsia="en-IN"/>
              </w:rPr>
              <w:t xml:space="preserve">3.1.4 Establish and </w:t>
            </w:r>
            <w:r w:rsidR="009B4BB5">
              <w:rPr>
                <w:rFonts w:ascii="Calibri" w:hAnsi="Calibri" w:cs="Calibri"/>
                <w:kern w:val="24"/>
                <w:sz w:val="22"/>
                <w:lang w:eastAsia="en-IN"/>
              </w:rPr>
              <w:t>implement</w:t>
            </w:r>
            <w:r>
              <w:rPr>
                <w:rFonts w:ascii="Calibri" w:hAnsi="Calibri" w:cs="Calibri"/>
                <w:kern w:val="24"/>
                <w:sz w:val="22"/>
                <w:lang w:eastAsia="en-IN"/>
              </w:rPr>
              <w:t xml:space="preserve"> systems for monitoring of quality assurance and time-bound delivery of laboratory services </w:t>
            </w:r>
            <w:r w:rsidRPr="00360D82">
              <w:rPr>
                <w:rFonts w:ascii="Calibri" w:hAnsi="Calibri" w:cs="Calibri"/>
                <w:kern w:val="24"/>
                <w:sz w:val="22"/>
                <w:lang w:eastAsia="en-IN"/>
              </w:rPr>
              <w:t xml:space="preserve"> </w:t>
            </w:r>
          </w:p>
        </w:tc>
      </w:tr>
      <w:tr w:rsidR="00FA0EA8" w:rsidRPr="00360D82" w14:paraId="5A597D19" w14:textId="77777777" w:rsidTr="00644DE5">
        <w:trPr>
          <w:trHeight w:val="192"/>
        </w:trPr>
        <w:tc>
          <w:tcPr>
            <w:tcW w:w="3170" w:type="dxa"/>
            <w:shd w:val="clear" w:color="auto" w:fill="E5E5E5"/>
            <w:tcMar>
              <w:top w:w="14" w:type="dxa"/>
              <w:left w:w="43" w:type="dxa"/>
              <w:bottom w:w="14" w:type="dxa"/>
              <w:right w:w="76" w:type="dxa"/>
            </w:tcMar>
          </w:tcPr>
          <w:p w14:paraId="244C3210" w14:textId="77777777" w:rsidR="00FA0EA8" w:rsidRPr="00303A02" w:rsidRDefault="00FA0EA8" w:rsidP="009136E5">
            <w:pPr>
              <w:pStyle w:val="ListParagraph"/>
              <w:numPr>
                <w:ilvl w:val="1"/>
                <w:numId w:val="103"/>
              </w:numPr>
              <w:spacing w:before="0" w:after="0" w:line="230" w:lineRule="auto"/>
              <w:ind w:left="510"/>
              <w:rPr>
                <w:rFonts w:ascii="Calibri" w:hAnsi="Calibri" w:cs="Calibri"/>
                <w:kern w:val="24"/>
                <w:sz w:val="22"/>
                <w:lang w:eastAsia="en-IN"/>
              </w:rPr>
            </w:pPr>
            <w:r w:rsidRPr="00303A02">
              <w:rPr>
                <w:rFonts w:ascii="Calibri" w:hAnsi="Calibri" w:cs="Calibri"/>
                <w:kern w:val="24"/>
                <w:sz w:val="22"/>
                <w:lang w:eastAsia="en-IN"/>
              </w:rPr>
              <w:lastRenderedPageBreak/>
              <w:t>Intensify TB case finding efforts through a whole of sector approach to cover all programmes within the MOHFW and other</w:t>
            </w:r>
            <w:r>
              <w:rPr>
                <w:rFonts w:ascii="Calibri" w:hAnsi="Calibri" w:cs="Calibri"/>
                <w:kern w:val="24"/>
                <w:sz w:val="22"/>
                <w:lang w:eastAsia="en-IN"/>
              </w:rPr>
              <w:t xml:space="preserve"> line</w:t>
            </w:r>
            <w:r w:rsidRPr="00303A02">
              <w:rPr>
                <w:rFonts w:ascii="Calibri" w:hAnsi="Calibri" w:cs="Calibri"/>
                <w:kern w:val="24"/>
                <w:sz w:val="22"/>
                <w:lang w:eastAsia="en-IN"/>
              </w:rPr>
              <w:t xml:space="preserve"> ministries</w:t>
            </w:r>
          </w:p>
        </w:tc>
        <w:tc>
          <w:tcPr>
            <w:tcW w:w="5920" w:type="dxa"/>
            <w:gridSpan w:val="2"/>
            <w:shd w:val="clear" w:color="auto" w:fill="E5E5E5"/>
          </w:tcPr>
          <w:p w14:paraId="1A294491"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3.2.1</w:t>
            </w:r>
            <w:r>
              <w:rPr>
                <w:rFonts w:ascii="Calibri" w:hAnsi="Calibri" w:cs="Calibri"/>
                <w:kern w:val="24"/>
                <w:sz w:val="22"/>
                <w:lang w:eastAsia="en-IN"/>
              </w:rPr>
              <w:t xml:space="preserve"> Create an</w:t>
            </w:r>
            <w:r w:rsidRPr="00360D82">
              <w:rPr>
                <w:rFonts w:ascii="Calibri" w:hAnsi="Calibri" w:cs="Calibri"/>
                <w:kern w:val="24"/>
                <w:sz w:val="22"/>
                <w:lang w:eastAsia="en-IN"/>
              </w:rPr>
              <w:t xml:space="preserve"> Integrated diagnostic algorithm to detect all forms of TB (latent, active, and DR-TB) </w:t>
            </w:r>
          </w:p>
          <w:p w14:paraId="3C381D5B"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Pr>
                <w:rFonts w:ascii="Calibri" w:hAnsi="Calibri" w:cs="Calibri"/>
                <w:kern w:val="24"/>
                <w:sz w:val="22"/>
                <w:lang w:eastAsia="en-IN"/>
              </w:rPr>
              <w:t>3.2.2. Integrate</w:t>
            </w:r>
            <w:r w:rsidRPr="00360D82">
              <w:rPr>
                <w:rFonts w:ascii="Calibri" w:hAnsi="Calibri" w:cs="Calibri"/>
                <w:kern w:val="24"/>
                <w:sz w:val="22"/>
                <w:lang w:eastAsia="en-IN"/>
              </w:rPr>
              <w:t xml:space="preserve"> TB diagnosis </w:t>
            </w:r>
            <w:r>
              <w:rPr>
                <w:rFonts w:ascii="Calibri" w:hAnsi="Calibri" w:cs="Calibri"/>
                <w:kern w:val="24"/>
                <w:sz w:val="22"/>
                <w:lang w:eastAsia="en-IN"/>
              </w:rPr>
              <w:t xml:space="preserve">with public health laboratories at sub district levels </w:t>
            </w:r>
            <w:r w:rsidRPr="00360D82">
              <w:rPr>
                <w:rFonts w:ascii="Calibri" w:hAnsi="Calibri" w:cs="Calibri"/>
                <w:kern w:val="24"/>
                <w:sz w:val="22"/>
                <w:lang w:eastAsia="en-IN"/>
              </w:rPr>
              <w:t xml:space="preserve">within the existing health system </w:t>
            </w:r>
            <w:r>
              <w:rPr>
                <w:rFonts w:ascii="Calibri" w:hAnsi="Calibri" w:cs="Calibri"/>
                <w:kern w:val="24"/>
                <w:sz w:val="22"/>
                <w:lang w:eastAsia="en-IN"/>
              </w:rPr>
              <w:t xml:space="preserve">and decentralize molecular diagnostics to block levels </w:t>
            </w:r>
            <w:r w:rsidRPr="00360D82">
              <w:rPr>
                <w:rFonts w:ascii="Calibri" w:hAnsi="Calibri" w:cs="Calibri"/>
                <w:kern w:val="24"/>
                <w:sz w:val="22"/>
                <w:lang w:eastAsia="en-IN"/>
              </w:rPr>
              <w:t xml:space="preserve">for extensive outreach </w:t>
            </w:r>
          </w:p>
          <w:p w14:paraId="4FCB0C1E"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 xml:space="preserve">3.3.3. </w:t>
            </w:r>
            <w:r>
              <w:rPr>
                <w:rFonts w:ascii="Calibri" w:hAnsi="Calibri" w:cs="Calibri"/>
                <w:kern w:val="24"/>
                <w:sz w:val="22"/>
                <w:lang w:eastAsia="en-IN"/>
              </w:rPr>
              <w:t>Conduct p</w:t>
            </w:r>
            <w:r w:rsidRPr="00360D82">
              <w:rPr>
                <w:rFonts w:ascii="Calibri" w:hAnsi="Calibri" w:cs="Calibri"/>
                <w:kern w:val="24"/>
                <w:sz w:val="22"/>
                <w:lang w:eastAsia="en-IN"/>
              </w:rPr>
              <w:t>redictive analysis for hot spot identification</w:t>
            </w:r>
            <w:r>
              <w:rPr>
                <w:rFonts w:ascii="Calibri" w:hAnsi="Calibri" w:cs="Calibri"/>
                <w:kern w:val="24"/>
                <w:sz w:val="22"/>
                <w:lang w:eastAsia="en-IN"/>
              </w:rPr>
              <w:t xml:space="preserve"> and</w:t>
            </w:r>
            <w:r w:rsidRPr="00360D82">
              <w:rPr>
                <w:rFonts w:ascii="Calibri" w:hAnsi="Calibri" w:cs="Calibri"/>
                <w:kern w:val="24"/>
                <w:sz w:val="22"/>
                <w:lang w:eastAsia="en-IN"/>
              </w:rPr>
              <w:t xml:space="preserve"> vulnerability mapping </w:t>
            </w:r>
          </w:p>
          <w:p w14:paraId="3B9CAF7E"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 xml:space="preserve">3.3.4 </w:t>
            </w:r>
            <w:r>
              <w:rPr>
                <w:rFonts w:ascii="Calibri" w:hAnsi="Calibri" w:cs="Calibri"/>
                <w:kern w:val="24"/>
                <w:sz w:val="22"/>
                <w:lang w:eastAsia="en-IN"/>
              </w:rPr>
              <w:t>Conduct s</w:t>
            </w:r>
            <w:r w:rsidRPr="00360D82">
              <w:rPr>
                <w:rFonts w:ascii="Calibri" w:hAnsi="Calibri" w:cs="Calibri"/>
                <w:kern w:val="24"/>
                <w:sz w:val="22"/>
                <w:lang w:eastAsia="en-IN"/>
              </w:rPr>
              <w:t xml:space="preserve">ystematic screening of high-risk </w:t>
            </w:r>
            <w:r>
              <w:rPr>
                <w:rFonts w:ascii="Calibri" w:hAnsi="Calibri" w:cs="Calibri"/>
                <w:kern w:val="24"/>
                <w:sz w:val="22"/>
                <w:lang w:eastAsia="en-IN"/>
              </w:rPr>
              <w:t xml:space="preserve">/ vulnerable </w:t>
            </w:r>
            <w:r w:rsidRPr="00360D82">
              <w:rPr>
                <w:rFonts w:ascii="Calibri" w:hAnsi="Calibri" w:cs="Calibri"/>
                <w:kern w:val="24"/>
                <w:sz w:val="22"/>
                <w:lang w:eastAsia="en-IN"/>
              </w:rPr>
              <w:t xml:space="preserve">groups through outreach and community-based approaches using digital x-rays and rapid and more sensitive </w:t>
            </w:r>
            <w:r>
              <w:rPr>
                <w:rFonts w:ascii="Calibri" w:hAnsi="Calibri" w:cs="Calibri"/>
                <w:kern w:val="24"/>
                <w:sz w:val="22"/>
                <w:lang w:eastAsia="en-IN"/>
              </w:rPr>
              <w:t xml:space="preserve">molecular </w:t>
            </w:r>
            <w:r w:rsidRPr="00360D82">
              <w:rPr>
                <w:rFonts w:ascii="Calibri" w:hAnsi="Calibri" w:cs="Calibri"/>
                <w:kern w:val="24"/>
                <w:sz w:val="22"/>
                <w:lang w:eastAsia="en-IN"/>
              </w:rPr>
              <w:t xml:space="preserve">diagnostics </w:t>
            </w:r>
          </w:p>
          <w:p w14:paraId="05055164" w14:textId="77777777" w:rsidR="00FA0EA8" w:rsidRPr="00360D82" w:rsidRDefault="00FA0EA8" w:rsidP="00644DE5">
            <w:pPr>
              <w:pStyle w:val="ListParagraph"/>
              <w:spacing w:before="0" w:after="0" w:line="230" w:lineRule="auto"/>
              <w:ind w:left="0" w:right="107"/>
              <w:jc w:val="both"/>
              <w:rPr>
                <w:rFonts w:ascii="Calibri" w:hAnsi="Calibri" w:cs="Calibri"/>
                <w:kern w:val="24"/>
                <w:sz w:val="22"/>
                <w:lang w:val="en-IN" w:eastAsia="en-IN"/>
              </w:rPr>
            </w:pPr>
            <w:r w:rsidRPr="00360D82">
              <w:rPr>
                <w:rFonts w:ascii="Calibri" w:hAnsi="Calibri" w:cs="Calibri"/>
                <w:kern w:val="24"/>
                <w:sz w:val="22"/>
                <w:lang w:val="en-IN" w:eastAsia="en-IN"/>
              </w:rPr>
              <w:t xml:space="preserve">3.3.5 </w:t>
            </w:r>
            <w:r>
              <w:rPr>
                <w:rFonts w:ascii="Calibri" w:hAnsi="Calibri" w:cs="Calibri"/>
                <w:kern w:val="24"/>
                <w:sz w:val="22"/>
                <w:lang w:val="en-IN" w:eastAsia="en-IN"/>
              </w:rPr>
              <w:t>Institute s</w:t>
            </w:r>
            <w:r w:rsidRPr="00360D82">
              <w:rPr>
                <w:rFonts w:ascii="Calibri" w:hAnsi="Calibri" w:cs="Calibri"/>
                <w:kern w:val="24"/>
                <w:sz w:val="22"/>
                <w:lang w:val="en-IN" w:eastAsia="en-IN"/>
              </w:rPr>
              <w:t>ystematic screening for</w:t>
            </w:r>
            <w:r>
              <w:rPr>
                <w:rFonts w:ascii="Calibri" w:hAnsi="Calibri" w:cs="Calibri"/>
                <w:kern w:val="24"/>
                <w:sz w:val="22"/>
                <w:lang w:val="en-IN" w:eastAsia="en-IN"/>
              </w:rPr>
              <w:t xml:space="preserve"> TB</w:t>
            </w:r>
            <w:r w:rsidRPr="00360D82">
              <w:rPr>
                <w:rFonts w:ascii="Calibri" w:hAnsi="Calibri" w:cs="Calibri"/>
                <w:kern w:val="24"/>
                <w:sz w:val="22"/>
                <w:lang w:val="en-IN" w:eastAsia="en-IN"/>
              </w:rPr>
              <w:t xml:space="preserve"> symptoms in health care institutions/ OPDs </w:t>
            </w:r>
            <w:r>
              <w:rPr>
                <w:rFonts w:ascii="Calibri" w:hAnsi="Calibri" w:cs="Calibri"/>
                <w:kern w:val="24"/>
                <w:sz w:val="22"/>
                <w:lang w:val="en-IN" w:eastAsia="en-IN"/>
              </w:rPr>
              <w:t xml:space="preserve">including COVID screening </w:t>
            </w:r>
          </w:p>
          <w:p w14:paraId="381009EC" w14:textId="5C28082C" w:rsidR="00FA0EA8" w:rsidRPr="00360D82" w:rsidRDefault="00FA0EA8" w:rsidP="00D80028">
            <w:pPr>
              <w:pStyle w:val="ListParagraph"/>
              <w:spacing w:before="0" w:after="0" w:line="230" w:lineRule="auto"/>
              <w:ind w:left="0" w:right="107"/>
              <w:jc w:val="both"/>
              <w:rPr>
                <w:rFonts w:ascii="Calibri" w:hAnsi="Calibri" w:cs="Calibri"/>
                <w:kern w:val="24"/>
                <w:sz w:val="22"/>
                <w:lang w:val="en-IN" w:eastAsia="en-IN"/>
              </w:rPr>
            </w:pPr>
            <w:r w:rsidRPr="00360D82">
              <w:rPr>
                <w:rFonts w:ascii="Calibri" w:hAnsi="Calibri" w:cs="Calibri"/>
                <w:kern w:val="24"/>
                <w:sz w:val="22"/>
                <w:lang w:val="en-IN" w:eastAsia="en-IN"/>
              </w:rPr>
              <w:t>3.3.6 Intensified contact tracing/investigation</w:t>
            </w:r>
            <w:r w:rsidR="004F37E5">
              <w:rPr>
                <w:rFonts w:ascii="Calibri" w:hAnsi="Calibri" w:cs="Calibri"/>
                <w:kern w:val="24"/>
                <w:sz w:val="22"/>
                <w:lang w:val="en-IN" w:eastAsia="en-IN"/>
              </w:rPr>
              <w:t xml:space="preserve"> </w:t>
            </w:r>
            <w:r w:rsidR="004F37E5" w:rsidRPr="2343DF4C">
              <w:rPr>
                <w:rFonts w:ascii="Calibri" w:hAnsi="Calibri" w:cs="Calibri"/>
                <w:color w:val="000000" w:themeColor="text1"/>
                <w:sz w:val="22"/>
              </w:rPr>
              <w:t>using community-based and other approaches</w:t>
            </w:r>
            <w:r w:rsidRPr="00360D82">
              <w:rPr>
                <w:rFonts w:ascii="Calibri" w:hAnsi="Calibri" w:cs="Calibri"/>
                <w:kern w:val="24"/>
                <w:sz w:val="22"/>
                <w:lang w:val="en-IN" w:eastAsia="en-IN"/>
              </w:rPr>
              <w:t xml:space="preserve"> to cover </w:t>
            </w:r>
            <w:r>
              <w:rPr>
                <w:rFonts w:ascii="Calibri" w:hAnsi="Calibri" w:cs="Calibri"/>
                <w:kern w:val="24"/>
                <w:sz w:val="22"/>
                <w:lang w:val="en-IN" w:eastAsia="en-IN"/>
              </w:rPr>
              <w:t xml:space="preserve">households, proximal contacts and workplace settings </w:t>
            </w:r>
            <w:r w:rsidRPr="00360D82">
              <w:rPr>
                <w:rFonts w:ascii="Calibri" w:hAnsi="Calibri" w:cs="Calibri"/>
                <w:kern w:val="24"/>
                <w:sz w:val="22"/>
                <w:lang w:val="en-IN" w:eastAsia="en-IN"/>
              </w:rPr>
              <w:t>and follow up</w:t>
            </w:r>
          </w:p>
        </w:tc>
      </w:tr>
      <w:tr w:rsidR="00FA0EA8" w:rsidRPr="00360D82" w14:paraId="2BA9C887" w14:textId="77777777" w:rsidTr="00644DE5">
        <w:trPr>
          <w:trHeight w:val="21"/>
        </w:trPr>
        <w:tc>
          <w:tcPr>
            <w:tcW w:w="9090" w:type="dxa"/>
            <w:gridSpan w:val="3"/>
            <w:shd w:val="clear" w:color="auto" w:fill="0F243E"/>
            <w:tcMar>
              <w:top w:w="14" w:type="dxa"/>
              <w:left w:w="43" w:type="dxa"/>
              <w:bottom w:w="14" w:type="dxa"/>
            </w:tcMar>
          </w:tcPr>
          <w:p w14:paraId="3621042B"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PILLAR 4: T R E A T   A L L</w:t>
            </w:r>
          </w:p>
        </w:tc>
      </w:tr>
      <w:tr w:rsidR="00FA0EA8" w:rsidRPr="00360D82" w14:paraId="36C80B4B" w14:textId="77777777" w:rsidTr="00644DE5">
        <w:trPr>
          <w:trHeight w:val="723"/>
        </w:trPr>
        <w:tc>
          <w:tcPr>
            <w:tcW w:w="9090" w:type="dxa"/>
            <w:gridSpan w:val="3"/>
            <w:shd w:val="clear" w:color="auto" w:fill="0F243E"/>
            <w:tcMar>
              <w:top w:w="14" w:type="dxa"/>
              <w:left w:w="43" w:type="dxa"/>
              <w:bottom w:w="14" w:type="dxa"/>
            </w:tcMar>
          </w:tcPr>
          <w:p w14:paraId="2B7EB3E4"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val="en-GB" w:eastAsia="en-IN"/>
              </w:rPr>
            </w:pPr>
            <w:r w:rsidRPr="00360D82">
              <w:rPr>
                <w:rFonts w:ascii="Calibri" w:eastAsia="Times New Roman" w:hAnsi="Calibri" w:cs="Calibri"/>
                <w:b/>
                <w:bCs/>
                <w:color w:val="FFFFFF"/>
                <w:kern w:val="24"/>
                <w:sz w:val="22"/>
                <w:lang w:eastAsia="en-IN"/>
              </w:rPr>
              <w:t xml:space="preserve">Objective 4: Initiate and </w:t>
            </w:r>
            <w:r w:rsidRPr="00360D82">
              <w:rPr>
                <w:rFonts w:ascii="Calibri" w:eastAsia="Times New Roman" w:hAnsi="Calibri" w:cs="Calibri"/>
                <w:b/>
                <w:bCs/>
                <w:color w:val="FFFFFF"/>
                <w:kern w:val="24"/>
                <w:sz w:val="22"/>
                <w:lang w:val="en-GB" w:eastAsia="en-IN"/>
              </w:rPr>
              <w:t xml:space="preserve">sustain, equitable access to </w:t>
            </w:r>
            <w:r>
              <w:rPr>
                <w:rFonts w:ascii="Calibri" w:eastAsia="Times New Roman" w:hAnsi="Calibri" w:cs="Calibri"/>
                <w:b/>
                <w:bCs/>
                <w:color w:val="FFFFFF"/>
                <w:kern w:val="24"/>
                <w:sz w:val="22"/>
                <w:lang w:val="en-GB" w:eastAsia="en-IN"/>
              </w:rPr>
              <w:t xml:space="preserve">free </w:t>
            </w:r>
            <w:r w:rsidRPr="00360D82">
              <w:rPr>
                <w:rFonts w:ascii="Calibri" w:eastAsia="Times New Roman" w:hAnsi="Calibri" w:cs="Calibri"/>
                <w:b/>
                <w:bCs/>
                <w:color w:val="FFFFFF"/>
                <w:kern w:val="24"/>
                <w:sz w:val="22"/>
                <w:lang w:val="en-GB" w:eastAsia="en-IN"/>
              </w:rPr>
              <w:t>high quality TB treatment, care and support services responsive to the community needs thereby protecting the population especially the poor and vulnerable from TB related morbidity</w:t>
            </w:r>
            <w:r>
              <w:rPr>
                <w:rFonts w:ascii="Calibri" w:eastAsia="Times New Roman" w:hAnsi="Calibri" w:cs="Calibri"/>
                <w:b/>
                <w:bCs/>
                <w:color w:val="FFFFFF"/>
                <w:kern w:val="24"/>
                <w:sz w:val="22"/>
                <w:lang w:val="en-GB" w:eastAsia="en-IN"/>
              </w:rPr>
              <w:t xml:space="preserve"> and</w:t>
            </w:r>
            <w:r w:rsidRPr="00360D82">
              <w:rPr>
                <w:rFonts w:ascii="Calibri" w:eastAsia="Times New Roman" w:hAnsi="Calibri" w:cs="Calibri"/>
                <w:b/>
                <w:bCs/>
                <w:color w:val="FFFFFF"/>
                <w:kern w:val="24"/>
                <w:sz w:val="22"/>
                <w:lang w:val="en-GB" w:eastAsia="en-IN"/>
              </w:rPr>
              <w:t xml:space="preserve"> mortality .</w:t>
            </w:r>
          </w:p>
        </w:tc>
      </w:tr>
      <w:tr w:rsidR="00FA0EA8" w:rsidRPr="00360D82" w14:paraId="08136D89" w14:textId="77777777" w:rsidTr="00644DE5">
        <w:trPr>
          <w:trHeight w:val="21"/>
        </w:trPr>
        <w:tc>
          <w:tcPr>
            <w:tcW w:w="3170" w:type="dxa"/>
            <w:shd w:val="clear" w:color="auto" w:fill="4381CF"/>
            <w:tcMar>
              <w:top w:w="14" w:type="dxa"/>
              <w:left w:w="43" w:type="dxa"/>
              <w:bottom w:w="14" w:type="dxa"/>
            </w:tcMar>
          </w:tcPr>
          <w:p w14:paraId="33661171"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 xml:space="preserve">S R A T E G I C   A R E A    </w:t>
            </w:r>
          </w:p>
          <w:p w14:paraId="6DB7E3AE"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eastAsia="Times New Roman" w:hAnsi="Calibri" w:cs="Calibri"/>
                <w:b/>
                <w:bCs/>
                <w:color w:val="FFFFFF"/>
                <w:kern w:val="24"/>
                <w:sz w:val="22"/>
                <w:lang w:eastAsia="en-IN"/>
              </w:rPr>
              <w:t>4 . 1   t o    4 . 4</w:t>
            </w:r>
          </w:p>
        </w:tc>
        <w:tc>
          <w:tcPr>
            <w:tcW w:w="5920" w:type="dxa"/>
            <w:gridSpan w:val="2"/>
            <w:shd w:val="clear" w:color="auto" w:fill="4381CF"/>
          </w:tcPr>
          <w:p w14:paraId="42A67CED" w14:textId="77777777" w:rsidR="00FA0EA8" w:rsidRPr="00360D82" w:rsidRDefault="00FA0EA8" w:rsidP="00644DE5">
            <w:pPr>
              <w:spacing w:before="0" w:after="0" w:line="230" w:lineRule="auto"/>
              <w:jc w:val="both"/>
              <w:rPr>
                <w:rFonts w:ascii="Calibri" w:eastAsia="Times New Roman" w:hAnsi="Calibri" w:cs="Calibri"/>
                <w:b/>
                <w:bCs/>
                <w:color w:val="FFFFFF"/>
                <w:kern w:val="24"/>
                <w:sz w:val="22"/>
                <w:lang w:eastAsia="en-IN"/>
              </w:rPr>
            </w:pPr>
            <w:r w:rsidRPr="00360D82">
              <w:rPr>
                <w:rFonts w:ascii="Calibri" w:hAnsi="Calibri" w:cs="Calibri"/>
                <w:b/>
                <w:color w:val="FFFFFF"/>
                <w:kern w:val="24"/>
                <w:sz w:val="22"/>
                <w:lang w:eastAsia="en-IN"/>
              </w:rPr>
              <w:t>I N T E R V E N T I O N S</w:t>
            </w:r>
          </w:p>
        </w:tc>
      </w:tr>
      <w:tr w:rsidR="00FA0EA8" w:rsidRPr="00360D82" w14:paraId="3BF9D9DD" w14:textId="77777777" w:rsidTr="00644DE5">
        <w:trPr>
          <w:trHeight w:val="20"/>
          <w:hidden/>
        </w:trPr>
        <w:tc>
          <w:tcPr>
            <w:tcW w:w="3170" w:type="dxa"/>
            <w:shd w:val="clear" w:color="auto" w:fill="E5E5E5"/>
            <w:tcMar>
              <w:top w:w="14" w:type="dxa"/>
              <w:left w:w="43" w:type="dxa"/>
              <w:bottom w:w="14" w:type="dxa"/>
              <w:right w:w="76" w:type="dxa"/>
            </w:tcMar>
            <w:hideMark/>
          </w:tcPr>
          <w:p w14:paraId="6C5DE7A6" w14:textId="77777777" w:rsidR="00FA0EA8" w:rsidRPr="00303A02" w:rsidRDefault="00FA0EA8" w:rsidP="009136E5">
            <w:pPr>
              <w:pStyle w:val="ListParagraph"/>
              <w:numPr>
                <w:ilvl w:val="0"/>
                <w:numId w:val="103"/>
              </w:numPr>
              <w:spacing w:before="0" w:after="0" w:line="230" w:lineRule="auto"/>
              <w:rPr>
                <w:rFonts w:ascii="Calibri" w:hAnsi="Calibri" w:cs="Calibri"/>
                <w:vanish/>
                <w:kern w:val="24"/>
                <w:sz w:val="22"/>
                <w:lang w:eastAsia="en-IN"/>
              </w:rPr>
            </w:pPr>
          </w:p>
          <w:p w14:paraId="698CC510" w14:textId="77777777" w:rsidR="00FA0EA8" w:rsidRPr="00303A02" w:rsidRDefault="00FA0EA8" w:rsidP="009136E5">
            <w:pPr>
              <w:pStyle w:val="ListParagraph"/>
              <w:numPr>
                <w:ilvl w:val="1"/>
                <w:numId w:val="103"/>
              </w:numPr>
              <w:spacing w:before="0" w:after="0" w:line="230" w:lineRule="auto"/>
              <w:ind w:left="510"/>
              <w:rPr>
                <w:rFonts w:ascii="Calibri" w:hAnsi="Calibri" w:cs="Calibri"/>
                <w:vanish/>
                <w:kern w:val="24"/>
                <w:sz w:val="22"/>
                <w:lang w:eastAsia="en-IN"/>
              </w:rPr>
            </w:pPr>
            <w:r w:rsidRPr="00303A02">
              <w:rPr>
                <w:rFonts w:ascii="Calibri" w:hAnsi="Calibri" w:cs="Calibri"/>
                <w:kern w:val="24"/>
                <w:sz w:val="22"/>
                <w:lang w:eastAsia="en-IN"/>
              </w:rPr>
              <w:t>Strengthen treatment of DSTB</w:t>
            </w:r>
          </w:p>
        </w:tc>
        <w:tc>
          <w:tcPr>
            <w:tcW w:w="5920" w:type="dxa"/>
            <w:gridSpan w:val="2"/>
            <w:shd w:val="clear" w:color="auto" w:fill="E5E5E5"/>
          </w:tcPr>
          <w:p w14:paraId="5870D718"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4.1.1.</w:t>
            </w:r>
            <w:r w:rsidRPr="00360D82">
              <w:rPr>
                <w:rFonts w:ascii="Calibri" w:hAnsi="Calibri" w:cs="Calibri"/>
                <w:kern w:val="24"/>
                <w:sz w:val="22"/>
                <w:lang w:eastAsia="en-IN"/>
              </w:rPr>
              <w:tab/>
              <w:t xml:space="preserve">Continue with the current modalities for treatment that include </w:t>
            </w:r>
            <w:r>
              <w:rPr>
                <w:rFonts w:ascii="Calibri" w:hAnsi="Calibri" w:cs="Calibri"/>
                <w:kern w:val="24"/>
                <w:sz w:val="22"/>
                <w:lang w:eastAsia="en-IN"/>
              </w:rPr>
              <w:t xml:space="preserve">daily </w:t>
            </w:r>
            <w:r w:rsidRPr="00360D82">
              <w:rPr>
                <w:rFonts w:ascii="Calibri" w:hAnsi="Calibri" w:cs="Calibri"/>
                <w:kern w:val="24"/>
                <w:sz w:val="22"/>
                <w:lang w:eastAsia="en-IN"/>
              </w:rPr>
              <w:t xml:space="preserve">regimens for DSTB </w:t>
            </w:r>
            <w:r>
              <w:rPr>
                <w:rFonts w:ascii="Calibri" w:hAnsi="Calibri" w:cs="Calibri"/>
                <w:kern w:val="24"/>
                <w:sz w:val="22"/>
                <w:lang w:eastAsia="en-IN"/>
              </w:rPr>
              <w:t xml:space="preserve"> and expand coverage among patients seeking care in the private sector</w:t>
            </w:r>
          </w:p>
          <w:p w14:paraId="7BF89D37"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4.1.2.</w:t>
            </w:r>
            <w:r w:rsidRPr="00360D82">
              <w:rPr>
                <w:rFonts w:ascii="Calibri" w:hAnsi="Calibri" w:cs="Calibri"/>
                <w:kern w:val="24"/>
                <w:sz w:val="22"/>
                <w:lang w:eastAsia="en-IN"/>
              </w:rPr>
              <w:tab/>
            </w:r>
            <w:r>
              <w:rPr>
                <w:rFonts w:ascii="Calibri" w:hAnsi="Calibri" w:cs="Calibri"/>
                <w:kern w:val="24"/>
                <w:sz w:val="22"/>
                <w:lang w:eastAsia="en-IN"/>
              </w:rPr>
              <w:t xml:space="preserve">Strengthen adherence monitoring and post treatment follow up </w:t>
            </w:r>
            <w:r w:rsidRPr="00360D82">
              <w:rPr>
                <w:rFonts w:ascii="Calibri" w:hAnsi="Calibri" w:cs="Calibri"/>
                <w:kern w:val="24"/>
                <w:sz w:val="22"/>
                <w:lang w:eastAsia="en-IN"/>
              </w:rPr>
              <w:t xml:space="preserve"> for the prevention of relapse and development of drug resistanc</w:t>
            </w:r>
            <w:r>
              <w:rPr>
                <w:rFonts w:ascii="Calibri" w:hAnsi="Calibri" w:cs="Calibri"/>
                <w:kern w:val="24"/>
                <w:sz w:val="22"/>
                <w:lang w:eastAsia="en-IN"/>
              </w:rPr>
              <w:t>e</w:t>
            </w:r>
          </w:p>
          <w:p w14:paraId="0BB43D98"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4.1.3.</w:t>
            </w:r>
            <w:r w:rsidRPr="00360D82">
              <w:rPr>
                <w:rFonts w:ascii="Calibri" w:hAnsi="Calibri" w:cs="Calibri"/>
                <w:kern w:val="24"/>
                <w:sz w:val="22"/>
                <w:lang w:eastAsia="en-IN"/>
              </w:rPr>
              <w:tab/>
              <w:t xml:space="preserve">Care cascade monitoring </w:t>
            </w:r>
          </w:p>
          <w:p w14:paraId="1CABB861" w14:textId="4485E6D3"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4.1.4.</w:t>
            </w:r>
            <w:r w:rsidRPr="00360D82">
              <w:rPr>
                <w:rFonts w:ascii="Calibri" w:hAnsi="Calibri" w:cs="Calibri"/>
                <w:kern w:val="24"/>
                <w:sz w:val="22"/>
                <w:lang w:eastAsia="en-IN"/>
              </w:rPr>
              <w:tab/>
            </w:r>
            <w:r>
              <w:rPr>
                <w:rFonts w:ascii="Calibri" w:hAnsi="Calibri" w:cs="Calibri"/>
                <w:kern w:val="24"/>
                <w:sz w:val="22"/>
                <w:lang w:eastAsia="en-IN"/>
              </w:rPr>
              <w:t>Redesign Directly Observed Treatment (DOT) modalities and e</w:t>
            </w:r>
            <w:r w:rsidRPr="00360D82">
              <w:rPr>
                <w:rFonts w:ascii="Calibri" w:hAnsi="Calibri" w:cs="Calibri"/>
                <w:kern w:val="24"/>
                <w:sz w:val="22"/>
                <w:lang w:eastAsia="en-IN"/>
              </w:rPr>
              <w:t>xpand options for adherence monitoring and supervision</w:t>
            </w:r>
            <w:r>
              <w:rPr>
                <w:rFonts w:ascii="Calibri" w:hAnsi="Calibri" w:cs="Calibri"/>
                <w:kern w:val="24"/>
                <w:sz w:val="22"/>
                <w:lang w:eastAsia="en-IN"/>
              </w:rPr>
              <w:t xml:space="preserve"> through involvement of Health &amp; Wellness Centres and innovative </w:t>
            </w:r>
            <w:r w:rsidR="009B4BB5">
              <w:rPr>
                <w:rFonts w:ascii="Calibri" w:hAnsi="Calibri" w:cs="Calibri"/>
                <w:kern w:val="24"/>
                <w:sz w:val="22"/>
                <w:lang w:eastAsia="en-IN"/>
              </w:rPr>
              <w:t>digital</w:t>
            </w:r>
            <w:r>
              <w:rPr>
                <w:rFonts w:ascii="Calibri" w:hAnsi="Calibri" w:cs="Calibri"/>
                <w:kern w:val="24"/>
                <w:sz w:val="22"/>
                <w:lang w:eastAsia="en-IN"/>
              </w:rPr>
              <w:t xml:space="preserve"> tools </w:t>
            </w:r>
            <w:r w:rsidRPr="00360D82">
              <w:rPr>
                <w:rFonts w:ascii="Calibri" w:hAnsi="Calibri" w:cs="Calibri"/>
                <w:kern w:val="24"/>
                <w:sz w:val="22"/>
                <w:lang w:eastAsia="en-IN"/>
              </w:rPr>
              <w:t xml:space="preserve"> </w:t>
            </w:r>
          </w:p>
          <w:p w14:paraId="02CD11A5"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4.1.5.</w:t>
            </w:r>
            <w:r w:rsidRPr="00360D82">
              <w:rPr>
                <w:rFonts w:ascii="Calibri" w:hAnsi="Calibri" w:cs="Calibri"/>
                <w:kern w:val="24"/>
                <w:sz w:val="22"/>
                <w:lang w:eastAsia="en-IN"/>
              </w:rPr>
              <w:tab/>
            </w:r>
            <w:r>
              <w:rPr>
                <w:rFonts w:ascii="Calibri" w:hAnsi="Calibri" w:cs="Calibri"/>
                <w:kern w:val="24"/>
                <w:sz w:val="22"/>
                <w:lang w:eastAsia="en-IN"/>
              </w:rPr>
              <w:t xml:space="preserve">Strengthen </w:t>
            </w:r>
            <w:r w:rsidRPr="00360D82">
              <w:rPr>
                <w:rFonts w:ascii="Calibri" w:hAnsi="Calibri" w:cs="Calibri"/>
                <w:kern w:val="24"/>
                <w:sz w:val="22"/>
                <w:lang w:eastAsia="en-IN"/>
              </w:rPr>
              <w:t xml:space="preserve"> Clinical </w:t>
            </w:r>
            <w:r>
              <w:rPr>
                <w:rFonts w:ascii="Calibri" w:hAnsi="Calibri" w:cs="Calibri"/>
                <w:kern w:val="24"/>
                <w:sz w:val="22"/>
                <w:lang w:eastAsia="en-IN"/>
              </w:rPr>
              <w:t xml:space="preserve">management </w:t>
            </w:r>
            <w:r w:rsidRPr="00360D82">
              <w:rPr>
                <w:rFonts w:ascii="Calibri" w:hAnsi="Calibri" w:cs="Calibri"/>
                <w:kern w:val="24"/>
                <w:sz w:val="22"/>
                <w:lang w:eastAsia="en-IN"/>
              </w:rPr>
              <w:t>support</w:t>
            </w:r>
            <w:r>
              <w:rPr>
                <w:rFonts w:ascii="Calibri" w:hAnsi="Calibri" w:cs="Calibri"/>
                <w:kern w:val="24"/>
                <w:sz w:val="22"/>
                <w:lang w:eastAsia="en-IN"/>
              </w:rPr>
              <w:t xml:space="preserve"> through tele-medicine and digital artificial intelligence driven tools</w:t>
            </w:r>
            <w:r w:rsidRPr="00360D82">
              <w:rPr>
                <w:rFonts w:ascii="Calibri" w:hAnsi="Calibri" w:cs="Calibri"/>
                <w:kern w:val="24"/>
                <w:sz w:val="22"/>
                <w:lang w:eastAsia="en-IN"/>
              </w:rPr>
              <w:t xml:space="preserve"> </w:t>
            </w:r>
          </w:p>
          <w:p w14:paraId="4F66F60B" w14:textId="2FFBF7CF"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4.1.6.</w:t>
            </w:r>
            <w:r w:rsidRPr="00360D82">
              <w:rPr>
                <w:rFonts w:ascii="Calibri" w:hAnsi="Calibri" w:cs="Calibri"/>
                <w:kern w:val="24"/>
                <w:sz w:val="22"/>
                <w:lang w:eastAsia="en-IN"/>
              </w:rPr>
              <w:tab/>
            </w:r>
            <w:r>
              <w:rPr>
                <w:rFonts w:ascii="Calibri" w:hAnsi="Calibri" w:cs="Calibri"/>
                <w:kern w:val="24"/>
                <w:sz w:val="22"/>
                <w:lang w:eastAsia="en-IN"/>
              </w:rPr>
              <w:t xml:space="preserve">Strengthen implementation and monitoring of </w:t>
            </w:r>
            <w:r w:rsidRPr="00360D82">
              <w:rPr>
                <w:rFonts w:ascii="Calibri" w:hAnsi="Calibri" w:cs="Calibri"/>
                <w:kern w:val="24"/>
                <w:sz w:val="22"/>
                <w:lang w:eastAsia="en-IN"/>
              </w:rPr>
              <w:t>Pharmacovigilance</w:t>
            </w:r>
            <w:r w:rsidR="00400537">
              <w:rPr>
                <w:rFonts w:ascii="Calibri" w:hAnsi="Calibri" w:cs="Calibri"/>
                <w:kern w:val="24"/>
                <w:sz w:val="22"/>
                <w:lang w:eastAsia="en-IN"/>
              </w:rPr>
              <w:t xml:space="preserve"> for DS-TB and DR-TB</w:t>
            </w:r>
          </w:p>
        </w:tc>
      </w:tr>
      <w:tr w:rsidR="00FA0EA8" w:rsidRPr="00360D82" w14:paraId="02DFA216" w14:textId="77777777" w:rsidTr="00644DE5">
        <w:trPr>
          <w:trHeight w:val="20"/>
        </w:trPr>
        <w:tc>
          <w:tcPr>
            <w:tcW w:w="3170" w:type="dxa"/>
            <w:shd w:val="clear" w:color="auto" w:fill="E5E5E5"/>
            <w:tcMar>
              <w:top w:w="14" w:type="dxa"/>
              <w:left w:w="43" w:type="dxa"/>
              <w:bottom w:w="14" w:type="dxa"/>
              <w:right w:w="76" w:type="dxa"/>
            </w:tcMar>
          </w:tcPr>
          <w:p w14:paraId="7B27D344" w14:textId="77777777" w:rsidR="00FA0EA8" w:rsidRPr="00303A02" w:rsidRDefault="00FA0EA8" w:rsidP="009136E5">
            <w:pPr>
              <w:pStyle w:val="ListParagraph"/>
              <w:numPr>
                <w:ilvl w:val="1"/>
                <w:numId w:val="103"/>
              </w:numPr>
              <w:spacing w:before="0" w:after="0" w:line="230" w:lineRule="auto"/>
              <w:ind w:left="510"/>
              <w:rPr>
                <w:rFonts w:ascii="Calibri" w:hAnsi="Calibri" w:cs="Calibri"/>
                <w:kern w:val="24"/>
                <w:sz w:val="22"/>
                <w:lang w:eastAsia="en-IN"/>
              </w:rPr>
            </w:pPr>
            <w:r w:rsidRPr="00303A02">
              <w:rPr>
                <w:rFonts w:ascii="Calibri" w:hAnsi="Calibri" w:cs="Calibri"/>
                <w:kern w:val="24"/>
                <w:sz w:val="22"/>
                <w:lang w:eastAsia="en-IN"/>
              </w:rPr>
              <w:t xml:space="preserve">Expand and strengthen treatment and management of DRTB </w:t>
            </w:r>
          </w:p>
        </w:tc>
        <w:tc>
          <w:tcPr>
            <w:tcW w:w="5920" w:type="dxa"/>
            <w:gridSpan w:val="2"/>
            <w:shd w:val="clear" w:color="auto" w:fill="E5E5E5"/>
          </w:tcPr>
          <w:p w14:paraId="41E0CBB1"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4.2.1 Introduction</w:t>
            </w:r>
            <w:r>
              <w:rPr>
                <w:rFonts w:ascii="Calibri" w:hAnsi="Calibri" w:cs="Calibri"/>
                <w:kern w:val="24"/>
                <w:sz w:val="22"/>
                <w:lang w:eastAsia="en-IN"/>
              </w:rPr>
              <w:t xml:space="preserve"> and scale up</w:t>
            </w:r>
            <w:r w:rsidRPr="00360D82">
              <w:rPr>
                <w:rFonts w:ascii="Calibri" w:hAnsi="Calibri" w:cs="Calibri"/>
                <w:kern w:val="24"/>
                <w:sz w:val="22"/>
                <w:lang w:eastAsia="en-IN"/>
              </w:rPr>
              <w:t xml:space="preserve"> of effective </w:t>
            </w:r>
            <w:r>
              <w:rPr>
                <w:rFonts w:ascii="Calibri" w:hAnsi="Calibri" w:cs="Calibri"/>
                <w:kern w:val="24"/>
                <w:sz w:val="22"/>
                <w:lang w:eastAsia="en-IN"/>
              </w:rPr>
              <w:t xml:space="preserve">all oral </w:t>
            </w:r>
            <w:r w:rsidRPr="00360D82">
              <w:rPr>
                <w:rFonts w:ascii="Calibri" w:hAnsi="Calibri" w:cs="Calibri"/>
                <w:kern w:val="24"/>
                <w:sz w:val="22"/>
                <w:lang w:eastAsia="en-IN"/>
              </w:rPr>
              <w:t xml:space="preserve">regimens with </w:t>
            </w:r>
            <w:r>
              <w:rPr>
                <w:rFonts w:ascii="Calibri" w:hAnsi="Calibri" w:cs="Calibri"/>
                <w:kern w:val="24"/>
                <w:sz w:val="22"/>
                <w:lang w:eastAsia="en-IN"/>
              </w:rPr>
              <w:t>shortened</w:t>
            </w:r>
            <w:r w:rsidRPr="00360D82">
              <w:rPr>
                <w:rFonts w:ascii="Calibri" w:hAnsi="Calibri" w:cs="Calibri"/>
                <w:kern w:val="24"/>
                <w:sz w:val="22"/>
                <w:lang w:eastAsia="en-IN"/>
              </w:rPr>
              <w:t xml:space="preserve"> duration</w:t>
            </w:r>
          </w:p>
          <w:p w14:paraId="67F32608"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 xml:space="preserve">4.2.2 Estimate </w:t>
            </w:r>
            <w:r>
              <w:rPr>
                <w:rFonts w:ascii="Calibri" w:hAnsi="Calibri" w:cs="Calibri"/>
                <w:kern w:val="24"/>
                <w:sz w:val="22"/>
                <w:lang w:eastAsia="en-IN"/>
              </w:rPr>
              <w:t xml:space="preserve">burden and protocols for addressing </w:t>
            </w:r>
            <w:r w:rsidRPr="00360D82">
              <w:rPr>
                <w:rFonts w:ascii="Calibri" w:hAnsi="Calibri" w:cs="Calibri"/>
                <w:kern w:val="24"/>
                <w:sz w:val="22"/>
                <w:lang w:eastAsia="en-IN"/>
              </w:rPr>
              <w:t xml:space="preserve">Non-tuberculous Mycobacteria (NTM) </w:t>
            </w:r>
          </w:p>
          <w:p w14:paraId="7606EDD9" w14:textId="77777777" w:rsidR="00FA0EA8" w:rsidRPr="00360D82" w:rsidRDefault="00FA0EA8" w:rsidP="00644DE5">
            <w:pPr>
              <w:spacing w:before="0" w:after="0" w:line="230" w:lineRule="auto"/>
              <w:ind w:left="78" w:right="107"/>
              <w:jc w:val="both"/>
              <w:rPr>
                <w:rFonts w:ascii="Calibri" w:hAnsi="Calibri" w:cs="Calibri"/>
                <w:kern w:val="24"/>
                <w:sz w:val="22"/>
                <w:lang w:eastAsia="en-IN"/>
              </w:rPr>
            </w:pPr>
            <w:r w:rsidRPr="00360D82">
              <w:rPr>
                <w:rFonts w:ascii="Calibri" w:hAnsi="Calibri" w:cs="Calibri"/>
                <w:kern w:val="24"/>
                <w:sz w:val="22"/>
                <w:lang w:eastAsia="en-IN"/>
              </w:rPr>
              <w:t xml:space="preserve">4.2.3 Build capacity and linkages to existing programs for palliative care and rehabilitation. </w:t>
            </w:r>
          </w:p>
        </w:tc>
      </w:tr>
      <w:tr w:rsidR="00FA0EA8" w:rsidRPr="00360D82" w14:paraId="74A7B7EC" w14:textId="77777777" w:rsidTr="00644DE5">
        <w:trPr>
          <w:trHeight w:val="87"/>
        </w:trPr>
        <w:tc>
          <w:tcPr>
            <w:tcW w:w="3170" w:type="dxa"/>
            <w:shd w:val="clear" w:color="auto" w:fill="E5E5E5"/>
            <w:tcMar>
              <w:top w:w="14" w:type="dxa"/>
              <w:left w:w="43" w:type="dxa"/>
              <w:bottom w:w="14" w:type="dxa"/>
              <w:right w:w="76" w:type="dxa"/>
            </w:tcMar>
          </w:tcPr>
          <w:p w14:paraId="5859CA08" w14:textId="3877108B" w:rsidR="00FA0EA8" w:rsidRPr="00303A02" w:rsidRDefault="00FA0EA8" w:rsidP="009136E5">
            <w:pPr>
              <w:pStyle w:val="ListParagraph"/>
              <w:numPr>
                <w:ilvl w:val="1"/>
                <w:numId w:val="103"/>
              </w:numPr>
              <w:spacing w:before="0" w:after="0" w:line="230" w:lineRule="auto"/>
              <w:ind w:left="510"/>
              <w:rPr>
                <w:rFonts w:ascii="Calibri" w:hAnsi="Calibri" w:cs="Calibri"/>
                <w:kern w:val="24"/>
                <w:sz w:val="22"/>
                <w:lang w:eastAsia="en-IN"/>
              </w:rPr>
            </w:pPr>
            <w:r w:rsidRPr="00303A02">
              <w:rPr>
                <w:rFonts w:ascii="Calibri" w:hAnsi="Calibri" w:cs="Calibri"/>
                <w:kern w:val="24"/>
                <w:sz w:val="22"/>
                <w:lang w:eastAsia="en-IN"/>
              </w:rPr>
              <w:t>Address TB in priority populations</w:t>
            </w:r>
            <w:r w:rsidR="00400537">
              <w:rPr>
                <w:rFonts w:ascii="Calibri" w:hAnsi="Calibri" w:cs="Calibri"/>
                <w:kern w:val="24"/>
                <w:sz w:val="22"/>
                <w:lang w:eastAsia="en-IN"/>
              </w:rPr>
              <w:t xml:space="preserve"> </w:t>
            </w:r>
            <w:r w:rsidR="00400537" w:rsidRPr="00400537">
              <w:rPr>
                <w:rFonts w:ascii="Calibri" w:hAnsi="Calibri" w:cs="Calibri"/>
                <w:kern w:val="24"/>
                <w:sz w:val="22"/>
                <w:lang w:eastAsia="en-IN"/>
              </w:rPr>
              <w:t xml:space="preserve">and scale up integrated action on TB and </w:t>
            </w:r>
            <w:r w:rsidR="00400537" w:rsidRPr="00400537">
              <w:rPr>
                <w:rFonts w:ascii="Calibri" w:hAnsi="Calibri" w:cs="Calibri"/>
                <w:kern w:val="24"/>
                <w:sz w:val="22"/>
                <w:lang w:eastAsia="en-IN"/>
              </w:rPr>
              <w:lastRenderedPageBreak/>
              <w:t>comorbidities</w:t>
            </w:r>
          </w:p>
        </w:tc>
        <w:tc>
          <w:tcPr>
            <w:tcW w:w="3005" w:type="dxa"/>
            <w:shd w:val="clear" w:color="auto" w:fill="E5E5E5"/>
          </w:tcPr>
          <w:p w14:paraId="07A87CEA"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lastRenderedPageBreak/>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.1.</w:t>
            </w:r>
            <w:r w:rsidRPr="00360D82">
              <w:rPr>
                <w:rFonts w:ascii="Calibri" w:hAnsi="Calibri" w:cs="Calibri"/>
                <w:kern w:val="24"/>
                <w:sz w:val="22"/>
                <w:lang w:eastAsia="en-IN"/>
              </w:rPr>
              <w:tab/>
              <w:t xml:space="preserve">Common strategic interventions for strengthening TB care services </w:t>
            </w:r>
            <w:r w:rsidRPr="00360D82">
              <w:rPr>
                <w:rFonts w:ascii="Calibri" w:hAnsi="Calibri" w:cs="Calibri"/>
                <w:kern w:val="24"/>
                <w:sz w:val="22"/>
                <w:lang w:eastAsia="en-IN"/>
              </w:rPr>
              <w:lastRenderedPageBreak/>
              <w:t xml:space="preserve">in priority populations </w:t>
            </w:r>
          </w:p>
          <w:p w14:paraId="65CCC59E"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.2</w:t>
            </w:r>
            <w:r w:rsidRPr="00360D82">
              <w:rPr>
                <w:rFonts w:ascii="Calibri" w:hAnsi="Calibri" w:cs="Calibri"/>
                <w:kern w:val="24"/>
                <w:sz w:val="22"/>
                <w:lang w:eastAsia="en-IN"/>
              </w:rPr>
              <w:tab/>
              <w:t>Pediatric TB</w:t>
            </w:r>
            <w:r>
              <w:rPr>
                <w:rFonts w:ascii="Calibri" w:hAnsi="Calibri" w:cs="Calibri"/>
                <w:kern w:val="24"/>
                <w:sz w:val="22"/>
                <w:lang w:eastAsia="en-IN"/>
              </w:rPr>
              <w:t xml:space="preserve"> and TB among Adolescent population</w:t>
            </w:r>
          </w:p>
          <w:p w14:paraId="7BC62978"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.3.</w:t>
            </w:r>
            <w:r w:rsidRPr="00360D82">
              <w:rPr>
                <w:rFonts w:ascii="Calibri" w:hAnsi="Calibri" w:cs="Calibri"/>
                <w:kern w:val="24"/>
                <w:sz w:val="22"/>
                <w:lang w:eastAsia="en-IN"/>
              </w:rPr>
              <w:tab/>
              <w:t xml:space="preserve">Malnutrition and TB </w:t>
            </w:r>
          </w:p>
          <w:p w14:paraId="7C31D015" w14:textId="1A7DB40C"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.4.</w:t>
            </w:r>
            <w:r w:rsidR="007C29C1">
              <w:rPr>
                <w:rFonts w:ascii="Calibri" w:hAnsi="Calibri" w:cs="Calibri"/>
                <w:kern w:val="24"/>
                <w:sz w:val="22"/>
                <w:lang w:eastAsia="en-IN"/>
              </w:rPr>
              <w:tab/>
              <w:t xml:space="preserve">Alcohol dependence/substance </w:t>
            </w:r>
            <w:r w:rsidRPr="00360D82">
              <w:rPr>
                <w:rFonts w:ascii="Calibri" w:hAnsi="Calibri" w:cs="Calibri"/>
                <w:kern w:val="24"/>
                <w:sz w:val="22"/>
                <w:lang w:eastAsia="en-IN"/>
              </w:rPr>
              <w:t xml:space="preserve">use </w:t>
            </w:r>
          </w:p>
          <w:p w14:paraId="1E08C0A0"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.5.</w:t>
            </w:r>
            <w:r w:rsidRPr="00360D82">
              <w:rPr>
                <w:rFonts w:ascii="Calibri" w:hAnsi="Calibri" w:cs="Calibri"/>
                <w:kern w:val="24"/>
                <w:sz w:val="22"/>
                <w:lang w:eastAsia="en-IN"/>
              </w:rPr>
              <w:tab/>
              <w:t xml:space="preserve">Tobacco use </w:t>
            </w:r>
          </w:p>
          <w:p w14:paraId="50D26B81"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.6.</w:t>
            </w:r>
            <w:r w:rsidRPr="00360D82">
              <w:rPr>
                <w:rFonts w:ascii="Calibri" w:hAnsi="Calibri" w:cs="Calibri"/>
                <w:kern w:val="24"/>
                <w:sz w:val="22"/>
                <w:lang w:eastAsia="en-IN"/>
              </w:rPr>
              <w:tab/>
              <w:t xml:space="preserve">TB – Diabetes </w:t>
            </w:r>
          </w:p>
          <w:p w14:paraId="3373023D"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.7.</w:t>
            </w:r>
            <w:r w:rsidRPr="00360D82">
              <w:rPr>
                <w:rFonts w:ascii="Calibri" w:hAnsi="Calibri" w:cs="Calibri"/>
                <w:kern w:val="24"/>
                <w:sz w:val="22"/>
                <w:lang w:eastAsia="en-IN"/>
              </w:rPr>
              <w:tab/>
              <w:t xml:space="preserve">TB-HIV </w:t>
            </w:r>
          </w:p>
        </w:tc>
        <w:tc>
          <w:tcPr>
            <w:tcW w:w="2915" w:type="dxa"/>
            <w:shd w:val="clear" w:color="auto" w:fill="E5E5E5"/>
          </w:tcPr>
          <w:p w14:paraId="5E29B7D9"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lastRenderedPageBreak/>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.8.</w:t>
            </w:r>
            <w:r w:rsidRPr="00360D82">
              <w:rPr>
                <w:rFonts w:ascii="Calibri" w:hAnsi="Calibri" w:cs="Calibri"/>
                <w:kern w:val="24"/>
                <w:sz w:val="22"/>
                <w:lang w:eastAsia="en-IN"/>
              </w:rPr>
              <w:tab/>
              <w:t xml:space="preserve">TB-Gender </w:t>
            </w:r>
          </w:p>
          <w:p w14:paraId="017EE9EF"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.9.</w:t>
            </w:r>
            <w:r w:rsidRPr="00360D82">
              <w:rPr>
                <w:rFonts w:ascii="Calibri" w:hAnsi="Calibri" w:cs="Calibri"/>
                <w:kern w:val="24"/>
                <w:sz w:val="22"/>
                <w:lang w:eastAsia="en-IN"/>
              </w:rPr>
              <w:tab/>
              <w:t>TB-Pregnancy</w:t>
            </w:r>
          </w:p>
          <w:p w14:paraId="7CE13117"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.10.</w:t>
            </w:r>
            <w:r w:rsidRPr="00360D82">
              <w:rPr>
                <w:rFonts w:ascii="Calibri" w:hAnsi="Calibri" w:cs="Calibri"/>
                <w:kern w:val="24"/>
                <w:sz w:val="22"/>
                <w:lang w:eastAsia="en-IN"/>
              </w:rPr>
              <w:tab/>
              <w:t xml:space="preserve">TB in Congregate </w:t>
            </w:r>
            <w:r w:rsidRPr="00360D82">
              <w:rPr>
                <w:rFonts w:ascii="Calibri" w:hAnsi="Calibri" w:cs="Calibri"/>
                <w:kern w:val="24"/>
                <w:sz w:val="22"/>
                <w:lang w:eastAsia="en-IN"/>
              </w:rPr>
              <w:lastRenderedPageBreak/>
              <w:t>settings/incarcerated population</w:t>
            </w:r>
            <w:r>
              <w:rPr>
                <w:rFonts w:ascii="Calibri" w:hAnsi="Calibri" w:cs="Calibri"/>
                <w:kern w:val="24"/>
                <w:sz w:val="22"/>
                <w:lang w:eastAsia="en-IN"/>
              </w:rPr>
              <w:t xml:space="preserve"> including juveniles</w:t>
            </w:r>
            <w:r w:rsidRPr="00360D82">
              <w:rPr>
                <w:rFonts w:ascii="Calibri" w:hAnsi="Calibri" w:cs="Calibri"/>
                <w:kern w:val="24"/>
                <w:sz w:val="22"/>
                <w:lang w:eastAsia="en-IN"/>
              </w:rPr>
              <w:t xml:space="preserve"> </w:t>
            </w:r>
          </w:p>
          <w:p w14:paraId="66253332"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.11.</w:t>
            </w:r>
            <w:r w:rsidRPr="00360D82">
              <w:rPr>
                <w:rFonts w:ascii="Calibri" w:hAnsi="Calibri" w:cs="Calibri"/>
                <w:kern w:val="24"/>
                <w:sz w:val="22"/>
                <w:lang w:eastAsia="en-IN"/>
              </w:rPr>
              <w:tab/>
              <w:t xml:space="preserve">TB-Geriatrics </w:t>
            </w:r>
          </w:p>
          <w:p w14:paraId="3C29E380"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.12.</w:t>
            </w:r>
            <w:r w:rsidRPr="00360D82">
              <w:rPr>
                <w:rFonts w:ascii="Calibri" w:hAnsi="Calibri" w:cs="Calibri"/>
                <w:kern w:val="24"/>
                <w:sz w:val="22"/>
                <w:lang w:eastAsia="en-IN"/>
              </w:rPr>
              <w:tab/>
              <w:t xml:space="preserve">TB-Mental Health </w:t>
            </w:r>
          </w:p>
          <w:p w14:paraId="2E097347"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.13.</w:t>
            </w:r>
            <w:r w:rsidRPr="00360D82">
              <w:rPr>
                <w:rFonts w:ascii="Calibri" w:hAnsi="Calibri" w:cs="Calibri"/>
                <w:kern w:val="24"/>
                <w:sz w:val="22"/>
                <w:lang w:eastAsia="en-IN"/>
              </w:rPr>
              <w:tab/>
              <w:t xml:space="preserve">TB-Hepatitis </w:t>
            </w:r>
          </w:p>
          <w:p w14:paraId="3B983319"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.14.</w:t>
            </w:r>
            <w:r w:rsidRPr="00360D82">
              <w:rPr>
                <w:rFonts w:ascii="Calibri" w:hAnsi="Calibri" w:cs="Calibri"/>
                <w:kern w:val="24"/>
                <w:sz w:val="22"/>
                <w:lang w:eastAsia="en-IN"/>
              </w:rPr>
              <w:tab/>
              <w:t xml:space="preserve">TB-Silicosis </w:t>
            </w:r>
          </w:p>
          <w:p w14:paraId="58ED2AC9"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.15.</w:t>
            </w:r>
            <w:r w:rsidRPr="00360D82">
              <w:rPr>
                <w:rFonts w:ascii="Calibri" w:hAnsi="Calibri" w:cs="Calibri"/>
                <w:kern w:val="24"/>
                <w:sz w:val="22"/>
                <w:lang w:eastAsia="en-IN"/>
              </w:rPr>
              <w:tab/>
              <w:t xml:space="preserve">Tribal TB </w:t>
            </w:r>
          </w:p>
          <w:p w14:paraId="1D8F3FA8" w14:textId="77777777" w:rsidR="00FA0EA8" w:rsidRPr="00360D82"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.16.</w:t>
            </w:r>
            <w:r w:rsidRPr="00360D82">
              <w:rPr>
                <w:rFonts w:ascii="Calibri" w:hAnsi="Calibri" w:cs="Calibri"/>
                <w:kern w:val="24"/>
                <w:sz w:val="22"/>
                <w:lang w:eastAsia="en-IN"/>
              </w:rPr>
              <w:tab/>
              <w:t xml:space="preserve">TB in urban slums </w:t>
            </w:r>
          </w:p>
          <w:p w14:paraId="1B89D352" w14:textId="77777777" w:rsidR="00FA0EA8"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w:t>
            </w:r>
            <w:r w:rsidRPr="00360D82">
              <w:rPr>
                <w:rFonts w:ascii="Calibri" w:hAnsi="Calibri" w:cs="Calibri"/>
                <w:kern w:val="24"/>
                <w:sz w:val="22"/>
                <w:lang w:eastAsia="en-IN"/>
              </w:rPr>
              <w:t>.</w:t>
            </w:r>
            <w:r>
              <w:rPr>
                <w:rFonts w:ascii="Calibri" w:hAnsi="Calibri" w:cs="Calibri"/>
                <w:kern w:val="24"/>
                <w:sz w:val="22"/>
                <w:lang w:eastAsia="en-IN"/>
              </w:rPr>
              <w:t>3</w:t>
            </w:r>
            <w:r w:rsidRPr="00360D82">
              <w:rPr>
                <w:rFonts w:ascii="Calibri" w:hAnsi="Calibri" w:cs="Calibri"/>
                <w:kern w:val="24"/>
                <w:sz w:val="22"/>
                <w:lang w:eastAsia="en-IN"/>
              </w:rPr>
              <w:t>.17.</w:t>
            </w:r>
            <w:r w:rsidRPr="00360D82">
              <w:rPr>
                <w:rFonts w:ascii="Calibri" w:hAnsi="Calibri" w:cs="Calibri"/>
                <w:kern w:val="24"/>
                <w:sz w:val="22"/>
                <w:lang w:eastAsia="en-IN"/>
              </w:rPr>
              <w:tab/>
              <w:t>TB among migrants</w:t>
            </w:r>
          </w:p>
          <w:p w14:paraId="117CA89D" w14:textId="77777777" w:rsidR="00FA0EA8"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4.3.18. TB among Truckers, public transport workers</w:t>
            </w:r>
          </w:p>
          <w:p w14:paraId="14B41990" w14:textId="77777777" w:rsidR="00FA0EA8" w:rsidRDefault="00FA0EA8"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4.3.19. TB among TGs/MSMs/IDUs and Sex Workers</w:t>
            </w:r>
          </w:p>
          <w:p w14:paraId="765D4EDF" w14:textId="626F54BB" w:rsidR="00395F7C" w:rsidRPr="00360D82" w:rsidRDefault="00395F7C" w:rsidP="00644DE5">
            <w:pPr>
              <w:spacing w:before="0" w:after="0" w:line="230" w:lineRule="auto"/>
              <w:ind w:left="78" w:right="107"/>
              <w:rPr>
                <w:rFonts w:ascii="Calibri" w:hAnsi="Calibri" w:cs="Calibri"/>
                <w:kern w:val="24"/>
                <w:sz w:val="22"/>
                <w:lang w:eastAsia="en-IN"/>
              </w:rPr>
            </w:pPr>
            <w:r>
              <w:rPr>
                <w:rFonts w:ascii="Calibri" w:hAnsi="Calibri" w:cs="Calibri"/>
                <w:kern w:val="24"/>
                <w:sz w:val="22"/>
                <w:lang w:eastAsia="en-IN"/>
              </w:rPr>
              <w:t>4.3.20 TB and COVID-19</w:t>
            </w:r>
          </w:p>
        </w:tc>
      </w:tr>
      <w:tr w:rsidR="00FA0EA8" w:rsidRPr="00360D82" w14:paraId="43BE9DBE" w14:textId="77777777" w:rsidTr="00644DE5">
        <w:trPr>
          <w:trHeight w:val="20"/>
        </w:trPr>
        <w:tc>
          <w:tcPr>
            <w:tcW w:w="3170" w:type="dxa"/>
            <w:shd w:val="clear" w:color="auto" w:fill="E5E5E5"/>
            <w:tcMar>
              <w:top w:w="14" w:type="dxa"/>
              <w:left w:w="43" w:type="dxa"/>
              <w:bottom w:w="14" w:type="dxa"/>
              <w:right w:w="76" w:type="dxa"/>
            </w:tcMar>
          </w:tcPr>
          <w:p w14:paraId="6147BCC3" w14:textId="77777777" w:rsidR="00FA0EA8" w:rsidRPr="00303A02" w:rsidRDefault="00FA0EA8" w:rsidP="009136E5">
            <w:pPr>
              <w:pStyle w:val="ListParagraph"/>
              <w:numPr>
                <w:ilvl w:val="1"/>
                <w:numId w:val="103"/>
              </w:numPr>
              <w:spacing w:before="0" w:after="0" w:line="230" w:lineRule="auto"/>
              <w:ind w:left="510"/>
              <w:rPr>
                <w:rFonts w:ascii="Calibri" w:hAnsi="Calibri" w:cs="Calibri"/>
                <w:kern w:val="24"/>
                <w:sz w:val="22"/>
                <w:lang w:eastAsia="en-IN"/>
              </w:rPr>
            </w:pPr>
            <w:r w:rsidRPr="00303A02">
              <w:rPr>
                <w:rFonts w:ascii="Calibri" w:hAnsi="Calibri" w:cs="Calibri"/>
                <w:kern w:val="24"/>
                <w:sz w:val="22"/>
                <w:lang w:eastAsia="en-IN"/>
              </w:rPr>
              <w:lastRenderedPageBreak/>
              <w:t xml:space="preserve">Strengthen and expand coverage of patient support mechanisms </w:t>
            </w:r>
          </w:p>
        </w:tc>
        <w:tc>
          <w:tcPr>
            <w:tcW w:w="5920" w:type="dxa"/>
            <w:gridSpan w:val="2"/>
            <w:shd w:val="clear" w:color="auto" w:fill="E5E5E5"/>
          </w:tcPr>
          <w:p w14:paraId="18217190" w14:textId="26BC0254" w:rsidR="00FA0EA8" w:rsidRPr="00360D82" w:rsidRDefault="00197DEE" w:rsidP="00644DE5">
            <w:pPr>
              <w:spacing w:before="0" w:after="0" w:line="230" w:lineRule="auto"/>
              <w:ind w:left="78" w:right="107"/>
              <w:jc w:val="both"/>
              <w:rPr>
                <w:rFonts w:ascii="Calibri" w:hAnsi="Calibri" w:cs="Calibri"/>
                <w:kern w:val="24"/>
                <w:sz w:val="22"/>
                <w:lang w:eastAsia="en-IN"/>
              </w:rPr>
            </w:pPr>
            <w:r>
              <w:rPr>
                <w:rFonts w:ascii="Calibri" w:hAnsi="Calibri" w:cs="Calibri"/>
                <w:kern w:val="24"/>
                <w:sz w:val="22"/>
                <w:lang w:eastAsia="en-IN"/>
              </w:rPr>
              <w:t xml:space="preserve">4.4.1 </w:t>
            </w:r>
            <w:r w:rsidR="00FA0EA8" w:rsidRPr="00360D82">
              <w:rPr>
                <w:rFonts w:ascii="Calibri" w:hAnsi="Calibri" w:cs="Calibri"/>
                <w:kern w:val="24"/>
                <w:sz w:val="22"/>
                <w:lang w:eastAsia="en-IN"/>
              </w:rPr>
              <w:t xml:space="preserve">Expand the coverage of treatment adherence mechanisms for all TB patients. </w:t>
            </w:r>
          </w:p>
          <w:p w14:paraId="560E6A4B" w14:textId="587ACC0C" w:rsidR="00FA0EA8" w:rsidRPr="00360D82" w:rsidRDefault="00841700" w:rsidP="00644DE5">
            <w:pPr>
              <w:spacing w:before="0" w:after="0" w:line="230" w:lineRule="auto"/>
              <w:ind w:left="78" w:right="107"/>
              <w:jc w:val="both"/>
              <w:rPr>
                <w:rFonts w:ascii="Calibri" w:hAnsi="Calibri" w:cs="Calibri"/>
                <w:kern w:val="24"/>
                <w:sz w:val="22"/>
                <w:lang w:eastAsia="en-IN"/>
              </w:rPr>
            </w:pPr>
            <w:r>
              <w:rPr>
                <w:rFonts w:ascii="Calibri" w:hAnsi="Calibri" w:cs="Calibri"/>
                <w:kern w:val="24"/>
                <w:sz w:val="22"/>
                <w:lang w:eastAsia="en-IN"/>
              </w:rPr>
              <w:t>4.4</w:t>
            </w:r>
            <w:r w:rsidR="00197DEE">
              <w:rPr>
                <w:rFonts w:ascii="Calibri" w:hAnsi="Calibri" w:cs="Calibri"/>
                <w:kern w:val="24"/>
                <w:sz w:val="22"/>
                <w:lang w:eastAsia="en-IN"/>
              </w:rPr>
              <w:t xml:space="preserve">.2 </w:t>
            </w:r>
            <w:r w:rsidR="00FA0EA8" w:rsidRPr="00360D82">
              <w:rPr>
                <w:rFonts w:ascii="Calibri" w:hAnsi="Calibri" w:cs="Calibri"/>
                <w:kern w:val="24"/>
                <w:sz w:val="22"/>
                <w:lang w:eastAsia="en-IN"/>
              </w:rPr>
              <w:t>Provide social benefits to patients</w:t>
            </w:r>
            <w:r w:rsidR="00FA0EA8">
              <w:rPr>
                <w:rFonts w:ascii="Calibri" w:hAnsi="Calibri" w:cs="Calibri"/>
                <w:kern w:val="24"/>
                <w:sz w:val="22"/>
                <w:lang w:eastAsia="en-IN"/>
              </w:rPr>
              <w:t xml:space="preserve"> available under NTEP and linkages to other relevant social support schemes with line ministries </w:t>
            </w:r>
            <w:r w:rsidR="00FA0EA8" w:rsidRPr="00360D82">
              <w:rPr>
                <w:rFonts w:ascii="Calibri" w:hAnsi="Calibri" w:cs="Calibri"/>
                <w:kern w:val="24"/>
                <w:sz w:val="22"/>
                <w:lang w:eastAsia="en-IN"/>
              </w:rPr>
              <w:t xml:space="preserve"> </w:t>
            </w:r>
          </w:p>
          <w:p w14:paraId="021095F1" w14:textId="72082513" w:rsidR="00FA0EA8" w:rsidRPr="00360D82" w:rsidRDefault="00841700" w:rsidP="00644DE5">
            <w:pPr>
              <w:spacing w:before="0" w:after="0" w:line="230" w:lineRule="auto"/>
              <w:ind w:left="78" w:right="107"/>
              <w:jc w:val="both"/>
              <w:rPr>
                <w:rFonts w:ascii="Calibri" w:hAnsi="Calibri" w:cs="Calibri"/>
                <w:kern w:val="24"/>
                <w:sz w:val="22"/>
                <w:lang w:eastAsia="en-IN"/>
              </w:rPr>
            </w:pPr>
            <w:r>
              <w:rPr>
                <w:rFonts w:ascii="Calibri" w:hAnsi="Calibri" w:cs="Calibri"/>
                <w:kern w:val="24"/>
                <w:sz w:val="22"/>
                <w:lang w:eastAsia="en-IN"/>
              </w:rPr>
              <w:t>4.4</w:t>
            </w:r>
            <w:r w:rsidR="00FC0EE7">
              <w:rPr>
                <w:rFonts w:ascii="Calibri" w:hAnsi="Calibri" w:cs="Calibri"/>
                <w:kern w:val="24"/>
                <w:sz w:val="22"/>
                <w:lang w:eastAsia="en-IN"/>
              </w:rPr>
              <w:t xml:space="preserve">.3 </w:t>
            </w:r>
            <w:r w:rsidR="00FA0EA8" w:rsidRPr="00360D82">
              <w:rPr>
                <w:rFonts w:ascii="Calibri" w:hAnsi="Calibri" w:cs="Calibri"/>
                <w:kern w:val="24"/>
                <w:sz w:val="22"/>
                <w:lang w:eastAsia="en-IN"/>
              </w:rPr>
              <w:t>Initial Screening and review of data</w:t>
            </w:r>
            <w:r w:rsidR="00FA0EA8">
              <w:rPr>
                <w:rFonts w:ascii="Calibri" w:hAnsi="Calibri" w:cs="Calibri"/>
                <w:kern w:val="24"/>
                <w:sz w:val="22"/>
                <w:lang w:eastAsia="en-IN"/>
              </w:rPr>
              <w:t xml:space="preserve"> and improvement of </w:t>
            </w:r>
            <w:r w:rsidR="00197DEE">
              <w:rPr>
                <w:rFonts w:ascii="Calibri" w:hAnsi="Calibri" w:cs="Calibri"/>
                <w:kern w:val="24"/>
                <w:sz w:val="22"/>
                <w:lang w:eastAsia="en-IN"/>
              </w:rPr>
              <w:t>monitoring</w:t>
            </w:r>
            <w:r w:rsidR="00FA0EA8">
              <w:rPr>
                <w:rFonts w:ascii="Calibri" w:hAnsi="Calibri" w:cs="Calibri"/>
                <w:kern w:val="24"/>
                <w:sz w:val="22"/>
                <w:lang w:eastAsia="en-IN"/>
              </w:rPr>
              <w:t xml:space="preserve"> tools in Nikshay</w:t>
            </w:r>
            <w:r w:rsidR="00FA0EA8" w:rsidRPr="00360D82">
              <w:rPr>
                <w:rFonts w:ascii="Calibri" w:hAnsi="Calibri" w:cs="Calibri"/>
                <w:kern w:val="24"/>
                <w:sz w:val="22"/>
                <w:lang w:eastAsia="en-IN"/>
              </w:rPr>
              <w:t xml:space="preserve"> </w:t>
            </w:r>
          </w:p>
          <w:p w14:paraId="5154F818" w14:textId="6F4ED01B" w:rsidR="00FA0EA8" w:rsidRPr="00360D82" w:rsidRDefault="00841700" w:rsidP="00644DE5">
            <w:pPr>
              <w:spacing w:before="0" w:after="0" w:line="230" w:lineRule="auto"/>
              <w:ind w:left="78" w:right="107"/>
              <w:jc w:val="both"/>
              <w:rPr>
                <w:rFonts w:ascii="Calibri" w:hAnsi="Calibri" w:cs="Calibri"/>
                <w:kern w:val="24"/>
                <w:sz w:val="22"/>
                <w:lang w:eastAsia="en-IN"/>
              </w:rPr>
            </w:pPr>
            <w:r>
              <w:rPr>
                <w:rFonts w:ascii="Calibri" w:hAnsi="Calibri" w:cs="Calibri"/>
                <w:kern w:val="24"/>
                <w:sz w:val="22"/>
                <w:lang w:eastAsia="en-IN"/>
              </w:rPr>
              <w:t>4.4</w:t>
            </w:r>
            <w:r w:rsidR="00FC0EE7">
              <w:rPr>
                <w:rFonts w:ascii="Calibri" w:hAnsi="Calibri" w:cs="Calibri"/>
                <w:kern w:val="24"/>
                <w:sz w:val="22"/>
                <w:lang w:eastAsia="en-IN"/>
              </w:rPr>
              <w:t>.4</w:t>
            </w:r>
            <w:r w:rsidR="00FA0EA8">
              <w:rPr>
                <w:rFonts w:ascii="Calibri" w:hAnsi="Calibri" w:cs="Calibri"/>
                <w:kern w:val="24"/>
                <w:sz w:val="22"/>
                <w:lang w:eastAsia="en-IN"/>
              </w:rPr>
              <w:t xml:space="preserve"> Call Centre support for strengthening and monitoring treatment adherence</w:t>
            </w:r>
          </w:p>
        </w:tc>
      </w:tr>
      <w:tr w:rsidR="00FA0EA8" w:rsidRPr="00360D82" w14:paraId="77C3D8BC" w14:textId="77777777" w:rsidTr="00644DE5">
        <w:trPr>
          <w:trHeight w:val="20"/>
        </w:trPr>
        <w:tc>
          <w:tcPr>
            <w:tcW w:w="3170" w:type="dxa"/>
            <w:shd w:val="clear" w:color="auto" w:fill="E5E5E5"/>
            <w:tcMar>
              <w:top w:w="14" w:type="dxa"/>
              <w:left w:w="43" w:type="dxa"/>
              <w:bottom w:w="14" w:type="dxa"/>
              <w:right w:w="76" w:type="dxa"/>
            </w:tcMar>
          </w:tcPr>
          <w:p w14:paraId="02B65785" w14:textId="77777777" w:rsidR="00FA0EA8" w:rsidRPr="00303A02" w:rsidRDefault="00FA0EA8" w:rsidP="009136E5">
            <w:pPr>
              <w:pStyle w:val="ListParagraph"/>
              <w:numPr>
                <w:ilvl w:val="1"/>
                <w:numId w:val="103"/>
              </w:numPr>
              <w:spacing w:before="0" w:after="0" w:line="230" w:lineRule="auto"/>
              <w:ind w:left="510"/>
              <w:rPr>
                <w:rFonts w:ascii="Calibri" w:hAnsi="Calibri" w:cs="Calibri"/>
                <w:kern w:val="24"/>
                <w:sz w:val="22"/>
                <w:lang w:eastAsia="en-IN"/>
              </w:rPr>
            </w:pPr>
            <w:r w:rsidRPr="00303A02">
              <w:rPr>
                <w:rFonts w:ascii="Calibri" w:hAnsi="Calibri" w:cs="Calibri"/>
                <w:kern w:val="24"/>
                <w:sz w:val="22"/>
                <w:lang w:eastAsia="en-IN"/>
              </w:rPr>
              <w:t>Institutionalize mechanisms to monitor Catastrophic Health Expenditures</w:t>
            </w:r>
            <w:r>
              <w:rPr>
                <w:rFonts w:ascii="Calibri" w:hAnsi="Calibri" w:cs="Calibri"/>
                <w:kern w:val="24"/>
                <w:sz w:val="22"/>
                <w:lang w:eastAsia="en-IN"/>
              </w:rPr>
              <w:t xml:space="preserve"> (CHE)</w:t>
            </w:r>
            <w:r w:rsidRPr="00303A02">
              <w:rPr>
                <w:rFonts w:ascii="Calibri" w:hAnsi="Calibri" w:cs="Calibri"/>
                <w:kern w:val="24"/>
                <w:sz w:val="22"/>
                <w:lang w:eastAsia="en-IN"/>
              </w:rPr>
              <w:t xml:space="preserve"> in persons affected by TB</w:t>
            </w:r>
          </w:p>
        </w:tc>
        <w:tc>
          <w:tcPr>
            <w:tcW w:w="5920" w:type="dxa"/>
            <w:gridSpan w:val="2"/>
            <w:shd w:val="clear" w:color="auto" w:fill="E5E5E5"/>
          </w:tcPr>
          <w:p w14:paraId="28484676" w14:textId="247BF93D" w:rsidR="00FA0EA8" w:rsidRPr="00360D82" w:rsidRDefault="00FC0EE7" w:rsidP="00644DE5">
            <w:pPr>
              <w:spacing w:before="0" w:after="0" w:line="230" w:lineRule="auto"/>
              <w:ind w:left="78" w:right="107"/>
              <w:jc w:val="both"/>
              <w:rPr>
                <w:rFonts w:ascii="Calibri" w:hAnsi="Calibri" w:cs="Calibri"/>
                <w:kern w:val="24"/>
                <w:sz w:val="22"/>
                <w:lang w:eastAsia="en-IN"/>
              </w:rPr>
            </w:pPr>
            <w:r>
              <w:rPr>
                <w:rFonts w:ascii="Calibri" w:hAnsi="Calibri" w:cs="Calibri"/>
                <w:kern w:val="24"/>
                <w:sz w:val="22"/>
                <w:lang w:eastAsia="en-IN"/>
              </w:rPr>
              <w:t xml:space="preserve">4.5.1 </w:t>
            </w:r>
            <w:r w:rsidR="00FA0EA8" w:rsidRPr="0090566F">
              <w:rPr>
                <w:rFonts w:ascii="Calibri" w:hAnsi="Calibri" w:cs="Calibri"/>
                <w:kern w:val="24"/>
                <w:sz w:val="22"/>
                <w:lang w:eastAsia="en-IN"/>
              </w:rPr>
              <w:t>Undertake regular analysis of CHE through dip-stick studies, review missions and direct patient feedback through national call center</w:t>
            </w:r>
          </w:p>
        </w:tc>
      </w:tr>
    </w:tbl>
    <w:p w14:paraId="2F5E9A29" w14:textId="77777777" w:rsidR="00FA0EA8" w:rsidRPr="00933C76" w:rsidRDefault="00FA0EA8" w:rsidP="00FA0EA8">
      <w:pPr>
        <w:spacing w:before="0" w:after="0"/>
        <w:jc w:val="both"/>
        <w:rPr>
          <w:rFonts w:ascii="Calibri" w:hAnsi="Calibri" w:cs="Calibri"/>
          <w:b/>
          <w:color w:val="C86A07"/>
          <w:sz w:val="22"/>
          <w:lang w:val="en"/>
        </w:rPr>
      </w:pPr>
    </w:p>
    <w:p w14:paraId="4A228151" w14:textId="440DD678" w:rsidR="008C6870" w:rsidRPr="00EC3830" w:rsidRDefault="00850319" w:rsidP="00442A67">
      <w:pPr>
        <w:pStyle w:val="ListParagraph"/>
        <w:numPr>
          <w:ilvl w:val="1"/>
          <w:numId w:val="19"/>
        </w:numPr>
        <w:spacing w:before="0" w:after="0"/>
        <w:ind w:left="432"/>
        <w:contextualSpacing w:val="0"/>
        <w:jc w:val="both"/>
        <w:rPr>
          <w:rFonts w:asciiTheme="minorHAnsi" w:hAnsiTheme="minorHAnsi" w:cstheme="minorHAnsi"/>
          <w:b/>
          <w:color w:val="C86A07" w:themeColor="accent2" w:themeShade="BF"/>
          <w:sz w:val="28"/>
          <w:lang w:val="en"/>
        </w:rPr>
      </w:pPr>
      <w:r w:rsidRPr="00EC3830">
        <w:rPr>
          <w:rFonts w:asciiTheme="minorHAnsi" w:hAnsiTheme="minorHAnsi" w:cstheme="minorHAnsi"/>
          <w:b/>
          <w:color w:val="C86A07" w:themeColor="accent2" w:themeShade="BF"/>
          <w:sz w:val="28"/>
          <w:lang w:val="en"/>
        </w:rPr>
        <w:t>Results framework</w:t>
      </w:r>
      <w:r w:rsidR="00395F7C">
        <w:rPr>
          <w:rStyle w:val="FootnoteReference"/>
          <w:rFonts w:cstheme="minorHAnsi"/>
          <w:b/>
          <w:color w:val="C86A07" w:themeColor="accent2" w:themeShade="BF"/>
          <w:lang w:val="en"/>
        </w:rPr>
        <w:footnoteReference w:id="27"/>
      </w:r>
    </w:p>
    <w:p w14:paraId="53BD248A" w14:textId="77777777" w:rsidR="00084722" w:rsidRDefault="000B69C3" w:rsidP="00C129C4">
      <w:pPr>
        <w:spacing w:before="0" w:after="0"/>
        <w:jc w:val="both"/>
        <w:rPr>
          <w:rFonts w:asciiTheme="minorHAnsi" w:hAnsiTheme="minorHAnsi" w:cstheme="minorHAnsi"/>
          <w:sz w:val="22"/>
        </w:rPr>
      </w:pPr>
      <w:r>
        <w:rPr>
          <w:rFonts w:asciiTheme="minorHAnsi" w:hAnsiTheme="minorHAnsi" w:cstheme="minorHAnsi"/>
          <w:sz w:val="22"/>
        </w:rPr>
        <w:t>The performance measures is a detailed account of the indicators for each of the pillar and strategic area of the NSP.</w:t>
      </w:r>
      <w:r w:rsidRPr="00B075A4">
        <w:rPr>
          <w:rFonts w:asciiTheme="minorHAnsi" w:hAnsiTheme="minorHAnsi" w:cstheme="minorHAnsi"/>
          <w:sz w:val="22"/>
        </w:rPr>
        <w:t xml:space="preserve"> Measuring, monitoring, and evaluating </w:t>
      </w:r>
      <w:r>
        <w:rPr>
          <w:rFonts w:asciiTheme="minorHAnsi" w:hAnsiTheme="minorHAnsi" w:cstheme="minorHAnsi"/>
          <w:sz w:val="22"/>
        </w:rPr>
        <w:t xml:space="preserve">programmatic achievements against these indicators </w:t>
      </w:r>
      <w:r w:rsidRPr="00B075A4">
        <w:rPr>
          <w:rFonts w:asciiTheme="minorHAnsi" w:hAnsiTheme="minorHAnsi" w:cstheme="minorHAnsi"/>
          <w:sz w:val="22"/>
        </w:rPr>
        <w:t xml:space="preserve">is central to the success of the </w:t>
      </w:r>
      <w:r w:rsidR="0050507C">
        <w:rPr>
          <w:rFonts w:asciiTheme="minorHAnsi" w:hAnsiTheme="minorHAnsi" w:cstheme="minorHAnsi"/>
          <w:sz w:val="22"/>
        </w:rPr>
        <w:t>NTEP</w:t>
      </w:r>
      <w:r w:rsidRPr="00B075A4">
        <w:rPr>
          <w:rFonts w:asciiTheme="minorHAnsi" w:hAnsiTheme="minorHAnsi" w:cstheme="minorHAnsi"/>
          <w:sz w:val="22"/>
        </w:rPr>
        <w:t xml:space="preserve">. A major activity for the programme will be to strengthen the surveillance system and further integrate </w:t>
      </w:r>
      <w:r>
        <w:rPr>
          <w:rFonts w:asciiTheme="minorHAnsi" w:hAnsiTheme="minorHAnsi" w:cstheme="minorHAnsi"/>
          <w:sz w:val="22"/>
        </w:rPr>
        <w:t>these indicators</w:t>
      </w:r>
      <w:r w:rsidRPr="00B075A4">
        <w:rPr>
          <w:rFonts w:asciiTheme="minorHAnsi" w:hAnsiTheme="minorHAnsi" w:cstheme="minorHAnsi"/>
          <w:sz w:val="22"/>
        </w:rPr>
        <w:t xml:space="preserve"> into the existing Nikshay platform. </w:t>
      </w:r>
    </w:p>
    <w:p w14:paraId="2C595243" w14:textId="3913EE59" w:rsidR="000B69C3" w:rsidRPr="0085017B" w:rsidRDefault="00534FFB" w:rsidP="00FF7D81">
      <w:pPr>
        <w:spacing w:after="0"/>
        <w:jc w:val="both"/>
        <w:rPr>
          <w:rFonts w:asciiTheme="minorHAnsi" w:hAnsiTheme="minorHAnsi" w:cstheme="minorHAnsi"/>
          <w:b/>
          <w:szCs w:val="18"/>
        </w:rPr>
      </w:pPr>
      <w:r w:rsidRPr="0085017B">
        <w:rPr>
          <w:rFonts w:asciiTheme="minorHAnsi" w:hAnsiTheme="minorHAnsi" w:cstheme="minorHAnsi"/>
          <w:b/>
          <w:szCs w:val="18"/>
        </w:rPr>
        <w:t xml:space="preserve">Table </w:t>
      </w:r>
      <w:r w:rsidR="00E34AC7">
        <w:rPr>
          <w:rFonts w:asciiTheme="minorHAnsi" w:hAnsiTheme="minorHAnsi" w:cstheme="minorHAnsi"/>
          <w:b/>
          <w:szCs w:val="18"/>
        </w:rPr>
        <w:t>9</w:t>
      </w:r>
      <w:r w:rsidRPr="0085017B">
        <w:rPr>
          <w:rFonts w:asciiTheme="minorHAnsi" w:hAnsiTheme="minorHAnsi" w:cstheme="minorHAnsi"/>
          <w:b/>
          <w:szCs w:val="18"/>
        </w:rPr>
        <w:t xml:space="preserve">: </w:t>
      </w:r>
      <w:r w:rsidR="000B69C3" w:rsidRPr="0085017B">
        <w:rPr>
          <w:rFonts w:asciiTheme="minorHAnsi" w:hAnsiTheme="minorHAnsi" w:cstheme="minorHAnsi"/>
          <w:b/>
          <w:szCs w:val="18"/>
        </w:rPr>
        <w:t>Key indicators for the priority programmatic areas and the targets</w:t>
      </w:r>
      <w:r w:rsidRPr="0085017B">
        <w:rPr>
          <w:rFonts w:asciiTheme="minorHAnsi" w:hAnsiTheme="minorHAnsi" w:cstheme="minorHAnsi"/>
          <w:b/>
          <w:szCs w:val="18"/>
        </w:rPr>
        <w:t>:</w:t>
      </w:r>
      <w:r w:rsidR="000B69C3" w:rsidRPr="0085017B">
        <w:rPr>
          <w:rFonts w:asciiTheme="minorHAnsi" w:hAnsiTheme="minorHAnsi" w:cstheme="minorHAnsi"/>
          <w:b/>
          <w:szCs w:val="18"/>
        </w:rPr>
        <w:t xml:space="preserve"> </w:t>
      </w:r>
      <w:r w:rsidRPr="0085017B">
        <w:rPr>
          <w:rFonts w:asciiTheme="minorHAnsi" w:hAnsiTheme="minorHAnsi" w:cstheme="minorHAnsi"/>
          <w:b/>
          <w:szCs w:val="18"/>
        </w:rPr>
        <w:t xml:space="preserve">NSP </w:t>
      </w:r>
      <w:r w:rsidR="0085017B">
        <w:rPr>
          <w:rFonts w:asciiTheme="minorHAnsi" w:hAnsiTheme="minorHAnsi" w:cstheme="minorHAnsi"/>
          <w:b/>
          <w:szCs w:val="18"/>
        </w:rPr>
        <w:t xml:space="preserve">2020-25 </w:t>
      </w:r>
      <w:r w:rsidRPr="0085017B">
        <w:rPr>
          <w:rFonts w:asciiTheme="minorHAnsi" w:hAnsiTheme="minorHAnsi" w:cstheme="minorHAnsi"/>
          <w:b/>
          <w:szCs w:val="18"/>
        </w:rPr>
        <w:t>India</w:t>
      </w:r>
      <w:r w:rsidR="000B69C3" w:rsidRPr="0085017B">
        <w:rPr>
          <w:rFonts w:asciiTheme="minorHAnsi" w:hAnsiTheme="minorHAnsi" w:cstheme="minorHAnsi"/>
          <w:b/>
          <w:szCs w:val="18"/>
        </w:rPr>
        <w:t>.</w:t>
      </w:r>
      <w:r w:rsidR="007D48A0" w:rsidRPr="0085017B">
        <w:rPr>
          <w:rFonts w:asciiTheme="minorHAnsi" w:hAnsiTheme="minorHAnsi" w:cstheme="minorHAnsi"/>
          <w:b/>
          <w:szCs w:val="18"/>
        </w:rPr>
        <w:t xml:space="preserve"> </w:t>
      </w:r>
    </w:p>
    <w:tbl>
      <w:tblPr>
        <w:tblStyle w:val="TableGrid"/>
        <w:tblW w:w="9090" w:type="dxa"/>
        <w:tblInd w:w="198" w:type="dxa"/>
        <w:tblLook w:val="04A0" w:firstRow="1" w:lastRow="0" w:firstColumn="1" w:lastColumn="0" w:noHBand="0" w:noVBand="1"/>
      </w:tblPr>
      <w:tblGrid>
        <w:gridCol w:w="1136"/>
        <w:gridCol w:w="1136"/>
        <w:gridCol w:w="1136"/>
        <w:gridCol w:w="1136"/>
        <w:gridCol w:w="1136"/>
        <w:gridCol w:w="1136"/>
        <w:gridCol w:w="1137"/>
        <w:gridCol w:w="1137"/>
      </w:tblGrid>
      <w:tr w:rsidR="007D48A0" w14:paraId="444FF759" w14:textId="77777777" w:rsidTr="00644DE5">
        <w:trPr>
          <w:cnfStyle w:val="100000000000" w:firstRow="1" w:lastRow="0" w:firstColumn="0" w:lastColumn="0" w:oddVBand="0" w:evenVBand="0" w:oddHBand="0" w:evenHBand="0" w:firstRowFirstColumn="0" w:firstRowLastColumn="0" w:lastRowFirstColumn="0" w:lastRowLastColumn="0"/>
          <w:trHeight w:val="259"/>
        </w:trPr>
        <w:tc>
          <w:tcPr>
            <w:tcW w:w="1136" w:type="dxa"/>
            <w:tcBorders>
              <w:top w:val="single" w:sz="2" w:space="0" w:color="7F7F7F" w:themeColor="accent3"/>
              <w:left w:val="single" w:sz="2" w:space="0" w:color="7F7F7F" w:themeColor="accent3"/>
              <w:bottom w:val="single" w:sz="2" w:space="0" w:color="7F7F7F" w:themeColor="accent3"/>
              <w:right w:val="single" w:sz="2" w:space="0" w:color="7F7F7F" w:themeColor="accent3"/>
            </w:tcBorders>
            <w:shd w:val="clear" w:color="auto" w:fill="FBD5B5" w:themeFill="accent4"/>
          </w:tcPr>
          <w:p w14:paraId="28C84167" w14:textId="77777777" w:rsidR="007D48A0" w:rsidRDefault="007D48A0" w:rsidP="007D48A0">
            <w:pPr>
              <w:spacing w:before="0" w:after="0"/>
              <w:rPr>
                <w:rFonts w:asciiTheme="minorHAnsi" w:hAnsiTheme="minorHAnsi" w:cstheme="minorHAnsi"/>
                <w:b w:val="0"/>
                <w:sz w:val="22"/>
              </w:rPr>
            </w:pPr>
          </w:p>
        </w:tc>
        <w:tc>
          <w:tcPr>
            <w:tcW w:w="1136" w:type="dxa"/>
            <w:tcBorders>
              <w:top w:val="nil"/>
              <w:left w:val="single" w:sz="2" w:space="0" w:color="7F7F7F" w:themeColor="accent3"/>
              <w:bottom w:val="nil"/>
              <w:right w:val="single" w:sz="2" w:space="0" w:color="7F7F7F" w:themeColor="accent3"/>
            </w:tcBorders>
          </w:tcPr>
          <w:p w14:paraId="2581E70C" w14:textId="6235C555" w:rsidR="007D48A0" w:rsidRDefault="007D48A0" w:rsidP="007D48A0">
            <w:pPr>
              <w:spacing w:before="0" w:after="0"/>
              <w:rPr>
                <w:rFonts w:asciiTheme="minorHAnsi" w:hAnsiTheme="minorHAnsi" w:cstheme="minorHAnsi"/>
                <w:b w:val="0"/>
                <w:sz w:val="22"/>
              </w:rPr>
            </w:pPr>
            <w:r>
              <w:rPr>
                <w:rFonts w:asciiTheme="minorHAnsi" w:hAnsiTheme="minorHAnsi" w:cstheme="minorHAnsi"/>
                <w:sz w:val="22"/>
              </w:rPr>
              <w:t>PREVENT</w:t>
            </w:r>
          </w:p>
        </w:tc>
        <w:tc>
          <w:tcPr>
            <w:tcW w:w="1136" w:type="dxa"/>
            <w:tcBorders>
              <w:top w:val="single" w:sz="2" w:space="0" w:color="7F7F7F" w:themeColor="accent3"/>
              <w:left w:val="single" w:sz="2" w:space="0" w:color="7F7F7F" w:themeColor="accent3"/>
              <w:bottom w:val="single" w:sz="2" w:space="0" w:color="7F7F7F" w:themeColor="accent3"/>
              <w:right w:val="single" w:sz="2" w:space="0" w:color="7F7F7F" w:themeColor="accent3"/>
            </w:tcBorders>
            <w:shd w:val="clear" w:color="auto" w:fill="D4EDB9"/>
          </w:tcPr>
          <w:p w14:paraId="0389724B" w14:textId="77777777" w:rsidR="007D48A0" w:rsidRDefault="007D48A0" w:rsidP="007D48A0">
            <w:pPr>
              <w:spacing w:before="0" w:after="0"/>
              <w:rPr>
                <w:rFonts w:asciiTheme="minorHAnsi" w:hAnsiTheme="minorHAnsi" w:cstheme="minorHAnsi"/>
                <w:b w:val="0"/>
                <w:sz w:val="22"/>
              </w:rPr>
            </w:pPr>
          </w:p>
        </w:tc>
        <w:tc>
          <w:tcPr>
            <w:tcW w:w="1136" w:type="dxa"/>
            <w:tcBorders>
              <w:top w:val="nil"/>
              <w:left w:val="single" w:sz="2" w:space="0" w:color="7F7F7F" w:themeColor="accent3"/>
              <w:bottom w:val="nil"/>
              <w:right w:val="single" w:sz="2" w:space="0" w:color="7F7F7F" w:themeColor="accent3"/>
            </w:tcBorders>
          </w:tcPr>
          <w:p w14:paraId="4AF2688C" w14:textId="09665DA6" w:rsidR="007D48A0" w:rsidRDefault="007D48A0" w:rsidP="007D48A0">
            <w:pPr>
              <w:spacing w:before="0" w:after="0"/>
              <w:rPr>
                <w:rFonts w:asciiTheme="minorHAnsi" w:hAnsiTheme="minorHAnsi" w:cstheme="minorHAnsi"/>
                <w:b w:val="0"/>
                <w:sz w:val="22"/>
              </w:rPr>
            </w:pPr>
            <w:r>
              <w:rPr>
                <w:rFonts w:asciiTheme="minorHAnsi" w:hAnsiTheme="minorHAnsi" w:cstheme="minorHAnsi"/>
                <w:sz w:val="22"/>
              </w:rPr>
              <w:t>DETECT</w:t>
            </w:r>
          </w:p>
        </w:tc>
        <w:tc>
          <w:tcPr>
            <w:tcW w:w="1136" w:type="dxa"/>
            <w:tcBorders>
              <w:top w:val="single" w:sz="2" w:space="0" w:color="7F7F7F" w:themeColor="accent3"/>
              <w:left w:val="single" w:sz="2" w:space="0" w:color="7F7F7F" w:themeColor="accent3"/>
              <w:bottom w:val="single" w:sz="2" w:space="0" w:color="7F7F7F" w:themeColor="accent3"/>
              <w:right w:val="single" w:sz="2" w:space="0" w:color="7F7F7F" w:themeColor="accent3"/>
            </w:tcBorders>
            <w:shd w:val="clear" w:color="auto" w:fill="C6D9F1" w:themeFill="text2" w:themeFillTint="33"/>
          </w:tcPr>
          <w:p w14:paraId="50A19504" w14:textId="77777777" w:rsidR="007D48A0" w:rsidRDefault="007D48A0" w:rsidP="007D48A0">
            <w:pPr>
              <w:spacing w:before="0" w:after="0"/>
              <w:rPr>
                <w:rFonts w:asciiTheme="minorHAnsi" w:hAnsiTheme="minorHAnsi" w:cstheme="minorHAnsi"/>
                <w:b w:val="0"/>
                <w:sz w:val="22"/>
              </w:rPr>
            </w:pPr>
          </w:p>
        </w:tc>
        <w:tc>
          <w:tcPr>
            <w:tcW w:w="1136" w:type="dxa"/>
            <w:tcBorders>
              <w:top w:val="nil"/>
              <w:left w:val="single" w:sz="2" w:space="0" w:color="7F7F7F" w:themeColor="accent3"/>
              <w:bottom w:val="nil"/>
              <w:right w:val="single" w:sz="2" w:space="0" w:color="7F7F7F" w:themeColor="accent3"/>
            </w:tcBorders>
          </w:tcPr>
          <w:p w14:paraId="61DEADFE" w14:textId="60A5CD9B" w:rsidR="007D48A0" w:rsidRDefault="007D48A0" w:rsidP="007D48A0">
            <w:pPr>
              <w:spacing w:before="0" w:after="0"/>
              <w:rPr>
                <w:rFonts w:asciiTheme="minorHAnsi" w:hAnsiTheme="minorHAnsi" w:cstheme="minorHAnsi"/>
                <w:b w:val="0"/>
                <w:sz w:val="22"/>
              </w:rPr>
            </w:pPr>
            <w:r>
              <w:rPr>
                <w:rFonts w:asciiTheme="minorHAnsi" w:hAnsiTheme="minorHAnsi" w:cstheme="minorHAnsi"/>
                <w:sz w:val="22"/>
              </w:rPr>
              <w:t>TREAT</w:t>
            </w:r>
          </w:p>
        </w:tc>
        <w:tc>
          <w:tcPr>
            <w:tcW w:w="1137" w:type="dxa"/>
            <w:tcBorders>
              <w:top w:val="single" w:sz="2" w:space="0" w:color="7F7F7F" w:themeColor="accent3"/>
              <w:left w:val="single" w:sz="2" w:space="0" w:color="7F7F7F" w:themeColor="accent3"/>
              <w:bottom w:val="single" w:sz="2" w:space="0" w:color="7F7F7F" w:themeColor="accent3"/>
              <w:right w:val="single" w:sz="2" w:space="0" w:color="7F7F7F" w:themeColor="accent3"/>
            </w:tcBorders>
            <w:shd w:val="clear" w:color="auto" w:fill="FDE9D9" w:themeFill="accent6" w:themeFillTint="33"/>
          </w:tcPr>
          <w:p w14:paraId="4C712E9D" w14:textId="77777777" w:rsidR="007D48A0" w:rsidRDefault="007D48A0" w:rsidP="007D48A0">
            <w:pPr>
              <w:spacing w:before="0" w:after="0"/>
              <w:rPr>
                <w:rFonts w:asciiTheme="minorHAnsi" w:hAnsiTheme="minorHAnsi" w:cstheme="minorHAnsi"/>
                <w:b w:val="0"/>
                <w:sz w:val="22"/>
              </w:rPr>
            </w:pPr>
          </w:p>
        </w:tc>
        <w:tc>
          <w:tcPr>
            <w:tcW w:w="1137" w:type="dxa"/>
            <w:tcBorders>
              <w:top w:val="nil"/>
              <w:left w:val="single" w:sz="2" w:space="0" w:color="7F7F7F" w:themeColor="accent3"/>
              <w:bottom w:val="nil"/>
            </w:tcBorders>
          </w:tcPr>
          <w:p w14:paraId="2D161C7F" w14:textId="4AD0E88C" w:rsidR="007D48A0" w:rsidRDefault="007D48A0" w:rsidP="007D48A0">
            <w:pPr>
              <w:spacing w:before="0" w:after="0"/>
              <w:rPr>
                <w:rFonts w:asciiTheme="minorHAnsi" w:hAnsiTheme="minorHAnsi" w:cstheme="minorHAnsi"/>
                <w:b w:val="0"/>
                <w:sz w:val="22"/>
              </w:rPr>
            </w:pPr>
            <w:r>
              <w:rPr>
                <w:rFonts w:asciiTheme="minorHAnsi" w:hAnsiTheme="minorHAnsi" w:cstheme="minorHAnsi"/>
                <w:sz w:val="22"/>
              </w:rPr>
              <w:t>BUILD</w:t>
            </w:r>
          </w:p>
        </w:tc>
      </w:tr>
    </w:tbl>
    <w:p w14:paraId="34BBC124" w14:textId="77777777" w:rsidR="007D48A0" w:rsidRPr="00534FFB" w:rsidRDefault="007D48A0" w:rsidP="007D48A0">
      <w:pPr>
        <w:spacing w:before="0" w:after="0"/>
        <w:jc w:val="both"/>
        <w:rPr>
          <w:rFonts w:ascii="Calibri Light" w:hAnsi="Calibri Light" w:cs="Calibri Light"/>
          <w:b/>
          <w:sz w:val="22"/>
        </w:rPr>
      </w:pPr>
    </w:p>
    <w:tbl>
      <w:tblPr>
        <w:tblW w:w="10512"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0" w:type="dxa"/>
        </w:tblCellMar>
        <w:tblLook w:val="04A0" w:firstRow="1" w:lastRow="0" w:firstColumn="1" w:lastColumn="0" w:noHBand="0" w:noVBand="1"/>
      </w:tblPr>
      <w:tblGrid>
        <w:gridCol w:w="313"/>
        <w:gridCol w:w="3330"/>
        <w:gridCol w:w="936"/>
        <w:gridCol w:w="990"/>
        <w:gridCol w:w="990"/>
        <w:gridCol w:w="990"/>
        <w:gridCol w:w="1019"/>
        <w:gridCol w:w="990"/>
        <w:gridCol w:w="954"/>
      </w:tblGrid>
      <w:tr w:rsidR="00644DE5" w:rsidRPr="00644DE5" w14:paraId="3BBE3E8A" w14:textId="77777777" w:rsidTr="00B25F27">
        <w:trPr>
          <w:trHeight w:val="70"/>
        </w:trPr>
        <w:tc>
          <w:tcPr>
            <w:tcW w:w="313" w:type="dxa"/>
            <w:shd w:val="clear" w:color="auto" w:fill="auto"/>
            <w:noWrap/>
          </w:tcPr>
          <w:p w14:paraId="12BD0599" w14:textId="673D1719" w:rsidR="00644DE5" w:rsidRPr="00644DE5" w:rsidRDefault="00644DE5" w:rsidP="00644DE5">
            <w:pPr>
              <w:spacing w:before="0" w:after="0"/>
              <w:rPr>
                <w:rFonts w:asciiTheme="minorHAnsi" w:eastAsia="Times New Roman" w:hAnsiTheme="minorHAnsi" w:cstheme="minorHAnsi"/>
                <w:b/>
                <w:bCs/>
                <w:sz w:val="22"/>
                <w:szCs w:val="20"/>
                <w:lang w:eastAsia="en-IN"/>
              </w:rPr>
            </w:pPr>
            <w:bookmarkStart w:id="32" w:name="_Toc472975888"/>
            <w:bookmarkStart w:id="33" w:name="_Toc472976157"/>
            <w:bookmarkStart w:id="34" w:name="_Toc474783487"/>
            <w:bookmarkStart w:id="35" w:name="_Toc475081602"/>
            <w:bookmarkStart w:id="36" w:name="_Toc476668572"/>
            <w:bookmarkStart w:id="37" w:name="_Toc476680436"/>
            <w:bookmarkStart w:id="38" w:name="_Toc476681692"/>
            <w:bookmarkStart w:id="39" w:name="_Toc476682940"/>
            <w:bookmarkStart w:id="40" w:name="_Toc2777254"/>
          </w:p>
        </w:tc>
        <w:tc>
          <w:tcPr>
            <w:tcW w:w="3330" w:type="dxa"/>
            <w:shd w:val="clear" w:color="auto" w:fill="auto"/>
            <w:noWrap/>
            <w:hideMark/>
          </w:tcPr>
          <w:p w14:paraId="788C8037" w14:textId="77777777" w:rsidR="00644DE5" w:rsidRPr="00644DE5" w:rsidRDefault="00644DE5" w:rsidP="00644DE5">
            <w:pPr>
              <w:spacing w:before="0" w:after="0"/>
              <w:rPr>
                <w:rFonts w:asciiTheme="minorHAnsi" w:eastAsia="Times New Roman" w:hAnsiTheme="minorHAnsi" w:cstheme="minorHAnsi"/>
                <w:b/>
                <w:bCs/>
                <w:sz w:val="22"/>
                <w:szCs w:val="20"/>
                <w:lang w:eastAsia="en-IN"/>
              </w:rPr>
            </w:pPr>
            <w:r w:rsidRPr="00644DE5">
              <w:rPr>
                <w:rFonts w:asciiTheme="minorHAnsi" w:eastAsia="Times New Roman" w:hAnsiTheme="minorHAnsi" w:cstheme="minorHAnsi"/>
                <w:b/>
                <w:bCs/>
                <w:sz w:val="22"/>
                <w:szCs w:val="20"/>
                <w:lang w:eastAsia="en-IN"/>
              </w:rPr>
              <w:t>Indicator</w:t>
            </w:r>
          </w:p>
        </w:tc>
        <w:tc>
          <w:tcPr>
            <w:tcW w:w="936" w:type="dxa"/>
            <w:shd w:val="clear" w:color="auto" w:fill="auto"/>
            <w:noWrap/>
            <w:hideMark/>
          </w:tcPr>
          <w:p w14:paraId="411FC2AE" w14:textId="77777777" w:rsidR="00644DE5" w:rsidRPr="00644DE5" w:rsidRDefault="00644DE5" w:rsidP="00644DE5">
            <w:pPr>
              <w:spacing w:before="0" w:after="0"/>
              <w:jc w:val="center"/>
              <w:rPr>
                <w:rFonts w:asciiTheme="minorHAnsi" w:eastAsia="Times New Roman" w:hAnsiTheme="minorHAnsi" w:cstheme="minorHAnsi"/>
                <w:b/>
                <w:bCs/>
                <w:szCs w:val="20"/>
                <w:lang w:eastAsia="en-IN"/>
              </w:rPr>
            </w:pPr>
            <w:r w:rsidRPr="00644DE5">
              <w:rPr>
                <w:rFonts w:asciiTheme="minorHAnsi" w:eastAsia="Times New Roman" w:hAnsiTheme="minorHAnsi" w:cstheme="minorHAnsi"/>
                <w:b/>
                <w:bCs/>
                <w:szCs w:val="20"/>
                <w:lang w:eastAsia="en-IN"/>
              </w:rPr>
              <w:t>2019</w:t>
            </w:r>
          </w:p>
        </w:tc>
        <w:tc>
          <w:tcPr>
            <w:tcW w:w="990" w:type="dxa"/>
            <w:shd w:val="clear" w:color="auto" w:fill="auto"/>
            <w:noWrap/>
            <w:hideMark/>
          </w:tcPr>
          <w:p w14:paraId="7A7C5B0F" w14:textId="77777777" w:rsidR="00644DE5" w:rsidRPr="00644DE5" w:rsidRDefault="00644DE5" w:rsidP="00644DE5">
            <w:pPr>
              <w:spacing w:before="0" w:after="0"/>
              <w:jc w:val="center"/>
              <w:rPr>
                <w:rFonts w:asciiTheme="minorHAnsi" w:eastAsia="Times New Roman" w:hAnsiTheme="minorHAnsi" w:cstheme="minorHAnsi"/>
                <w:b/>
                <w:bCs/>
                <w:szCs w:val="20"/>
                <w:lang w:eastAsia="en-IN"/>
              </w:rPr>
            </w:pPr>
            <w:r w:rsidRPr="00644DE5">
              <w:rPr>
                <w:rFonts w:asciiTheme="minorHAnsi" w:eastAsia="Times New Roman" w:hAnsiTheme="minorHAnsi" w:cstheme="minorHAnsi"/>
                <w:b/>
                <w:bCs/>
                <w:szCs w:val="20"/>
                <w:lang w:eastAsia="en-IN"/>
              </w:rPr>
              <w:t>2020</w:t>
            </w:r>
          </w:p>
        </w:tc>
        <w:tc>
          <w:tcPr>
            <w:tcW w:w="990" w:type="dxa"/>
            <w:shd w:val="clear" w:color="auto" w:fill="auto"/>
            <w:noWrap/>
            <w:hideMark/>
          </w:tcPr>
          <w:p w14:paraId="0FBE4417" w14:textId="77777777" w:rsidR="00644DE5" w:rsidRPr="00644DE5" w:rsidRDefault="00644DE5" w:rsidP="00644DE5">
            <w:pPr>
              <w:spacing w:before="0" w:after="0"/>
              <w:jc w:val="center"/>
              <w:rPr>
                <w:rFonts w:asciiTheme="minorHAnsi" w:eastAsia="Times New Roman" w:hAnsiTheme="minorHAnsi" w:cstheme="minorHAnsi"/>
                <w:b/>
                <w:bCs/>
                <w:szCs w:val="20"/>
                <w:lang w:eastAsia="en-IN"/>
              </w:rPr>
            </w:pPr>
            <w:r w:rsidRPr="00644DE5">
              <w:rPr>
                <w:rFonts w:asciiTheme="minorHAnsi" w:eastAsia="Times New Roman" w:hAnsiTheme="minorHAnsi" w:cstheme="minorHAnsi"/>
                <w:b/>
                <w:bCs/>
                <w:szCs w:val="20"/>
                <w:lang w:eastAsia="en-IN"/>
              </w:rPr>
              <w:t>2021</w:t>
            </w:r>
          </w:p>
        </w:tc>
        <w:tc>
          <w:tcPr>
            <w:tcW w:w="990" w:type="dxa"/>
            <w:shd w:val="clear" w:color="auto" w:fill="auto"/>
            <w:noWrap/>
            <w:hideMark/>
          </w:tcPr>
          <w:p w14:paraId="1146E0BA" w14:textId="77777777" w:rsidR="00644DE5" w:rsidRPr="00644DE5" w:rsidRDefault="00644DE5" w:rsidP="00644DE5">
            <w:pPr>
              <w:spacing w:before="0" w:after="0"/>
              <w:jc w:val="center"/>
              <w:rPr>
                <w:rFonts w:asciiTheme="minorHAnsi" w:eastAsia="Times New Roman" w:hAnsiTheme="minorHAnsi" w:cstheme="minorHAnsi"/>
                <w:b/>
                <w:bCs/>
                <w:szCs w:val="20"/>
                <w:lang w:eastAsia="en-IN"/>
              </w:rPr>
            </w:pPr>
            <w:r w:rsidRPr="00644DE5">
              <w:rPr>
                <w:rFonts w:asciiTheme="minorHAnsi" w:eastAsia="Times New Roman" w:hAnsiTheme="minorHAnsi" w:cstheme="minorHAnsi"/>
                <w:b/>
                <w:bCs/>
                <w:szCs w:val="20"/>
                <w:lang w:eastAsia="en-IN"/>
              </w:rPr>
              <w:t>2022</w:t>
            </w:r>
          </w:p>
        </w:tc>
        <w:tc>
          <w:tcPr>
            <w:tcW w:w="1019" w:type="dxa"/>
            <w:shd w:val="clear" w:color="auto" w:fill="auto"/>
            <w:noWrap/>
            <w:hideMark/>
          </w:tcPr>
          <w:p w14:paraId="67280627" w14:textId="77777777" w:rsidR="00644DE5" w:rsidRPr="00644DE5" w:rsidRDefault="00644DE5" w:rsidP="00644DE5">
            <w:pPr>
              <w:spacing w:before="0" w:after="0"/>
              <w:jc w:val="center"/>
              <w:rPr>
                <w:rFonts w:asciiTheme="minorHAnsi" w:eastAsia="Times New Roman" w:hAnsiTheme="minorHAnsi" w:cstheme="minorHAnsi"/>
                <w:b/>
                <w:bCs/>
                <w:szCs w:val="20"/>
                <w:lang w:eastAsia="en-IN"/>
              </w:rPr>
            </w:pPr>
            <w:r w:rsidRPr="00644DE5">
              <w:rPr>
                <w:rFonts w:asciiTheme="minorHAnsi" w:eastAsia="Times New Roman" w:hAnsiTheme="minorHAnsi" w:cstheme="minorHAnsi"/>
                <w:b/>
                <w:bCs/>
                <w:szCs w:val="20"/>
                <w:lang w:eastAsia="en-IN"/>
              </w:rPr>
              <w:t>2023</w:t>
            </w:r>
          </w:p>
        </w:tc>
        <w:tc>
          <w:tcPr>
            <w:tcW w:w="990" w:type="dxa"/>
            <w:shd w:val="clear" w:color="auto" w:fill="auto"/>
            <w:noWrap/>
            <w:hideMark/>
          </w:tcPr>
          <w:p w14:paraId="0580E40F" w14:textId="77777777" w:rsidR="00644DE5" w:rsidRPr="00644DE5" w:rsidRDefault="00644DE5" w:rsidP="00644DE5">
            <w:pPr>
              <w:spacing w:before="0" w:after="0"/>
              <w:jc w:val="center"/>
              <w:rPr>
                <w:rFonts w:asciiTheme="minorHAnsi" w:eastAsia="Times New Roman" w:hAnsiTheme="minorHAnsi" w:cstheme="minorHAnsi"/>
                <w:b/>
                <w:bCs/>
                <w:szCs w:val="20"/>
                <w:lang w:eastAsia="en-IN"/>
              </w:rPr>
            </w:pPr>
            <w:r w:rsidRPr="00644DE5">
              <w:rPr>
                <w:rFonts w:asciiTheme="minorHAnsi" w:eastAsia="Times New Roman" w:hAnsiTheme="minorHAnsi" w:cstheme="minorHAnsi"/>
                <w:b/>
                <w:bCs/>
                <w:szCs w:val="20"/>
                <w:lang w:eastAsia="en-IN"/>
              </w:rPr>
              <w:t>2024</w:t>
            </w:r>
          </w:p>
        </w:tc>
        <w:tc>
          <w:tcPr>
            <w:tcW w:w="954" w:type="dxa"/>
            <w:shd w:val="clear" w:color="auto" w:fill="auto"/>
            <w:noWrap/>
            <w:hideMark/>
          </w:tcPr>
          <w:p w14:paraId="3CB9B76A" w14:textId="77777777" w:rsidR="00644DE5" w:rsidRPr="00644DE5" w:rsidRDefault="00644DE5" w:rsidP="00644DE5">
            <w:pPr>
              <w:spacing w:before="0" w:after="0"/>
              <w:jc w:val="center"/>
              <w:rPr>
                <w:rFonts w:asciiTheme="minorHAnsi" w:eastAsia="Times New Roman" w:hAnsiTheme="minorHAnsi" w:cstheme="minorHAnsi"/>
                <w:b/>
                <w:bCs/>
                <w:szCs w:val="20"/>
                <w:lang w:eastAsia="en-IN"/>
              </w:rPr>
            </w:pPr>
            <w:r w:rsidRPr="00644DE5">
              <w:rPr>
                <w:rFonts w:asciiTheme="minorHAnsi" w:eastAsia="Times New Roman" w:hAnsiTheme="minorHAnsi" w:cstheme="minorHAnsi"/>
                <w:b/>
                <w:bCs/>
                <w:szCs w:val="20"/>
                <w:lang w:eastAsia="en-IN"/>
              </w:rPr>
              <w:t>2025</w:t>
            </w:r>
          </w:p>
        </w:tc>
      </w:tr>
      <w:tr w:rsidR="00644DE5" w:rsidRPr="00644DE5" w14:paraId="1B4AD9EF" w14:textId="77777777" w:rsidTr="00B25F27">
        <w:trPr>
          <w:trHeight w:val="310"/>
        </w:trPr>
        <w:tc>
          <w:tcPr>
            <w:tcW w:w="313" w:type="dxa"/>
            <w:shd w:val="clear" w:color="auto" w:fill="FBD5B5" w:themeFill="accent4"/>
            <w:noWrap/>
          </w:tcPr>
          <w:p w14:paraId="0C721698"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BD5B5" w:themeFill="accent4"/>
            <w:noWrap/>
            <w:hideMark/>
          </w:tcPr>
          <w:p w14:paraId="0FD96C42"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Total number of beneficiaries to be initiated on TB Preventive therapy</w:t>
            </w:r>
          </w:p>
        </w:tc>
        <w:tc>
          <w:tcPr>
            <w:tcW w:w="936" w:type="dxa"/>
            <w:shd w:val="clear" w:color="auto" w:fill="FBD5B5" w:themeFill="accent4"/>
            <w:noWrap/>
            <w:hideMark/>
          </w:tcPr>
          <w:p w14:paraId="231AEBCE" w14:textId="65CCF3C2" w:rsidR="00644DE5" w:rsidRPr="00644DE5" w:rsidRDefault="008D6A1B" w:rsidP="00644DE5">
            <w:pPr>
              <w:spacing w:before="0" w:after="0"/>
              <w:jc w:val="center"/>
              <w:rPr>
                <w:rFonts w:asciiTheme="minorHAnsi" w:eastAsia="Times New Roman" w:hAnsiTheme="minorHAnsi" w:cstheme="minorHAnsi"/>
                <w:szCs w:val="20"/>
                <w:lang w:eastAsia="en-IN"/>
              </w:rPr>
            </w:pPr>
            <w:r>
              <w:rPr>
                <w:rFonts w:asciiTheme="minorHAnsi" w:eastAsia="Times New Roman" w:hAnsiTheme="minorHAnsi" w:cstheme="minorHAnsi"/>
                <w:szCs w:val="20"/>
                <w:lang w:eastAsia="en-IN"/>
              </w:rPr>
              <w:t>8</w:t>
            </w:r>
            <w:r w:rsidR="00644DE5" w:rsidRPr="00644DE5">
              <w:rPr>
                <w:rFonts w:asciiTheme="minorHAnsi" w:eastAsia="Times New Roman" w:hAnsiTheme="minorHAnsi" w:cstheme="minorHAnsi"/>
                <w:szCs w:val="20"/>
                <w:lang w:eastAsia="en-IN"/>
              </w:rPr>
              <w:t>,</w:t>
            </w:r>
            <w:r>
              <w:rPr>
                <w:rFonts w:asciiTheme="minorHAnsi" w:eastAsia="Times New Roman" w:hAnsiTheme="minorHAnsi" w:cstheme="minorHAnsi"/>
                <w:szCs w:val="20"/>
                <w:lang w:eastAsia="en-IN"/>
              </w:rPr>
              <w:t>03</w:t>
            </w:r>
            <w:r w:rsidR="00644DE5" w:rsidRPr="00644DE5">
              <w:rPr>
                <w:rFonts w:asciiTheme="minorHAnsi" w:eastAsia="Times New Roman" w:hAnsiTheme="minorHAnsi" w:cstheme="minorHAnsi"/>
                <w:szCs w:val="20"/>
                <w:lang w:eastAsia="en-IN"/>
              </w:rPr>
              <w:t>,</w:t>
            </w:r>
            <w:r>
              <w:rPr>
                <w:rFonts w:asciiTheme="minorHAnsi" w:eastAsia="Times New Roman" w:hAnsiTheme="minorHAnsi" w:cstheme="minorHAnsi"/>
                <w:szCs w:val="20"/>
                <w:lang w:eastAsia="en-IN"/>
              </w:rPr>
              <w:t>846</w:t>
            </w:r>
          </w:p>
        </w:tc>
        <w:tc>
          <w:tcPr>
            <w:tcW w:w="990" w:type="dxa"/>
            <w:shd w:val="clear" w:color="auto" w:fill="FBD5B5" w:themeFill="accent4"/>
            <w:noWrap/>
            <w:hideMark/>
          </w:tcPr>
          <w:p w14:paraId="5AD510C8"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7,14,265</w:t>
            </w:r>
          </w:p>
        </w:tc>
        <w:tc>
          <w:tcPr>
            <w:tcW w:w="990" w:type="dxa"/>
            <w:shd w:val="clear" w:color="auto" w:fill="FBD5B5" w:themeFill="accent4"/>
            <w:noWrap/>
            <w:hideMark/>
          </w:tcPr>
          <w:p w14:paraId="3AF1A56B" w14:textId="77777777" w:rsidR="00644DE5" w:rsidRPr="00395F7C" w:rsidRDefault="00644DE5" w:rsidP="00644DE5">
            <w:pPr>
              <w:spacing w:before="0" w:after="0"/>
              <w:jc w:val="center"/>
              <w:rPr>
                <w:rFonts w:asciiTheme="minorHAnsi" w:eastAsia="Times New Roman" w:hAnsiTheme="minorHAnsi" w:cstheme="minorHAnsi"/>
                <w:szCs w:val="20"/>
                <w:lang w:eastAsia="en-IN"/>
              </w:rPr>
            </w:pPr>
            <w:r w:rsidRPr="00395F7C">
              <w:rPr>
                <w:rFonts w:asciiTheme="minorHAnsi" w:eastAsia="Times New Roman" w:hAnsiTheme="minorHAnsi" w:cstheme="minorHAnsi"/>
                <w:szCs w:val="20"/>
                <w:lang w:eastAsia="en-IN"/>
              </w:rPr>
              <w:t>15,00,000</w:t>
            </w:r>
          </w:p>
        </w:tc>
        <w:tc>
          <w:tcPr>
            <w:tcW w:w="990" w:type="dxa"/>
            <w:shd w:val="clear" w:color="auto" w:fill="FBD5B5" w:themeFill="accent4"/>
            <w:noWrap/>
            <w:hideMark/>
          </w:tcPr>
          <w:p w14:paraId="6363CEC3" w14:textId="77777777" w:rsidR="00644DE5" w:rsidRPr="00395F7C" w:rsidRDefault="00644DE5" w:rsidP="00644DE5">
            <w:pPr>
              <w:spacing w:before="0" w:after="0"/>
              <w:jc w:val="center"/>
              <w:rPr>
                <w:rFonts w:asciiTheme="minorHAnsi" w:eastAsia="Times New Roman" w:hAnsiTheme="minorHAnsi" w:cstheme="minorHAnsi"/>
                <w:szCs w:val="20"/>
                <w:lang w:eastAsia="en-IN"/>
              </w:rPr>
            </w:pPr>
            <w:r w:rsidRPr="00395F7C">
              <w:rPr>
                <w:rFonts w:asciiTheme="minorHAnsi" w:eastAsia="Times New Roman" w:hAnsiTheme="minorHAnsi" w:cstheme="minorHAnsi"/>
                <w:szCs w:val="20"/>
                <w:lang w:eastAsia="en-IN"/>
              </w:rPr>
              <w:t>20,00,000</w:t>
            </w:r>
          </w:p>
        </w:tc>
        <w:tc>
          <w:tcPr>
            <w:tcW w:w="1019" w:type="dxa"/>
            <w:shd w:val="clear" w:color="auto" w:fill="FBD5B5" w:themeFill="accent4"/>
            <w:noWrap/>
            <w:hideMark/>
          </w:tcPr>
          <w:p w14:paraId="07000754" w14:textId="77777777" w:rsidR="00644DE5" w:rsidRPr="00395F7C" w:rsidRDefault="00644DE5" w:rsidP="00644DE5">
            <w:pPr>
              <w:spacing w:before="0" w:after="0"/>
              <w:jc w:val="center"/>
              <w:rPr>
                <w:rFonts w:asciiTheme="minorHAnsi" w:eastAsia="Times New Roman" w:hAnsiTheme="minorHAnsi" w:cstheme="minorHAnsi"/>
                <w:szCs w:val="20"/>
                <w:lang w:eastAsia="en-IN"/>
              </w:rPr>
            </w:pPr>
            <w:r w:rsidRPr="00395F7C">
              <w:rPr>
                <w:rFonts w:asciiTheme="minorHAnsi" w:eastAsia="Times New Roman" w:hAnsiTheme="minorHAnsi" w:cstheme="minorHAnsi"/>
                <w:szCs w:val="20"/>
                <w:lang w:eastAsia="en-IN"/>
              </w:rPr>
              <w:t>25,00,000</w:t>
            </w:r>
          </w:p>
        </w:tc>
        <w:tc>
          <w:tcPr>
            <w:tcW w:w="990" w:type="dxa"/>
            <w:shd w:val="clear" w:color="auto" w:fill="FBD5B5" w:themeFill="accent4"/>
            <w:noWrap/>
            <w:hideMark/>
          </w:tcPr>
          <w:p w14:paraId="2725D7FE"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30,00,000</w:t>
            </w:r>
          </w:p>
        </w:tc>
        <w:tc>
          <w:tcPr>
            <w:tcW w:w="954" w:type="dxa"/>
            <w:shd w:val="clear" w:color="auto" w:fill="FBD5B5" w:themeFill="accent4"/>
            <w:noWrap/>
            <w:hideMark/>
          </w:tcPr>
          <w:p w14:paraId="71DBE0C5"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40,00,000</w:t>
            </w:r>
          </w:p>
        </w:tc>
      </w:tr>
      <w:tr w:rsidR="00644DE5" w:rsidRPr="00644DE5" w14:paraId="58986524" w14:textId="77777777" w:rsidTr="00B25F27">
        <w:trPr>
          <w:trHeight w:val="70"/>
        </w:trPr>
        <w:tc>
          <w:tcPr>
            <w:tcW w:w="313" w:type="dxa"/>
            <w:shd w:val="clear" w:color="auto" w:fill="FBD5B5" w:themeFill="accent4"/>
            <w:noWrap/>
          </w:tcPr>
          <w:p w14:paraId="21975CC0"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BD5B5" w:themeFill="accent4"/>
            <w:noWrap/>
            <w:hideMark/>
          </w:tcPr>
          <w:p w14:paraId="46CDEAB2"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 xml:space="preserve">No of presumptive TB cases to be tested </w:t>
            </w:r>
          </w:p>
        </w:tc>
        <w:tc>
          <w:tcPr>
            <w:tcW w:w="936" w:type="dxa"/>
            <w:shd w:val="clear" w:color="auto" w:fill="FBD5B5" w:themeFill="accent4"/>
            <w:noWrap/>
            <w:hideMark/>
          </w:tcPr>
          <w:p w14:paraId="64B18A4D" w14:textId="55AD4AC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 w:val="18"/>
                <w:szCs w:val="20"/>
                <w:lang w:eastAsia="en-IN"/>
              </w:rPr>
              <w:t>1,</w:t>
            </w:r>
            <w:r w:rsidR="00B25F27">
              <w:rPr>
                <w:rFonts w:asciiTheme="minorHAnsi" w:eastAsia="Times New Roman" w:hAnsiTheme="minorHAnsi" w:cstheme="minorHAnsi"/>
                <w:sz w:val="18"/>
                <w:szCs w:val="20"/>
                <w:lang w:eastAsia="en-IN"/>
              </w:rPr>
              <w:t>31</w:t>
            </w:r>
            <w:r w:rsidRPr="00644DE5">
              <w:rPr>
                <w:rFonts w:asciiTheme="minorHAnsi" w:eastAsia="Times New Roman" w:hAnsiTheme="minorHAnsi" w:cstheme="minorHAnsi"/>
                <w:sz w:val="18"/>
                <w:szCs w:val="20"/>
                <w:lang w:eastAsia="en-IN"/>
              </w:rPr>
              <w:t>,</w:t>
            </w:r>
            <w:r w:rsidR="00B25F27">
              <w:rPr>
                <w:rFonts w:asciiTheme="minorHAnsi" w:eastAsia="Times New Roman" w:hAnsiTheme="minorHAnsi" w:cstheme="minorHAnsi"/>
                <w:sz w:val="18"/>
                <w:szCs w:val="20"/>
                <w:lang w:eastAsia="en-IN"/>
              </w:rPr>
              <w:t>22</w:t>
            </w:r>
            <w:r w:rsidRPr="00644DE5">
              <w:rPr>
                <w:rFonts w:asciiTheme="minorHAnsi" w:eastAsia="Times New Roman" w:hAnsiTheme="minorHAnsi" w:cstheme="minorHAnsi"/>
                <w:sz w:val="18"/>
                <w:szCs w:val="20"/>
                <w:lang w:eastAsia="en-IN"/>
              </w:rPr>
              <w:t>,</w:t>
            </w:r>
            <w:r w:rsidR="00B25F27">
              <w:rPr>
                <w:rFonts w:asciiTheme="minorHAnsi" w:eastAsia="Times New Roman" w:hAnsiTheme="minorHAnsi" w:cstheme="minorHAnsi"/>
                <w:sz w:val="18"/>
                <w:szCs w:val="20"/>
                <w:lang w:eastAsia="en-IN"/>
              </w:rPr>
              <w:t>971</w:t>
            </w:r>
          </w:p>
        </w:tc>
        <w:tc>
          <w:tcPr>
            <w:tcW w:w="990" w:type="dxa"/>
            <w:shd w:val="clear" w:color="auto" w:fill="FBD5B5" w:themeFill="accent4"/>
            <w:noWrap/>
            <w:hideMark/>
          </w:tcPr>
          <w:p w14:paraId="0A138B6F"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82,88,018</w:t>
            </w:r>
          </w:p>
        </w:tc>
        <w:tc>
          <w:tcPr>
            <w:tcW w:w="990" w:type="dxa"/>
            <w:shd w:val="clear" w:color="auto" w:fill="FBD5B5" w:themeFill="accent4"/>
            <w:noWrap/>
            <w:hideMark/>
          </w:tcPr>
          <w:p w14:paraId="2AD8E489" w14:textId="77777777" w:rsidR="00644DE5" w:rsidRPr="00395F7C" w:rsidRDefault="00644DE5" w:rsidP="00644DE5">
            <w:pPr>
              <w:spacing w:before="0" w:after="0"/>
              <w:jc w:val="center"/>
              <w:rPr>
                <w:rFonts w:asciiTheme="minorHAnsi" w:eastAsia="Times New Roman" w:hAnsiTheme="minorHAnsi" w:cstheme="minorHAnsi"/>
                <w:sz w:val="18"/>
                <w:szCs w:val="20"/>
                <w:highlight w:val="green"/>
                <w:lang w:eastAsia="en-IN"/>
              </w:rPr>
            </w:pPr>
            <w:r w:rsidRPr="00395F7C">
              <w:rPr>
                <w:rFonts w:asciiTheme="minorHAnsi" w:eastAsia="Times New Roman" w:hAnsiTheme="minorHAnsi" w:cstheme="minorHAnsi"/>
                <w:sz w:val="18"/>
                <w:szCs w:val="20"/>
                <w:lang w:eastAsia="en-IN"/>
              </w:rPr>
              <w:t>1,50,00,000</w:t>
            </w:r>
          </w:p>
        </w:tc>
        <w:tc>
          <w:tcPr>
            <w:tcW w:w="990" w:type="dxa"/>
            <w:shd w:val="clear" w:color="auto" w:fill="FBD5B5" w:themeFill="accent4"/>
            <w:noWrap/>
            <w:hideMark/>
          </w:tcPr>
          <w:p w14:paraId="5DC432FC" w14:textId="77777777" w:rsidR="00644DE5" w:rsidRPr="00395F7C" w:rsidRDefault="00644DE5" w:rsidP="00644DE5">
            <w:pPr>
              <w:spacing w:before="0" w:after="0"/>
              <w:jc w:val="center"/>
              <w:rPr>
                <w:rFonts w:asciiTheme="minorHAnsi" w:eastAsia="Times New Roman" w:hAnsiTheme="minorHAnsi" w:cstheme="minorHAnsi"/>
                <w:sz w:val="18"/>
                <w:szCs w:val="20"/>
                <w:lang w:eastAsia="en-IN"/>
              </w:rPr>
            </w:pPr>
            <w:r w:rsidRPr="00395F7C">
              <w:rPr>
                <w:rFonts w:asciiTheme="minorHAnsi" w:eastAsia="Times New Roman" w:hAnsiTheme="minorHAnsi" w:cstheme="minorHAnsi"/>
                <w:sz w:val="18"/>
                <w:szCs w:val="20"/>
                <w:lang w:eastAsia="en-IN"/>
              </w:rPr>
              <w:t>1,75,00,000</w:t>
            </w:r>
          </w:p>
        </w:tc>
        <w:tc>
          <w:tcPr>
            <w:tcW w:w="1019" w:type="dxa"/>
            <w:shd w:val="clear" w:color="auto" w:fill="FBD5B5" w:themeFill="accent4"/>
            <w:noWrap/>
            <w:hideMark/>
          </w:tcPr>
          <w:p w14:paraId="4AE4D7DF" w14:textId="6380092B" w:rsidR="00644DE5" w:rsidRPr="00395F7C" w:rsidRDefault="00644DE5" w:rsidP="00644DE5">
            <w:pPr>
              <w:spacing w:before="0" w:after="0"/>
              <w:jc w:val="center"/>
              <w:rPr>
                <w:rFonts w:asciiTheme="minorHAnsi" w:eastAsia="Times New Roman" w:hAnsiTheme="minorHAnsi" w:cstheme="minorHAnsi"/>
                <w:sz w:val="18"/>
                <w:szCs w:val="20"/>
                <w:lang w:eastAsia="en-IN"/>
              </w:rPr>
            </w:pPr>
            <w:r w:rsidRPr="00395F7C">
              <w:rPr>
                <w:rFonts w:asciiTheme="minorHAnsi" w:eastAsia="Times New Roman" w:hAnsiTheme="minorHAnsi" w:cstheme="minorHAnsi"/>
                <w:sz w:val="18"/>
                <w:szCs w:val="20"/>
                <w:lang w:eastAsia="en-IN"/>
              </w:rPr>
              <w:t>2,0</w:t>
            </w:r>
            <w:r w:rsidR="00B25F27">
              <w:rPr>
                <w:rFonts w:asciiTheme="minorHAnsi" w:eastAsia="Times New Roman" w:hAnsiTheme="minorHAnsi" w:cstheme="minorHAnsi"/>
                <w:sz w:val="18"/>
                <w:szCs w:val="20"/>
                <w:lang w:eastAsia="en-IN"/>
              </w:rPr>
              <w:t>0,</w:t>
            </w:r>
            <w:r w:rsidRPr="00395F7C">
              <w:rPr>
                <w:rFonts w:asciiTheme="minorHAnsi" w:eastAsia="Times New Roman" w:hAnsiTheme="minorHAnsi" w:cstheme="minorHAnsi"/>
                <w:sz w:val="18"/>
                <w:szCs w:val="20"/>
                <w:lang w:eastAsia="en-IN"/>
              </w:rPr>
              <w:t>00</w:t>
            </w:r>
            <w:r w:rsidR="00B25F27">
              <w:rPr>
                <w:rFonts w:asciiTheme="minorHAnsi" w:eastAsia="Times New Roman" w:hAnsiTheme="minorHAnsi" w:cstheme="minorHAnsi"/>
                <w:sz w:val="18"/>
                <w:szCs w:val="20"/>
                <w:lang w:eastAsia="en-IN"/>
              </w:rPr>
              <w:t>,</w:t>
            </w:r>
            <w:r w:rsidRPr="00395F7C">
              <w:rPr>
                <w:rFonts w:asciiTheme="minorHAnsi" w:eastAsia="Times New Roman" w:hAnsiTheme="minorHAnsi" w:cstheme="minorHAnsi"/>
                <w:sz w:val="18"/>
                <w:szCs w:val="20"/>
                <w:lang w:eastAsia="en-IN"/>
              </w:rPr>
              <w:t>00</w:t>
            </w:r>
            <w:r w:rsidR="00A62BDA" w:rsidRPr="00395F7C">
              <w:rPr>
                <w:rFonts w:asciiTheme="minorHAnsi" w:eastAsia="Times New Roman" w:hAnsiTheme="minorHAnsi" w:cstheme="minorHAnsi"/>
                <w:sz w:val="18"/>
                <w:szCs w:val="20"/>
                <w:lang w:eastAsia="en-IN"/>
              </w:rPr>
              <w:t>0</w:t>
            </w:r>
          </w:p>
        </w:tc>
        <w:tc>
          <w:tcPr>
            <w:tcW w:w="990" w:type="dxa"/>
            <w:shd w:val="clear" w:color="auto" w:fill="FBD5B5" w:themeFill="accent4"/>
            <w:noWrap/>
            <w:hideMark/>
          </w:tcPr>
          <w:p w14:paraId="483A562F" w14:textId="77777777" w:rsidR="00644DE5" w:rsidRPr="00644DE5" w:rsidRDefault="00644DE5" w:rsidP="00644DE5">
            <w:pPr>
              <w:spacing w:before="0" w:after="0"/>
              <w:jc w:val="center"/>
              <w:rPr>
                <w:rFonts w:asciiTheme="minorHAnsi" w:eastAsia="Times New Roman" w:hAnsiTheme="minorHAnsi" w:cstheme="minorHAnsi"/>
                <w:sz w:val="18"/>
                <w:szCs w:val="20"/>
                <w:lang w:eastAsia="en-IN"/>
              </w:rPr>
            </w:pPr>
            <w:r w:rsidRPr="00644DE5">
              <w:rPr>
                <w:rFonts w:asciiTheme="minorHAnsi" w:eastAsia="Times New Roman" w:hAnsiTheme="minorHAnsi" w:cstheme="minorHAnsi"/>
                <w:sz w:val="18"/>
                <w:szCs w:val="20"/>
                <w:lang w:eastAsia="en-IN"/>
              </w:rPr>
              <w:t>2,50,00,000</w:t>
            </w:r>
          </w:p>
        </w:tc>
        <w:tc>
          <w:tcPr>
            <w:tcW w:w="954" w:type="dxa"/>
            <w:shd w:val="clear" w:color="auto" w:fill="FBD5B5" w:themeFill="accent4"/>
            <w:noWrap/>
            <w:hideMark/>
          </w:tcPr>
          <w:p w14:paraId="0109308E" w14:textId="77777777" w:rsidR="00644DE5" w:rsidRPr="00644DE5" w:rsidRDefault="00644DE5" w:rsidP="00644DE5">
            <w:pPr>
              <w:spacing w:before="0" w:after="0"/>
              <w:jc w:val="center"/>
              <w:rPr>
                <w:rFonts w:asciiTheme="minorHAnsi" w:eastAsia="Times New Roman" w:hAnsiTheme="minorHAnsi" w:cstheme="minorHAnsi"/>
                <w:sz w:val="18"/>
                <w:szCs w:val="20"/>
                <w:lang w:eastAsia="en-IN"/>
              </w:rPr>
            </w:pPr>
            <w:r w:rsidRPr="00644DE5">
              <w:rPr>
                <w:rFonts w:asciiTheme="minorHAnsi" w:eastAsia="Times New Roman" w:hAnsiTheme="minorHAnsi" w:cstheme="minorHAnsi"/>
                <w:sz w:val="18"/>
                <w:szCs w:val="20"/>
                <w:lang w:eastAsia="en-IN"/>
              </w:rPr>
              <w:t>3,00,00,000</w:t>
            </w:r>
          </w:p>
        </w:tc>
      </w:tr>
      <w:tr w:rsidR="00644DE5" w:rsidRPr="00644DE5" w14:paraId="58F443FB" w14:textId="77777777" w:rsidTr="00B25F27">
        <w:trPr>
          <w:trHeight w:val="242"/>
        </w:trPr>
        <w:tc>
          <w:tcPr>
            <w:tcW w:w="313" w:type="dxa"/>
            <w:shd w:val="clear" w:color="auto" w:fill="D4EDB9"/>
            <w:noWrap/>
          </w:tcPr>
          <w:p w14:paraId="696D00B3"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D4EDB9"/>
            <w:noWrap/>
          </w:tcPr>
          <w:p w14:paraId="15C0CA8A"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presumptive TB cases tested with molecular technology</w:t>
            </w:r>
          </w:p>
        </w:tc>
        <w:tc>
          <w:tcPr>
            <w:tcW w:w="936" w:type="dxa"/>
            <w:shd w:val="clear" w:color="auto" w:fill="D4EDB9"/>
            <w:noWrap/>
          </w:tcPr>
          <w:p w14:paraId="2026DF1C" w14:textId="6D9F4EEB"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1</w:t>
            </w:r>
            <w:r w:rsidR="00702317">
              <w:rPr>
                <w:rFonts w:asciiTheme="minorHAnsi" w:eastAsia="Times New Roman" w:hAnsiTheme="minorHAnsi" w:cstheme="minorHAnsi"/>
                <w:szCs w:val="20"/>
                <w:lang w:eastAsia="en-IN"/>
              </w:rPr>
              <w:t>6</w:t>
            </w:r>
            <w:r w:rsidRPr="00644DE5">
              <w:rPr>
                <w:rFonts w:asciiTheme="minorHAnsi" w:eastAsia="Times New Roman" w:hAnsiTheme="minorHAnsi" w:cstheme="minorHAnsi"/>
                <w:szCs w:val="20"/>
                <w:lang w:eastAsia="en-IN"/>
              </w:rPr>
              <w:t>%</w:t>
            </w:r>
          </w:p>
        </w:tc>
        <w:tc>
          <w:tcPr>
            <w:tcW w:w="990" w:type="dxa"/>
            <w:shd w:val="clear" w:color="auto" w:fill="D4EDB9"/>
            <w:noWrap/>
          </w:tcPr>
          <w:p w14:paraId="0E49F9E2"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18%</w:t>
            </w:r>
          </w:p>
        </w:tc>
        <w:tc>
          <w:tcPr>
            <w:tcW w:w="990" w:type="dxa"/>
            <w:shd w:val="clear" w:color="auto" w:fill="D4EDB9"/>
            <w:noWrap/>
          </w:tcPr>
          <w:p w14:paraId="47041C3B" w14:textId="3D24197C"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2</w:t>
            </w:r>
            <w:r w:rsidR="00B25F27">
              <w:rPr>
                <w:rFonts w:asciiTheme="minorHAnsi" w:eastAsia="Times New Roman" w:hAnsiTheme="minorHAnsi" w:cstheme="minorHAnsi"/>
                <w:szCs w:val="20"/>
                <w:lang w:eastAsia="en-IN"/>
              </w:rPr>
              <w:t>0</w:t>
            </w:r>
            <w:r w:rsidRPr="00644DE5">
              <w:rPr>
                <w:rFonts w:asciiTheme="minorHAnsi" w:eastAsia="Times New Roman" w:hAnsiTheme="minorHAnsi" w:cstheme="minorHAnsi"/>
                <w:szCs w:val="20"/>
                <w:lang w:eastAsia="en-IN"/>
              </w:rPr>
              <w:t>%</w:t>
            </w:r>
          </w:p>
        </w:tc>
        <w:tc>
          <w:tcPr>
            <w:tcW w:w="990" w:type="dxa"/>
            <w:shd w:val="clear" w:color="auto" w:fill="D4EDB9"/>
            <w:noWrap/>
          </w:tcPr>
          <w:p w14:paraId="03BBE811" w14:textId="6E97EEB0"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2</w:t>
            </w:r>
            <w:r w:rsidR="00B25F27">
              <w:rPr>
                <w:rFonts w:asciiTheme="minorHAnsi" w:eastAsia="Times New Roman" w:hAnsiTheme="minorHAnsi" w:cstheme="minorHAnsi"/>
                <w:szCs w:val="20"/>
                <w:lang w:eastAsia="en-IN"/>
              </w:rPr>
              <w:t>3</w:t>
            </w:r>
            <w:r w:rsidRPr="00644DE5">
              <w:rPr>
                <w:rFonts w:asciiTheme="minorHAnsi" w:eastAsia="Times New Roman" w:hAnsiTheme="minorHAnsi" w:cstheme="minorHAnsi"/>
                <w:szCs w:val="20"/>
                <w:lang w:eastAsia="en-IN"/>
              </w:rPr>
              <w:t>%</w:t>
            </w:r>
          </w:p>
        </w:tc>
        <w:tc>
          <w:tcPr>
            <w:tcW w:w="1019" w:type="dxa"/>
            <w:shd w:val="clear" w:color="auto" w:fill="D4EDB9"/>
            <w:noWrap/>
          </w:tcPr>
          <w:p w14:paraId="5AC2857A"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25%</w:t>
            </w:r>
          </w:p>
        </w:tc>
        <w:tc>
          <w:tcPr>
            <w:tcW w:w="990" w:type="dxa"/>
            <w:shd w:val="clear" w:color="auto" w:fill="D4EDB9"/>
            <w:noWrap/>
          </w:tcPr>
          <w:p w14:paraId="73878716"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30%</w:t>
            </w:r>
          </w:p>
        </w:tc>
        <w:tc>
          <w:tcPr>
            <w:tcW w:w="954" w:type="dxa"/>
            <w:shd w:val="clear" w:color="auto" w:fill="D4EDB9"/>
            <w:noWrap/>
          </w:tcPr>
          <w:p w14:paraId="31565B2B"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30%</w:t>
            </w:r>
          </w:p>
        </w:tc>
      </w:tr>
      <w:tr w:rsidR="00644DE5" w:rsidRPr="00644DE5" w14:paraId="6A9E1964" w14:textId="77777777" w:rsidTr="00B25F27">
        <w:trPr>
          <w:trHeight w:val="70"/>
        </w:trPr>
        <w:tc>
          <w:tcPr>
            <w:tcW w:w="313" w:type="dxa"/>
            <w:shd w:val="clear" w:color="auto" w:fill="D4EDB9"/>
            <w:noWrap/>
          </w:tcPr>
          <w:p w14:paraId="2DE0D957"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D4EDB9"/>
            <w:noWrap/>
            <w:hideMark/>
          </w:tcPr>
          <w:p w14:paraId="25FE9A53"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Total TB patients notified</w:t>
            </w:r>
          </w:p>
        </w:tc>
        <w:tc>
          <w:tcPr>
            <w:tcW w:w="936" w:type="dxa"/>
            <w:shd w:val="clear" w:color="auto" w:fill="D4EDB9"/>
            <w:noWrap/>
            <w:hideMark/>
          </w:tcPr>
          <w:p w14:paraId="33733313" w14:textId="2017AE30"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24,0</w:t>
            </w:r>
            <w:r w:rsidR="008D6A1B">
              <w:rPr>
                <w:rFonts w:asciiTheme="minorHAnsi" w:eastAsia="Times New Roman" w:hAnsiTheme="minorHAnsi" w:cstheme="minorHAnsi"/>
                <w:szCs w:val="20"/>
                <w:lang w:eastAsia="en-IN"/>
              </w:rPr>
              <w:t>4,815</w:t>
            </w:r>
          </w:p>
        </w:tc>
        <w:tc>
          <w:tcPr>
            <w:tcW w:w="990" w:type="dxa"/>
            <w:shd w:val="clear" w:color="auto" w:fill="D4EDB9"/>
            <w:noWrap/>
            <w:hideMark/>
          </w:tcPr>
          <w:p w14:paraId="657B4055"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15,00,000</w:t>
            </w:r>
          </w:p>
        </w:tc>
        <w:tc>
          <w:tcPr>
            <w:tcW w:w="990" w:type="dxa"/>
            <w:shd w:val="clear" w:color="auto" w:fill="D4EDB9"/>
            <w:noWrap/>
            <w:hideMark/>
          </w:tcPr>
          <w:p w14:paraId="445FF451" w14:textId="47903E08"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2</w:t>
            </w:r>
            <w:r w:rsidR="009218A5">
              <w:rPr>
                <w:rFonts w:asciiTheme="minorHAnsi" w:eastAsia="Times New Roman" w:hAnsiTheme="minorHAnsi" w:cstheme="minorHAnsi"/>
                <w:szCs w:val="20"/>
                <w:lang w:eastAsia="en-IN"/>
              </w:rPr>
              <w:t>4</w:t>
            </w:r>
            <w:r w:rsidRPr="00644DE5">
              <w:rPr>
                <w:rFonts w:asciiTheme="minorHAnsi" w:eastAsia="Times New Roman" w:hAnsiTheme="minorHAnsi" w:cstheme="minorHAnsi"/>
                <w:szCs w:val="20"/>
                <w:lang w:eastAsia="en-IN"/>
              </w:rPr>
              <w:t>,00,000</w:t>
            </w:r>
          </w:p>
        </w:tc>
        <w:tc>
          <w:tcPr>
            <w:tcW w:w="990" w:type="dxa"/>
            <w:shd w:val="clear" w:color="auto" w:fill="D4EDB9"/>
            <w:noWrap/>
            <w:hideMark/>
          </w:tcPr>
          <w:p w14:paraId="302C8F6F"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26,00,000</w:t>
            </w:r>
          </w:p>
        </w:tc>
        <w:tc>
          <w:tcPr>
            <w:tcW w:w="1019" w:type="dxa"/>
            <w:shd w:val="clear" w:color="auto" w:fill="D4EDB9"/>
            <w:noWrap/>
            <w:hideMark/>
          </w:tcPr>
          <w:p w14:paraId="38875E28"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25,00,000</w:t>
            </w:r>
          </w:p>
        </w:tc>
        <w:tc>
          <w:tcPr>
            <w:tcW w:w="990" w:type="dxa"/>
            <w:shd w:val="clear" w:color="auto" w:fill="D4EDB9"/>
            <w:noWrap/>
            <w:hideMark/>
          </w:tcPr>
          <w:p w14:paraId="3C33ED4A"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25,00,000</w:t>
            </w:r>
          </w:p>
        </w:tc>
        <w:tc>
          <w:tcPr>
            <w:tcW w:w="954" w:type="dxa"/>
            <w:shd w:val="clear" w:color="auto" w:fill="D4EDB9"/>
            <w:noWrap/>
            <w:hideMark/>
          </w:tcPr>
          <w:p w14:paraId="2F22F1AC" w14:textId="77777777" w:rsidR="00644DE5" w:rsidRPr="00644DE5" w:rsidRDefault="00644DE5" w:rsidP="00644DE5">
            <w:pPr>
              <w:spacing w:before="0" w:after="0"/>
              <w:jc w:val="center"/>
              <w:rPr>
                <w:rFonts w:asciiTheme="minorHAnsi" w:eastAsia="Times New Roman" w:hAnsiTheme="minorHAnsi" w:cstheme="minorHAnsi"/>
                <w:szCs w:val="20"/>
                <w:lang w:eastAsia="en-IN"/>
              </w:rPr>
            </w:pPr>
            <w:r w:rsidRPr="00644DE5">
              <w:rPr>
                <w:rFonts w:asciiTheme="minorHAnsi" w:eastAsia="Times New Roman" w:hAnsiTheme="minorHAnsi" w:cstheme="minorHAnsi"/>
                <w:szCs w:val="20"/>
                <w:lang w:eastAsia="en-IN"/>
              </w:rPr>
              <w:t>25,00,000</w:t>
            </w:r>
          </w:p>
        </w:tc>
      </w:tr>
      <w:tr w:rsidR="00644DE5" w:rsidRPr="00644DE5" w14:paraId="3F772F3F" w14:textId="77777777" w:rsidTr="00B25F27">
        <w:trPr>
          <w:trHeight w:val="70"/>
        </w:trPr>
        <w:tc>
          <w:tcPr>
            <w:tcW w:w="313" w:type="dxa"/>
            <w:shd w:val="clear" w:color="auto" w:fill="D4EDB9"/>
            <w:noWrap/>
          </w:tcPr>
          <w:p w14:paraId="4E40FD39"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D4EDB9"/>
            <w:noWrap/>
            <w:hideMark/>
          </w:tcPr>
          <w:p w14:paraId="2E3F6320"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Public sector (notification)</w:t>
            </w:r>
          </w:p>
        </w:tc>
        <w:tc>
          <w:tcPr>
            <w:tcW w:w="936" w:type="dxa"/>
            <w:shd w:val="clear" w:color="auto" w:fill="D4EDB9"/>
            <w:noWrap/>
            <w:hideMark/>
          </w:tcPr>
          <w:p w14:paraId="50CAA049"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17,31,680</w:t>
            </w:r>
          </w:p>
        </w:tc>
        <w:tc>
          <w:tcPr>
            <w:tcW w:w="990" w:type="dxa"/>
            <w:shd w:val="clear" w:color="auto" w:fill="D4EDB9"/>
            <w:noWrap/>
            <w:hideMark/>
          </w:tcPr>
          <w:p w14:paraId="0873EC4F"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10,80,000</w:t>
            </w:r>
          </w:p>
        </w:tc>
        <w:tc>
          <w:tcPr>
            <w:tcW w:w="990" w:type="dxa"/>
            <w:shd w:val="clear" w:color="auto" w:fill="D4EDB9"/>
            <w:noWrap/>
            <w:hideMark/>
          </w:tcPr>
          <w:p w14:paraId="623D59B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16,25,000</w:t>
            </w:r>
          </w:p>
        </w:tc>
        <w:tc>
          <w:tcPr>
            <w:tcW w:w="990" w:type="dxa"/>
            <w:shd w:val="clear" w:color="auto" w:fill="D4EDB9"/>
            <w:noWrap/>
            <w:hideMark/>
          </w:tcPr>
          <w:p w14:paraId="66A83C4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15,50,000</w:t>
            </w:r>
          </w:p>
        </w:tc>
        <w:tc>
          <w:tcPr>
            <w:tcW w:w="1019" w:type="dxa"/>
            <w:shd w:val="clear" w:color="auto" w:fill="D4EDB9"/>
            <w:noWrap/>
            <w:hideMark/>
          </w:tcPr>
          <w:p w14:paraId="5F1CD4A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lang w:eastAsia="en-IN"/>
              </w:rPr>
              <w:t>14,50,000</w:t>
            </w:r>
          </w:p>
        </w:tc>
        <w:tc>
          <w:tcPr>
            <w:tcW w:w="990" w:type="dxa"/>
            <w:shd w:val="clear" w:color="auto" w:fill="D4EDB9"/>
            <w:noWrap/>
            <w:hideMark/>
          </w:tcPr>
          <w:p w14:paraId="7017876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14,50,000</w:t>
            </w:r>
          </w:p>
        </w:tc>
        <w:tc>
          <w:tcPr>
            <w:tcW w:w="954" w:type="dxa"/>
            <w:shd w:val="clear" w:color="auto" w:fill="D4EDB9"/>
            <w:noWrap/>
            <w:hideMark/>
          </w:tcPr>
          <w:p w14:paraId="51B247BE"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14,50,000</w:t>
            </w:r>
          </w:p>
        </w:tc>
      </w:tr>
      <w:tr w:rsidR="00644DE5" w:rsidRPr="00644DE5" w14:paraId="3297FAE8" w14:textId="77777777" w:rsidTr="00B25F27">
        <w:trPr>
          <w:trHeight w:val="70"/>
        </w:trPr>
        <w:tc>
          <w:tcPr>
            <w:tcW w:w="313" w:type="dxa"/>
            <w:shd w:val="clear" w:color="auto" w:fill="D4EDB9"/>
            <w:noWrap/>
          </w:tcPr>
          <w:p w14:paraId="5A5C5AF4"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D4EDB9"/>
            <w:noWrap/>
            <w:hideMark/>
          </w:tcPr>
          <w:p w14:paraId="241A1F07"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Private sector (notifications)</w:t>
            </w:r>
          </w:p>
        </w:tc>
        <w:tc>
          <w:tcPr>
            <w:tcW w:w="936" w:type="dxa"/>
            <w:shd w:val="clear" w:color="auto" w:fill="D4EDB9"/>
            <w:noWrap/>
            <w:hideMark/>
          </w:tcPr>
          <w:p w14:paraId="192527F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6,73,431</w:t>
            </w:r>
          </w:p>
        </w:tc>
        <w:tc>
          <w:tcPr>
            <w:tcW w:w="990" w:type="dxa"/>
            <w:shd w:val="clear" w:color="auto" w:fill="D4EDB9"/>
            <w:noWrap/>
            <w:hideMark/>
          </w:tcPr>
          <w:p w14:paraId="417AC8B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4,20,000</w:t>
            </w:r>
          </w:p>
        </w:tc>
        <w:tc>
          <w:tcPr>
            <w:tcW w:w="990" w:type="dxa"/>
            <w:shd w:val="clear" w:color="auto" w:fill="D4EDB9"/>
            <w:noWrap/>
            <w:hideMark/>
          </w:tcPr>
          <w:p w14:paraId="1E7388E6" w14:textId="726379F7" w:rsidR="00644DE5" w:rsidRPr="00644DE5" w:rsidRDefault="009218A5" w:rsidP="00644DE5">
            <w:pPr>
              <w:spacing w:before="0" w:after="0"/>
              <w:jc w:val="center"/>
              <w:rPr>
                <w:rFonts w:asciiTheme="minorHAnsi" w:eastAsia="Times New Roman" w:hAnsiTheme="minorHAnsi" w:cstheme="minorHAnsi"/>
                <w:sz w:val="22"/>
                <w:lang w:eastAsia="en-IN"/>
              </w:rPr>
            </w:pPr>
            <w:r>
              <w:rPr>
                <w:rFonts w:asciiTheme="minorHAnsi" w:eastAsia="Times New Roman" w:hAnsiTheme="minorHAnsi" w:cstheme="minorHAnsi"/>
                <w:sz w:val="22"/>
                <w:lang w:eastAsia="en-IN"/>
              </w:rPr>
              <w:t>7</w:t>
            </w:r>
            <w:r w:rsidR="00644DE5" w:rsidRPr="00644DE5">
              <w:rPr>
                <w:rFonts w:asciiTheme="minorHAnsi" w:eastAsia="Times New Roman" w:hAnsiTheme="minorHAnsi" w:cstheme="minorHAnsi"/>
                <w:sz w:val="22"/>
                <w:lang w:eastAsia="en-IN"/>
              </w:rPr>
              <w:t>,75,000</w:t>
            </w:r>
          </w:p>
        </w:tc>
        <w:tc>
          <w:tcPr>
            <w:tcW w:w="990" w:type="dxa"/>
            <w:shd w:val="clear" w:color="auto" w:fill="D4EDB9"/>
            <w:noWrap/>
            <w:hideMark/>
          </w:tcPr>
          <w:p w14:paraId="5157A6A9"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10,50,000</w:t>
            </w:r>
          </w:p>
        </w:tc>
        <w:tc>
          <w:tcPr>
            <w:tcW w:w="1019" w:type="dxa"/>
            <w:shd w:val="clear" w:color="auto" w:fill="D4EDB9"/>
            <w:noWrap/>
            <w:hideMark/>
          </w:tcPr>
          <w:p w14:paraId="2AA189B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lang w:eastAsia="en-IN"/>
              </w:rPr>
              <w:t>10,50,000</w:t>
            </w:r>
          </w:p>
        </w:tc>
        <w:tc>
          <w:tcPr>
            <w:tcW w:w="990" w:type="dxa"/>
            <w:shd w:val="clear" w:color="auto" w:fill="D4EDB9"/>
            <w:noWrap/>
            <w:hideMark/>
          </w:tcPr>
          <w:p w14:paraId="122C458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10,50,000</w:t>
            </w:r>
          </w:p>
        </w:tc>
        <w:tc>
          <w:tcPr>
            <w:tcW w:w="954" w:type="dxa"/>
            <w:shd w:val="clear" w:color="auto" w:fill="D4EDB9"/>
            <w:noWrap/>
            <w:hideMark/>
          </w:tcPr>
          <w:p w14:paraId="47736FE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10,50,000</w:t>
            </w:r>
          </w:p>
        </w:tc>
      </w:tr>
      <w:tr w:rsidR="00644DE5" w:rsidRPr="00644DE5" w14:paraId="7745A29E" w14:textId="77777777" w:rsidTr="00B25F27">
        <w:trPr>
          <w:trHeight w:val="368"/>
        </w:trPr>
        <w:tc>
          <w:tcPr>
            <w:tcW w:w="313" w:type="dxa"/>
            <w:shd w:val="clear" w:color="auto" w:fill="D4EDB9"/>
            <w:noWrap/>
          </w:tcPr>
          <w:p w14:paraId="0B816CE7"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D4EDB9"/>
            <w:hideMark/>
          </w:tcPr>
          <w:p w14:paraId="7F3B8C7E"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microbiologically confirmed TB patients in private sector</w:t>
            </w:r>
          </w:p>
        </w:tc>
        <w:tc>
          <w:tcPr>
            <w:tcW w:w="936" w:type="dxa"/>
            <w:shd w:val="clear" w:color="auto" w:fill="D4EDB9"/>
            <w:noWrap/>
            <w:hideMark/>
          </w:tcPr>
          <w:p w14:paraId="2A89AEE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20%</w:t>
            </w:r>
          </w:p>
        </w:tc>
        <w:tc>
          <w:tcPr>
            <w:tcW w:w="990" w:type="dxa"/>
            <w:shd w:val="clear" w:color="auto" w:fill="D4EDB9"/>
            <w:noWrap/>
            <w:hideMark/>
          </w:tcPr>
          <w:p w14:paraId="7F082BA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25%</w:t>
            </w:r>
          </w:p>
        </w:tc>
        <w:tc>
          <w:tcPr>
            <w:tcW w:w="990" w:type="dxa"/>
            <w:shd w:val="clear" w:color="auto" w:fill="D4EDB9"/>
            <w:noWrap/>
            <w:hideMark/>
          </w:tcPr>
          <w:p w14:paraId="777EE3E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28%</w:t>
            </w:r>
          </w:p>
        </w:tc>
        <w:tc>
          <w:tcPr>
            <w:tcW w:w="990" w:type="dxa"/>
            <w:shd w:val="clear" w:color="auto" w:fill="D4EDB9"/>
            <w:noWrap/>
            <w:hideMark/>
          </w:tcPr>
          <w:p w14:paraId="59F91CA8"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30%</w:t>
            </w:r>
          </w:p>
        </w:tc>
        <w:tc>
          <w:tcPr>
            <w:tcW w:w="1019" w:type="dxa"/>
            <w:shd w:val="clear" w:color="auto" w:fill="D4EDB9"/>
            <w:noWrap/>
            <w:hideMark/>
          </w:tcPr>
          <w:p w14:paraId="44CD44D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35%</w:t>
            </w:r>
          </w:p>
        </w:tc>
        <w:tc>
          <w:tcPr>
            <w:tcW w:w="990" w:type="dxa"/>
            <w:shd w:val="clear" w:color="auto" w:fill="D4EDB9"/>
            <w:noWrap/>
            <w:hideMark/>
          </w:tcPr>
          <w:p w14:paraId="11D747A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38%</w:t>
            </w:r>
          </w:p>
        </w:tc>
        <w:tc>
          <w:tcPr>
            <w:tcW w:w="954" w:type="dxa"/>
            <w:shd w:val="clear" w:color="auto" w:fill="D4EDB9"/>
            <w:noWrap/>
            <w:hideMark/>
          </w:tcPr>
          <w:p w14:paraId="0AE466B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40%</w:t>
            </w:r>
          </w:p>
        </w:tc>
      </w:tr>
      <w:tr w:rsidR="00644DE5" w:rsidRPr="00644DE5" w14:paraId="62C406B0" w14:textId="77777777" w:rsidTr="00B25F27">
        <w:trPr>
          <w:trHeight w:val="70"/>
        </w:trPr>
        <w:tc>
          <w:tcPr>
            <w:tcW w:w="313" w:type="dxa"/>
            <w:shd w:val="clear" w:color="auto" w:fill="D4EDB9"/>
            <w:noWrap/>
          </w:tcPr>
          <w:p w14:paraId="457C7851"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D4EDB9"/>
            <w:noWrap/>
            <w:hideMark/>
          </w:tcPr>
          <w:p w14:paraId="53208B13" w14:textId="77777777" w:rsidR="00644DE5" w:rsidRPr="00644DE5" w:rsidRDefault="00644DE5" w:rsidP="00644DE5">
            <w:pPr>
              <w:spacing w:before="0" w:after="0"/>
              <w:rPr>
                <w:rFonts w:asciiTheme="minorHAnsi" w:eastAsia="Times New Roman" w:hAnsiTheme="minorHAnsi" w:cstheme="minorHAnsi"/>
                <w:sz w:val="22"/>
                <w:szCs w:val="20"/>
                <w:highlight w:val="yellow"/>
                <w:lang w:eastAsia="en-IN"/>
              </w:rPr>
            </w:pPr>
            <w:r w:rsidRPr="00644DE5">
              <w:rPr>
                <w:rFonts w:asciiTheme="minorHAnsi" w:eastAsia="Times New Roman" w:hAnsiTheme="minorHAnsi" w:cstheme="minorHAnsi"/>
                <w:sz w:val="22"/>
                <w:szCs w:val="20"/>
                <w:lang w:eastAsia="en-IN"/>
              </w:rPr>
              <w:t>Proportion of notified TB cases with known HIV status (Including private sector)</w:t>
            </w:r>
          </w:p>
        </w:tc>
        <w:tc>
          <w:tcPr>
            <w:tcW w:w="936" w:type="dxa"/>
            <w:shd w:val="clear" w:color="auto" w:fill="D4EDB9"/>
            <w:noWrap/>
            <w:hideMark/>
          </w:tcPr>
          <w:p w14:paraId="228434F7"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81%</w:t>
            </w:r>
          </w:p>
        </w:tc>
        <w:tc>
          <w:tcPr>
            <w:tcW w:w="990" w:type="dxa"/>
            <w:shd w:val="clear" w:color="auto" w:fill="D4EDB9"/>
            <w:noWrap/>
            <w:hideMark/>
          </w:tcPr>
          <w:p w14:paraId="44F0B22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86%</w:t>
            </w:r>
          </w:p>
        </w:tc>
        <w:tc>
          <w:tcPr>
            <w:tcW w:w="990" w:type="dxa"/>
            <w:shd w:val="clear" w:color="auto" w:fill="D4EDB9"/>
            <w:noWrap/>
            <w:hideMark/>
          </w:tcPr>
          <w:p w14:paraId="60EEAA5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88%</w:t>
            </w:r>
          </w:p>
        </w:tc>
        <w:tc>
          <w:tcPr>
            <w:tcW w:w="990" w:type="dxa"/>
            <w:shd w:val="clear" w:color="auto" w:fill="D4EDB9"/>
            <w:noWrap/>
            <w:hideMark/>
          </w:tcPr>
          <w:p w14:paraId="3F0A1D08"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c>
          <w:tcPr>
            <w:tcW w:w="1019" w:type="dxa"/>
            <w:shd w:val="clear" w:color="auto" w:fill="D4EDB9"/>
            <w:noWrap/>
            <w:hideMark/>
          </w:tcPr>
          <w:p w14:paraId="020889B0"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990" w:type="dxa"/>
            <w:shd w:val="clear" w:color="auto" w:fill="D4EDB9"/>
            <w:noWrap/>
            <w:hideMark/>
          </w:tcPr>
          <w:p w14:paraId="1C96C6E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&gt;95%</w:t>
            </w:r>
          </w:p>
        </w:tc>
        <w:tc>
          <w:tcPr>
            <w:tcW w:w="954" w:type="dxa"/>
            <w:shd w:val="clear" w:color="auto" w:fill="D4EDB9"/>
            <w:noWrap/>
            <w:hideMark/>
          </w:tcPr>
          <w:p w14:paraId="5F588A7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&gt;95%</w:t>
            </w:r>
          </w:p>
        </w:tc>
      </w:tr>
      <w:tr w:rsidR="00644DE5" w:rsidRPr="00644DE5" w14:paraId="19BF0BB5" w14:textId="77777777" w:rsidTr="00B25F27">
        <w:trPr>
          <w:trHeight w:val="70"/>
        </w:trPr>
        <w:tc>
          <w:tcPr>
            <w:tcW w:w="313" w:type="dxa"/>
            <w:shd w:val="clear" w:color="auto" w:fill="D4EDB9"/>
            <w:noWrap/>
          </w:tcPr>
          <w:p w14:paraId="15416E86"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D4EDB9"/>
            <w:noWrap/>
            <w:hideMark/>
          </w:tcPr>
          <w:p w14:paraId="0A39C354"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Number of priority population screened for TB through ACF annually (in Cr)</w:t>
            </w:r>
          </w:p>
        </w:tc>
        <w:tc>
          <w:tcPr>
            <w:tcW w:w="936" w:type="dxa"/>
            <w:shd w:val="clear" w:color="auto" w:fill="D4EDB9"/>
            <w:noWrap/>
            <w:hideMark/>
          </w:tcPr>
          <w:p w14:paraId="65072D47"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19</w:t>
            </w:r>
          </w:p>
        </w:tc>
        <w:tc>
          <w:tcPr>
            <w:tcW w:w="990" w:type="dxa"/>
            <w:shd w:val="clear" w:color="auto" w:fill="D4EDB9"/>
            <w:noWrap/>
            <w:hideMark/>
          </w:tcPr>
          <w:p w14:paraId="5F60ECBC"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15</w:t>
            </w:r>
          </w:p>
        </w:tc>
        <w:tc>
          <w:tcPr>
            <w:tcW w:w="990" w:type="dxa"/>
            <w:shd w:val="clear" w:color="auto" w:fill="D4EDB9"/>
            <w:noWrap/>
            <w:hideMark/>
          </w:tcPr>
          <w:p w14:paraId="2466D060"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22</w:t>
            </w:r>
          </w:p>
        </w:tc>
        <w:tc>
          <w:tcPr>
            <w:tcW w:w="990" w:type="dxa"/>
            <w:shd w:val="clear" w:color="auto" w:fill="D4EDB9"/>
            <w:noWrap/>
            <w:hideMark/>
          </w:tcPr>
          <w:p w14:paraId="1754B1D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25</w:t>
            </w:r>
          </w:p>
        </w:tc>
        <w:tc>
          <w:tcPr>
            <w:tcW w:w="1019" w:type="dxa"/>
            <w:shd w:val="clear" w:color="auto" w:fill="D4EDB9"/>
            <w:noWrap/>
            <w:hideMark/>
          </w:tcPr>
          <w:p w14:paraId="27366895"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28</w:t>
            </w:r>
          </w:p>
        </w:tc>
        <w:tc>
          <w:tcPr>
            <w:tcW w:w="990" w:type="dxa"/>
            <w:shd w:val="clear" w:color="auto" w:fill="D4EDB9"/>
            <w:noWrap/>
            <w:hideMark/>
          </w:tcPr>
          <w:p w14:paraId="6D56E4CF"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30</w:t>
            </w:r>
          </w:p>
        </w:tc>
        <w:tc>
          <w:tcPr>
            <w:tcW w:w="954" w:type="dxa"/>
            <w:shd w:val="clear" w:color="auto" w:fill="D4EDB9"/>
            <w:noWrap/>
            <w:hideMark/>
          </w:tcPr>
          <w:p w14:paraId="3994BA6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35</w:t>
            </w:r>
          </w:p>
        </w:tc>
      </w:tr>
      <w:tr w:rsidR="00644DE5" w:rsidRPr="00644DE5" w14:paraId="40571C19" w14:textId="77777777" w:rsidTr="00B25F27">
        <w:trPr>
          <w:trHeight w:val="70"/>
        </w:trPr>
        <w:tc>
          <w:tcPr>
            <w:tcW w:w="313" w:type="dxa"/>
            <w:shd w:val="clear" w:color="auto" w:fill="D4EDB9"/>
            <w:noWrap/>
          </w:tcPr>
          <w:p w14:paraId="5130EAE1"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D4EDB9"/>
            <w:noWrap/>
            <w:hideMark/>
          </w:tcPr>
          <w:p w14:paraId="5CAFA88E"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notified TB patients offered DST</w:t>
            </w:r>
          </w:p>
        </w:tc>
        <w:tc>
          <w:tcPr>
            <w:tcW w:w="936" w:type="dxa"/>
            <w:shd w:val="clear" w:color="auto" w:fill="D4EDB9"/>
            <w:hideMark/>
          </w:tcPr>
          <w:p w14:paraId="59E2423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59%</w:t>
            </w:r>
          </w:p>
        </w:tc>
        <w:tc>
          <w:tcPr>
            <w:tcW w:w="990" w:type="dxa"/>
            <w:shd w:val="clear" w:color="auto" w:fill="D4EDB9"/>
            <w:hideMark/>
          </w:tcPr>
          <w:p w14:paraId="5813817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60%</w:t>
            </w:r>
          </w:p>
        </w:tc>
        <w:tc>
          <w:tcPr>
            <w:tcW w:w="990" w:type="dxa"/>
            <w:shd w:val="clear" w:color="auto" w:fill="D4EDB9"/>
            <w:hideMark/>
          </w:tcPr>
          <w:p w14:paraId="7F5A764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65%</w:t>
            </w:r>
          </w:p>
        </w:tc>
        <w:tc>
          <w:tcPr>
            <w:tcW w:w="990" w:type="dxa"/>
            <w:shd w:val="clear" w:color="auto" w:fill="D4EDB9"/>
            <w:hideMark/>
          </w:tcPr>
          <w:p w14:paraId="4C77E5D8"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65%</w:t>
            </w:r>
          </w:p>
        </w:tc>
        <w:tc>
          <w:tcPr>
            <w:tcW w:w="1019" w:type="dxa"/>
            <w:shd w:val="clear" w:color="auto" w:fill="D4EDB9"/>
            <w:hideMark/>
          </w:tcPr>
          <w:p w14:paraId="2EB972E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65%</w:t>
            </w:r>
          </w:p>
        </w:tc>
        <w:tc>
          <w:tcPr>
            <w:tcW w:w="990" w:type="dxa"/>
            <w:shd w:val="clear" w:color="auto" w:fill="D4EDB9"/>
            <w:hideMark/>
          </w:tcPr>
          <w:p w14:paraId="1B79BCD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70%</w:t>
            </w:r>
          </w:p>
        </w:tc>
        <w:tc>
          <w:tcPr>
            <w:tcW w:w="954" w:type="dxa"/>
            <w:shd w:val="clear" w:color="auto" w:fill="D4EDB9"/>
            <w:hideMark/>
          </w:tcPr>
          <w:p w14:paraId="284D80E8"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70%</w:t>
            </w:r>
          </w:p>
        </w:tc>
      </w:tr>
      <w:tr w:rsidR="009218A5" w:rsidRPr="00644DE5" w14:paraId="5AF3AF62" w14:textId="77777777" w:rsidTr="00B25F27">
        <w:trPr>
          <w:trHeight w:val="70"/>
        </w:trPr>
        <w:tc>
          <w:tcPr>
            <w:tcW w:w="313" w:type="dxa"/>
            <w:shd w:val="clear" w:color="auto" w:fill="D4EDB9"/>
            <w:noWrap/>
          </w:tcPr>
          <w:p w14:paraId="68DDC06C" w14:textId="77777777" w:rsidR="009218A5" w:rsidRPr="00644DE5" w:rsidRDefault="009218A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D4EDB9"/>
            <w:noWrap/>
            <w:hideMark/>
          </w:tcPr>
          <w:p w14:paraId="1E2BEB2B" w14:textId="77777777" w:rsidR="009218A5" w:rsidRPr="00644DE5" w:rsidRDefault="009218A5" w:rsidP="009218A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No of MDR/RR TB patients notified</w:t>
            </w:r>
          </w:p>
        </w:tc>
        <w:tc>
          <w:tcPr>
            <w:tcW w:w="936" w:type="dxa"/>
            <w:shd w:val="clear" w:color="auto" w:fill="D4EDB9"/>
            <w:noWrap/>
            <w:hideMark/>
          </w:tcPr>
          <w:p w14:paraId="15E994BC" w14:textId="77777777" w:rsidR="009218A5" w:rsidRPr="00644DE5" w:rsidRDefault="009218A5" w:rsidP="009218A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66,255</w:t>
            </w:r>
          </w:p>
        </w:tc>
        <w:tc>
          <w:tcPr>
            <w:tcW w:w="990" w:type="dxa"/>
            <w:shd w:val="clear" w:color="auto" w:fill="D4EDB9"/>
            <w:noWrap/>
            <w:hideMark/>
          </w:tcPr>
          <w:p w14:paraId="3CFBA80B" w14:textId="351E33A0" w:rsidR="009218A5" w:rsidRPr="00644DE5" w:rsidRDefault="009218A5" w:rsidP="009218A5">
            <w:pPr>
              <w:spacing w:before="0" w:after="0"/>
              <w:jc w:val="center"/>
              <w:rPr>
                <w:rFonts w:asciiTheme="minorHAnsi" w:eastAsia="Times New Roman" w:hAnsiTheme="minorHAnsi" w:cstheme="minorHAnsi"/>
                <w:sz w:val="22"/>
                <w:lang w:eastAsia="en-IN"/>
              </w:rPr>
            </w:pPr>
            <w:r w:rsidRPr="009218A5">
              <w:rPr>
                <w:rFonts w:asciiTheme="minorHAnsi" w:eastAsia="Times New Roman" w:hAnsiTheme="minorHAnsi" w:cstheme="minorHAnsi"/>
                <w:sz w:val="22"/>
                <w:lang w:eastAsia="en-IN"/>
              </w:rPr>
              <w:t>45,419</w:t>
            </w:r>
          </w:p>
        </w:tc>
        <w:tc>
          <w:tcPr>
            <w:tcW w:w="990" w:type="dxa"/>
            <w:shd w:val="clear" w:color="auto" w:fill="D4EDB9"/>
            <w:noWrap/>
            <w:hideMark/>
          </w:tcPr>
          <w:p w14:paraId="1D6A8D3B" w14:textId="7D2D3CCB" w:rsidR="009218A5" w:rsidRPr="00644DE5" w:rsidRDefault="009218A5" w:rsidP="009218A5">
            <w:pPr>
              <w:spacing w:before="0" w:after="0"/>
              <w:jc w:val="center"/>
              <w:rPr>
                <w:rFonts w:asciiTheme="minorHAnsi" w:eastAsia="Times New Roman" w:hAnsiTheme="minorHAnsi" w:cstheme="minorHAnsi"/>
                <w:sz w:val="22"/>
                <w:lang w:eastAsia="en-IN"/>
              </w:rPr>
            </w:pPr>
            <w:r w:rsidRPr="009218A5">
              <w:rPr>
                <w:rFonts w:asciiTheme="minorHAnsi" w:eastAsia="Times New Roman" w:hAnsiTheme="minorHAnsi" w:cstheme="minorHAnsi"/>
                <w:sz w:val="22"/>
                <w:lang w:eastAsia="en-IN"/>
              </w:rPr>
              <w:t>71,073</w:t>
            </w:r>
          </w:p>
        </w:tc>
        <w:tc>
          <w:tcPr>
            <w:tcW w:w="990" w:type="dxa"/>
            <w:shd w:val="clear" w:color="auto" w:fill="D4EDB9"/>
            <w:noWrap/>
            <w:hideMark/>
          </w:tcPr>
          <w:p w14:paraId="1BB8E51B" w14:textId="5EB1AB20" w:rsidR="009218A5" w:rsidRPr="00644DE5" w:rsidRDefault="009218A5" w:rsidP="009218A5">
            <w:pPr>
              <w:spacing w:before="0" w:after="0"/>
              <w:jc w:val="center"/>
              <w:rPr>
                <w:rFonts w:asciiTheme="minorHAnsi" w:eastAsia="Times New Roman" w:hAnsiTheme="minorHAnsi" w:cstheme="minorHAnsi"/>
                <w:sz w:val="22"/>
                <w:lang w:eastAsia="en-IN"/>
              </w:rPr>
            </w:pPr>
            <w:r w:rsidRPr="009218A5">
              <w:rPr>
                <w:rFonts w:asciiTheme="minorHAnsi" w:eastAsia="Times New Roman" w:hAnsiTheme="minorHAnsi" w:cstheme="minorHAnsi"/>
                <w:sz w:val="22"/>
                <w:lang w:eastAsia="en-IN"/>
              </w:rPr>
              <w:t>75,969</w:t>
            </w:r>
          </w:p>
        </w:tc>
        <w:tc>
          <w:tcPr>
            <w:tcW w:w="1019" w:type="dxa"/>
            <w:shd w:val="clear" w:color="auto" w:fill="D4EDB9"/>
            <w:noWrap/>
            <w:hideMark/>
          </w:tcPr>
          <w:p w14:paraId="1F39FA07" w14:textId="2A6A67E5" w:rsidR="009218A5" w:rsidRPr="00644DE5" w:rsidRDefault="009218A5" w:rsidP="009218A5">
            <w:pPr>
              <w:spacing w:before="0" w:after="0"/>
              <w:jc w:val="center"/>
              <w:rPr>
                <w:rFonts w:asciiTheme="minorHAnsi" w:eastAsia="Times New Roman" w:hAnsiTheme="minorHAnsi" w:cstheme="minorHAnsi"/>
                <w:sz w:val="22"/>
                <w:lang w:eastAsia="en-IN"/>
              </w:rPr>
            </w:pPr>
            <w:r w:rsidRPr="009218A5">
              <w:rPr>
                <w:rFonts w:asciiTheme="minorHAnsi" w:eastAsia="Times New Roman" w:hAnsiTheme="minorHAnsi" w:cstheme="minorHAnsi"/>
                <w:sz w:val="22"/>
                <w:lang w:eastAsia="en-IN"/>
              </w:rPr>
              <w:t>81,438</w:t>
            </w:r>
          </w:p>
        </w:tc>
        <w:tc>
          <w:tcPr>
            <w:tcW w:w="990" w:type="dxa"/>
            <w:shd w:val="clear" w:color="auto" w:fill="D4EDB9"/>
            <w:noWrap/>
            <w:hideMark/>
          </w:tcPr>
          <w:p w14:paraId="0E39A162" w14:textId="72A3719B" w:rsidR="009218A5" w:rsidRPr="00644DE5" w:rsidRDefault="009218A5" w:rsidP="009218A5">
            <w:pPr>
              <w:spacing w:before="0" w:after="0"/>
              <w:jc w:val="center"/>
              <w:rPr>
                <w:rFonts w:asciiTheme="minorHAnsi" w:eastAsia="Times New Roman" w:hAnsiTheme="minorHAnsi" w:cstheme="minorHAnsi"/>
                <w:sz w:val="22"/>
                <w:lang w:eastAsia="en-IN"/>
              </w:rPr>
            </w:pPr>
            <w:r w:rsidRPr="009218A5">
              <w:rPr>
                <w:rFonts w:asciiTheme="minorHAnsi" w:eastAsia="Times New Roman" w:hAnsiTheme="minorHAnsi" w:cstheme="minorHAnsi"/>
                <w:sz w:val="22"/>
                <w:lang w:eastAsia="en-IN"/>
              </w:rPr>
              <w:t>92</w:t>
            </w:r>
            <w:r w:rsidR="00C94161">
              <w:rPr>
                <w:rFonts w:asciiTheme="minorHAnsi" w:eastAsia="Times New Roman" w:hAnsiTheme="minorHAnsi" w:cstheme="minorHAnsi"/>
                <w:sz w:val="22"/>
                <w:lang w:eastAsia="en-IN"/>
              </w:rPr>
              <w:t>,</w:t>
            </w:r>
            <w:r w:rsidRPr="009218A5">
              <w:rPr>
                <w:rFonts w:asciiTheme="minorHAnsi" w:eastAsia="Times New Roman" w:hAnsiTheme="minorHAnsi" w:cstheme="minorHAnsi"/>
                <w:sz w:val="22"/>
                <w:lang w:eastAsia="en-IN"/>
              </w:rPr>
              <w:t>750</w:t>
            </w:r>
          </w:p>
        </w:tc>
        <w:tc>
          <w:tcPr>
            <w:tcW w:w="954" w:type="dxa"/>
            <w:shd w:val="clear" w:color="auto" w:fill="D4EDB9"/>
            <w:noWrap/>
            <w:hideMark/>
          </w:tcPr>
          <w:p w14:paraId="53F0E0FA" w14:textId="034A48DD" w:rsidR="009218A5" w:rsidRPr="00644DE5" w:rsidRDefault="009218A5" w:rsidP="009218A5">
            <w:pPr>
              <w:spacing w:before="0" w:after="0"/>
              <w:jc w:val="center"/>
              <w:rPr>
                <w:rFonts w:asciiTheme="minorHAnsi" w:eastAsia="Times New Roman" w:hAnsiTheme="minorHAnsi" w:cstheme="minorHAnsi"/>
                <w:sz w:val="22"/>
                <w:lang w:eastAsia="en-IN"/>
              </w:rPr>
            </w:pPr>
            <w:r w:rsidRPr="009218A5">
              <w:rPr>
                <w:rFonts w:asciiTheme="minorHAnsi" w:eastAsia="Times New Roman" w:hAnsiTheme="minorHAnsi" w:cstheme="minorHAnsi"/>
                <w:sz w:val="22"/>
                <w:lang w:eastAsia="en-IN"/>
              </w:rPr>
              <w:t>99</w:t>
            </w:r>
            <w:r w:rsidR="00C94161">
              <w:rPr>
                <w:rFonts w:asciiTheme="minorHAnsi" w:eastAsia="Times New Roman" w:hAnsiTheme="minorHAnsi" w:cstheme="minorHAnsi"/>
                <w:sz w:val="22"/>
                <w:lang w:eastAsia="en-IN"/>
              </w:rPr>
              <w:t>,</w:t>
            </w:r>
            <w:r w:rsidRPr="009218A5">
              <w:rPr>
                <w:rFonts w:asciiTheme="minorHAnsi" w:eastAsia="Times New Roman" w:hAnsiTheme="minorHAnsi" w:cstheme="minorHAnsi"/>
                <w:sz w:val="22"/>
                <w:lang w:eastAsia="en-IN"/>
              </w:rPr>
              <w:t>375</w:t>
            </w:r>
          </w:p>
        </w:tc>
      </w:tr>
      <w:tr w:rsidR="00644DE5" w:rsidRPr="00644DE5" w14:paraId="0F4DE214" w14:textId="77777777" w:rsidTr="00B25F27">
        <w:trPr>
          <w:trHeight w:val="315"/>
        </w:trPr>
        <w:tc>
          <w:tcPr>
            <w:tcW w:w="313" w:type="dxa"/>
            <w:shd w:val="clear" w:color="auto" w:fill="C6D9F1" w:themeFill="text2" w:themeFillTint="33"/>
            <w:noWrap/>
          </w:tcPr>
          <w:p w14:paraId="519C3744"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C6D9F1" w:themeFill="text2" w:themeFillTint="33"/>
            <w:hideMark/>
          </w:tcPr>
          <w:p w14:paraId="7100FE6C"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patients from private sector who are provisioned free for anti TB drugs</w:t>
            </w:r>
          </w:p>
        </w:tc>
        <w:tc>
          <w:tcPr>
            <w:tcW w:w="936" w:type="dxa"/>
            <w:shd w:val="clear" w:color="auto" w:fill="C6D9F1" w:themeFill="text2" w:themeFillTint="33"/>
            <w:noWrap/>
            <w:hideMark/>
          </w:tcPr>
          <w:p w14:paraId="4E2D6374"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w:t>
            </w:r>
          </w:p>
        </w:tc>
        <w:tc>
          <w:tcPr>
            <w:tcW w:w="990" w:type="dxa"/>
            <w:shd w:val="clear" w:color="auto" w:fill="C6D9F1" w:themeFill="text2" w:themeFillTint="33"/>
            <w:noWrap/>
            <w:hideMark/>
          </w:tcPr>
          <w:p w14:paraId="3E4D3A79"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15%</w:t>
            </w:r>
          </w:p>
        </w:tc>
        <w:tc>
          <w:tcPr>
            <w:tcW w:w="990" w:type="dxa"/>
            <w:shd w:val="clear" w:color="auto" w:fill="C6D9F1" w:themeFill="text2" w:themeFillTint="33"/>
            <w:noWrap/>
            <w:hideMark/>
          </w:tcPr>
          <w:p w14:paraId="33C90BED"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25%</w:t>
            </w:r>
          </w:p>
        </w:tc>
        <w:tc>
          <w:tcPr>
            <w:tcW w:w="990" w:type="dxa"/>
            <w:shd w:val="clear" w:color="auto" w:fill="C6D9F1" w:themeFill="text2" w:themeFillTint="33"/>
            <w:noWrap/>
            <w:hideMark/>
          </w:tcPr>
          <w:p w14:paraId="42DB4004"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35%</w:t>
            </w:r>
          </w:p>
        </w:tc>
        <w:tc>
          <w:tcPr>
            <w:tcW w:w="1019" w:type="dxa"/>
            <w:shd w:val="clear" w:color="auto" w:fill="C6D9F1" w:themeFill="text2" w:themeFillTint="33"/>
            <w:noWrap/>
            <w:hideMark/>
          </w:tcPr>
          <w:p w14:paraId="7033A6C7"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40%</w:t>
            </w:r>
          </w:p>
        </w:tc>
        <w:tc>
          <w:tcPr>
            <w:tcW w:w="990" w:type="dxa"/>
            <w:shd w:val="clear" w:color="auto" w:fill="C6D9F1" w:themeFill="text2" w:themeFillTint="33"/>
            <w:noWrap/>
            <w:hideMark/>
          </w:tcPr>
          <w:p w14:paraId="08920B85"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40%</w:t>
            </w:r>
          </w:p>
        </w:tc>
        <w:tc>
          <w:tcPr>
            <w:tcW w:w="954" w:type="dxa"/>
            <w:shd w:val="clear" w:color="auto" w:fill="C6D9F1" w:themeFill="text2" w:themeFillTint="33"/>
            <w:noWrap/>
            <w:hideMark/>
          </w:tcPr>
          <w:p w14:paraId="65D09E18"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40%</w:t>
            </w:r>
          </w:p>
        </w:tc>
      </w:tr>
      <w:tr w:rsidR="00644DE5" w:rsidRPr="00644DE5" w14:paraId="4F22D9A3" w14:textId="77777777" w:rsidTr="00B25F27">
        <w:trPr>
          <w:trHeight w:val="70"/>
        </w:trPr>
        <w:tc>
          <w:tcPr>
            <w:tcW w:w="313" w:type="dxa"/>
            <w:shd w:val="clear" w:color="auto" w:fill="C6D9F1" w:themeFill="text2" w:themeFillTint="33"/>
            <w:noWrap/>
          </w:tcPr>
          <w:p w14:paraId="39E6C733"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C6D9F1" w:themeFill="text2" w:themeFillTint="33"/>
            <w:noWrap/>
            <w:hideMark/>
          </w:tcPr>
          <w:p w14:paraId="6574B043"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Treatment success rate of TB Pts in the private sector</w:t>
            </w:r>
          </w:p>
        </w:tc>
        <w:tc>
          <w:tcPr>
            <w:tcW w:w="936" w:type="dxa"/>
            <w:shd w:val="clear" w:color="auto" w:fill="C6D9F1" w:themeFill="text2" w:themeFillTint="33"/>
            <w:noWrap/>
            <w:hideMark/>
          </w:tcPr>
          <w:p w14:paraId="489AF825"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71%</w:t>
            </w:r>
          </w:p>
        </w:tc>
        <w:tc>
          <w:tcPr>
            <w:tcW w:w="990" w:type="dxa"/>
            <w:shd w:val="clear" w:color="auto" w:fill="C6D9F1" w:themeFill="text2" w:themeFillTint="33"/>
            <w:noWrap/>
            <w:hideMark/>
          </w:tcPr>
          <w:p w14:paraId="7C2E7C4E"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75%</w:t>
            </w:r>
          </w:p>
        </w:tc>
        <w:tc>
          <w:tcPr>
            <w:tcW w:w="990" w:type="dxa"/>
            <w:shd w:val="clear" w:color="auto" w:fill="C6D9F1" w:themeFill="text2" w:themeFillTint="33"/>
            <w:noWrap/>
            <w:hideMark/>
          </w:tcPr>
          <w:p w14:paraId="1E63A68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80%</w:t>
            </w:r>
          </w:p>
        </w:tc>
        <w:tc>
          <w:tcPr>
            <w:tcW w:w="990" w:type="dxa"/>
            <w:shd w:val="clear" w:color="auto" w:fill="C6D9F1" w:themeFill="text2" w:themeFillTint="33"/>
            <w:noWrap/>
            <w:hideMark/>
          </w:tcPr>
          <w:p w14:paraId="6FF7B1E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85%</w:t>
            </w:r>
          </w:p>
        </w:tc>
        <w:tc>
          <w:tcPr>
            <w:tcW w:w="1019" w:type="dxa"/>
            <w:shd w:val="clear" w:color="auto" w:fill="C6D9F1" w:themeFill="text2" w:themeFillTint="33"/>
            <w:noWrap/>
            <w:hideMark/>
          </w:tcPr>
          <w:p w14:paraId="0C70BB3F"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c>
          <w:tcPr>
            <w:tcW w:w="990" w:type="dxa"/>
            <w:shd w:val="clear" w:color="auto" w:fill="C6D9F1" w:themeFill="text2" w:themeFillTint="33"/>
            <w:noWrap/>
            <w:hideMark/>
          </w:tcPr>
          <w:p w14:paraId="5BCC089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c>
          <w:tcPr>
            <w:tcW w:w="954" w:type="dxa"/>
            <w:shd w:val="clear" w:color="auto" w:fill="C6D9F1" w:themeFill="text2" w:themeFillTint="33"/>
            <w:noWrap/>
            <w:hideMark/>
          </w:tcPr>
          <w:p w14:paraId="3D71BB15"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r>
      <w:tr w:rsidR="00644DE5" w:rsidRPr="00644DE5" w14:paraId="47D05A59" w14:textId="77777777" w:rsidTr="00B25F27">
        <w:trPr>
          <w:trHeight w:val="70"/>
        </w:trPr>
        <w:tc>
          <w:tcPr>
            <w:tcW w:w="313" w:type="dxa"/>
            <w:shd w:val="clear" w:color="auto" w:fill="C6D9F1" w:themeFill="text2" w:themeFillTint="33"/>
            <w:noWrap/>
          </w:tcPr>
          <w:p w14:paraId="07042739"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C6D9F1" w:themeFill="text2" w:themeFillTint="33"/>
            <w:noWrap/>
            <w:hideMark/>
          </w:tcPr>
          <w:p w14:paraId="4561637D"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Treatment success rate for DS TB</w:t>
            </w:r>
          </w:p>
        </w:tc>
        <w:tc>
          <w:tcPr>
            <w:tcW w:w="936" w:type="dxa"/>
            <w:shd w:val="clear" w:color="auto" w:fill="C6D9F1" w:themeFill="text2" w:themeFillTint="33"/>
            <w:noWrap/>
            <w:hideMark/>
          </w:tcPr>
          <w:p w14:paraId="44328B9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84%</w:t>
            </w:r>
          </w:p>
        </w:tc>
        <w:tc>
          <w:tcPr>
            <w:tcW w:w="990" w:type="dxa"/>
            <w:shd w:val="clear" w:color="auto" w:fill="C6D9F1" w:themeFill="text2" w:themeFillTint="33"/>
            <w:noWrap/>
            <w:hideMark/>
          </w:tcPr>
          <w:p w14:paraId="6221661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85%</w:t>
            </w:r>
          </w:p>
        </w:tc>
        <w:tc>
          <w:tcPr>
            <w:tcW w:w="990" w:type="dxa"/>
            <w:shd w:val="clear" w:color="auto" w:fill="C6D9F1" w:themeFill="text2" w:themeFillTint="33"/>
            <w:noWrap/>
            <w:hideMark/>
          </w:tcPr>
          <w:p w14:paraId="3656321C" w14:textId="6E4B7104"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w:t>
            </w:r>
            <w:r w:rsidR="009218A5">
              <w:rPr>
                <w:rFonts w:asciiTheme="minorHAnsi" w:eastAsia="Times New Roman" w:hAnsiTheme="minorHAnsi" w:cstheme="minorHAnsi"/>
                <w:sz w:val="22"/>
                <w:lang w:eastAsia="en-IN"/>
              </w:rPr>
              <w:t>6</w:t>
            </w:r>
            <w:r w:rsidRPr="00644DE5">
              <w:rPr>
                <w:rFonts w:asciiTheme="minorHAnsi" w:eastAsia="Times New Roman" w:hAnsiTheme="minorHAnsi" w:cstheme="minorHAnsi"/>
                <w:sz w:val="22"/>
                <w:lang w:eastAsia="en-IN"/>
              </w:rPr>
              <w:t>%</w:t>
            </w:r>
          </w:p>
        </w:tc>
        <w:tc>
          <w:tcPr>
            <w:tcW w:w="990" w:type="dxa"/>
            <w:shd w:val="clear" w:color="auto" w:fill="C6D9F1" w:themeFill="text2" w:themeFillTint="33"/>
            <w:noWrap/>
            <w:hideMark/>
          </w:tcPr>
          <w:p w14:paraId="23CD2707" w14:textId="7C421225" w:rsidR="00644DE5" w:rsidRPr="00644DE5" w:rsidRDefault="009218A5" w:rsidP="00644DE5">
            <w:pPr>
              <w:spacing w:before="0" w:after="0"/>
              <w:jc w:val="center"/>
              <w:rPr>
                <w:rFonts w:asciiTheme="minorHAnsi" w:eastAsia="Times New Roman" w:hAnsiTheme="minorHAnsi" w:cstheme="minorHAnsi"/>
                <w:sz w:val="22"/>
                <w:lang w:eastAsia="en-IN"/>
              </w:rPr>
            </w:pPr>
            <w:r>
              <w:rPr>
                <w:rFonts w:asciiTheme="minorHAnsi" w:eastAsia="Times New Roman" w:hAnsiTheme="minorHAnsi" w:cstheme="minorHAnsi"/>
                <w:sz w:val="22"/>
                <w:lang w:eastAsia="en-IN"/>
              </w:rPr>
              <w:t>87</w:t>
            </w:r>
            <w:r w:rsidR="00644DE5" w:rsidRPr="00644DE5">
              <w:rPr>
                <w:rFonts w:asciiTheme="minorHAnsi" w:eastAsia="Times New Roman" w:hAnsiTheme="minorHAnsi" w:cstheme="minorHAnsi"/>
                <w:sz w:val="22"/>
                <w:lang w:eastAsia="en-IN"/>
              </w:rPr>
              <w:t>%</w:t>
            </w:r>
          </w:p>
        </w:tc>
        <w:tc>
          <w:tcPr>
            <w:tcW w:w="1019" w:type="dxa"/>
            <w:shd w:val="clear" w:color="auto" w:fill="C6D9F1" w:themeFill="text2" w:themeFillTint="33"/>
            <w:noWrap/>
            <w:hideMark/>
          </w:tcPr>
          <w:p w14:paraId="105EFCA1" w14:textId="3E03F8C5" w:rsidR="00644DE5" w:rsidRPr="00644DE5" w:rsidRDefault="009218A5" w:rsidP="00644DE5">
            <w:pPr>
              <w:spacing w:before="0" w:after="0"/>
              <w:jc w:val="center"/>
              <w:rPr>
                <w:rFonts w:asciiTheme="minorHAnsi" w:eastAsia="Times New Roman" w:hAnsiTheme="minorHAnsi" w:cstheme="minorHAnsi"/>
                <w:sz w:val="22"/>
                <w:lang w:eastAsia="en-IN"/>
              </w:rPr>
            </w:pPr>
            <w:r>
              <w:rPr>
                <w:rFonts w:asciiTheme="minorHAnsi" w:eastAsia="Times New Roman" w:hAnsiTheme="minorHAnsi" w:cstheme="minorHAnsi"/>
                <w:sz w:val="22"/>
                <w:lang w:eastAsia="en-IN"/>
              </w:rPr>
              <w:t>88</w:t>
            </w:r>
            <w:r w:rsidR="00644DE5" w:rsidRPr="00644DE5">
              <w:rPr>
                <w:rFonts w:asciiTheme="minorHAnsi" w:eastAsia="Times New Roman" w:hAnsiTheme="minorHAnsi" w:cstheme="minorHAnsi"/>
                <w:sz w:val="22"/>
                <w:lang w:eastAsia="en-IN"/>
              </w:rPr>
              <w:t>%</w:t>
            </w:r>
          </w:p>
        </w:tc>
        <w:tc>
          <w:tcPr>
            <w:tcW w:w="990" w:type="dxa"/>
            <w:shd w:val="clear" w:color="auto" w:fill="C6D9F1" w:themeFill="text2" w:themeFillTint="33"/>
            <w:noWrap/>
            <w:hideMark/>
          </w:tcPr>
          <w:p w14:paraId="270E7219"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&gt;90%</w:t>
            </w:r>
          </w:p>
        </w:tc>
        <w:tc>
          <w:tcPr>
            <w:tcW w:w="954" w:type="dxa"/>
            <w:shd w:val="clear" w:color="auto" w:fill="C6D9F1" w:themeFill="text2" w:themeFillTint="33"/>
            <w:noWrap/>
            <w:hideMark/>
          </w:tcPr>
          <w:p w14:paraId="703BF91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&gt;90%</w:t>
            </w:r>
          </w:p>
        </w:tc>
      </w:tr>
      <w:tr w:rsidR="00644DE5" w:rsidRPr="00644DE5" w14:paraId="1AC27373" w14:textId="77777777" w:rsidTr="00B25F27">
        <w:trPr>
          <w:trHeight w:val="70"/>
        </w:trPr>
        <w:tc>
          <w:tcPr>
            <w:tcW w:w="313" w:type="dxa"/>
            <w:shd w:val="clear" w:color="auto" w:fill="C6D9F1" w:themeFill="text2" w:themeFillTint="33"/>
            <w:noWrap/>
          </w:tcPr>
          <w:p w14:paraId="1F26E492"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C6D9F1" w:themeFill="text2" w:themeFillTint="33"/>
            <w:noWrap/>
            <w:hideMark/>
          </w:tcPr>
          <w:p w14:paraId="321B7F85"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Treatment success rate for RR TB</w:t>
            </w:r>
          </w:p>
        </w:tc>
        <w:tc>
          <w:tcPr>
            <w:tcW w:w="936" w:type="dxa"/>
            <w:shd w:val="clear" w:color="auto" w:fill="C6D9F1" w:themeFill="text2" w:themeFillTint="33"/>
            <w:noWrap/>
            <w:hideMark/>
          </w:tcPr>
          <w:p w14:paraId="63F7D9EC"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48%</w:t>
            </w:r>
          </w:p>
        </w:tc>
        <w:tc>
          <w:tcPr>
            <w:tcW w:w="990" w:type="dxa"/>
            <w:shd w:val="clear" w:color="auto" w:fill="C6D9F1" w:themeFill="text2" w:themeFillTint="33"/>
            <w:noWrap/>
            <w:hideMark/>
          </w:tcPr>
          <w:p w14:paraId="36700CF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48%</w:t>
            </w:r>
          </w:p>
        </w:tc>
        <w:tc>
          <w:tcPr>
            <w:tcW w:w="990" w:type="dxa"/>
            <w:shd w:val="clear" w:color="auto" w:fill="C6D9F1" w:themeFill="text2" w:themeFillTint="33"/>
            <w:noWrap/>
            <w:hideMark/>
          </w:tcPr>
          <w:p w14:paraId="03AD946E" w14:textId="598DD149" w:rsidR="00644DE5" w:rsidRPr="00644DE5" w:rsidRDefault="00644DE5" w:rsidP="009B4044">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5</w:t>
            </w:r>
            <w:r w:rsidR="009B4044">
              <w:rPr>
                <w:rFonts w:asciiTheme="minorHAnsi" w:eastAsia="Times New Roman" w:hAnsiTheme="minorHAnsi" w:cstheme="minorHAnsi"/>
                <w:sz w:val="22"/>
                <w:lang w:eastAsia="en-IN"/>
              </w:rPr>
              <w:t>2</w:t>
            </w:r>
            <w:r w:rsidRPr="00644DE5">
              <w:rPr>
                <w:rFonts w:asciiTheme="minorHAnsi" w:eastAsia="Times New Roman" w:hAnsiTheme="minorHAnsi" w:cstheme="minorHAnsi"/>
                <w:sz w:val="22"/>
                <w:lang w:eastAsia="en-IN"/>
              </w:rPr>
              <w:t>%</w:t>
            </w:r>
          </w:p>
        </w:tc>
        <w:tc>
          <w:tcPr>
            <w:tcW w:w="990" w:type="dxa"/>
            <w:shd w:val="clear" w:color="auto" w:fill="C6D9F1" w:themeFill="text2" w:themeFillTint="33"/>
            <w:noWrap/>
            <w:hideMark/>
          </w:tcPr>
          <w:p w14:paraId="352404BF" w14:textId="708BB19F" w:rsidR="00644DE5" w:rsidRPr="00F225BB" w:rsidRDefault="00644DE5" w:rsidP="009B4044">
            <w:pPr>
              <w:spacing w:before="0" w:after="0"/>
              <w:jc w:val="center"/>
              <w:rPr>
                <w:rFonts w:asciiTheme="minorHAnsi" w:eastAsia="Times New Roman" w:hAnsiTheme="minorHAnsi" w:cstheme="minorHAnsi"/>
                <w:sz w:val="22"/>
                <w:lang w:eastAsia="en-IN"/>
              </w:rPr>
            </w:pPr>
            <w:r w:rsidRPr="00F225BB">
              <w:rPr>
                <w:rFonts w:asciiTheme="minorHAnsi" w:eastAsia="Times New Roman" w:hAnsiTheme="minorHAnsi" w:cstheme="minorHAnsi"/>
                <w:sz w:val="22"/>
                <w:lang w:eastAsia="en-IN"/>
              </w:rPr>
              <w:t>5</w:t>
            </w:r>
            <w:r w:rsidR="009B4044" w:rsidRPr="00F225BB">
              <w:rPr>
                <w:rFonts w:asciiTheme="minorHAnsi" w:eastAsia="Times New Roman" w:hAnsiTheme="minorHAnsi" w:cstheme="minorHAnsi"/>
                <w:sz w:val="22"/>
                <w:lang w:eastAsia="en-IN"/>
              </w:rPr>
              <w:t>6</w:t>
            </w:r>
            <w:r w:rsidRPr="00F225BB">
              <w:rPr>
                <w:rFonts w:asciiTheme="minorHAnsi" w:eastAsia="Times New Roman" w:hAnsiTheme="minorHAnsi" w:cstheme="minorHAnsi"/>
                <w:sz w:val="22"/>
                <w:lang w:eastAsia="en-IN"/>
              </w:rPr>
              <w:t>%</w:t>
            </w:r>
          </w:p>
        </w:tc>
        <w:tc>
          <w:tcPr>
            <w:tcW w:w="1019" w:type="dxa"/>
            <w:shd w:val="clear" w:color="auto" w:fill="C6D9F1" w:themeFill="text2" w:themeFillTint="33"/>
            <w:noWrap/>
            <w:hideMark/>
          </w:tcPr>
          <w:p w14:paraId="41D6E37C" w14:textId="6AAE2401" w:rsidR="00644DE5" w:rsidRPr="00F225BB" w:rsidRDefault="00644DE5" w:rsidP="00644DE5">
            <w:pPr>
              <w:spacing w:before="0" w:after="0"/>
              <w:jc w:val="center"/>
              <w:rPr>
                <w:rFonts w:asciiTheme="minorHAnsi" w:eastAsia="Times New Roman" w:hAnsiTheme="minorHAnsi" w:cstheme="minorHAnsi"/>
                <w:sz w:val="22"/>
                <w:lang w:eastAsia="en-IN"/>
              </w:rPr>
            </w:pPr>
            <w:r w:rsidRPr="00F225BB">
              <w:rPr>
                <w:rFonts w:asciiTheme="minorHAnsi" w:eastAsia="Times New Roman" w:hAnsiTheme="minorHAnsi" w:cstheme="minorHAnsi"/>
                <w:sz w:val="22"/>
                <w:lang w:eastAsia="en-IN"/>
              </w:rPr>
              <w:t>6</w:t>
            </w:r>
            <w:r w:rsidR="009218A5" w:rsidRPr="00F225BB">
              <w:rPr>
                <w:rFonts w:asciiTheme="minorHAnsi" w:eastAsia="Times New Roman" w:hAnsiTheme="minorHAnsi" w:cstheme="minorHAnsi"/>
                <w:sz w:val="22"/>
                <w:lang w:eastAsia="en-IN"/>
              </w:rPr>
              <w:t>0</w:t>
            </w:r>
            <w:r w:rsidRPr="00F225BB">
              <w:rPr>
                <w:rFonts w:asciiTheme="minorHAnsi" w:eastAsia="Times New Roman" w:hAnsiTheme="minorHAnsi" w:cstheme="minorHAnsi"/>
                <w:sz w:val="22"/>
                <w:lang w:eastAsia="en-IN"/>
              </w:rPr>
              <w:t>%</w:t>
            </w:r>
          </w:p>
        </w:tc>
        <w:tc>
          <w:tcPr>
            <w:tcW w:w="990" w:type="dxa"/>
            <w:shd w:val="clear" w:color="auto" w:fill="C6D9F1" w:themeFill="text2" w:themeFillTint="33"/>
            <w:noWrap/>
            <w:hideMark/>
          </w:tcPr>
          <w:p w14:paraId="6BE1EC8D" w14:textId="4D016850" w:rsidR="00644DE5" w:rsidRPr="00F225BB" w:rsidRDefault="00C94161" w:rsidP="00644DE5">
            <w:pPr>
              <w:spacing w:before="0" w:after="0"/>
              <w:jc w:val="center"/>
              <w:rPr>
                <w:rFonts w:asciiTheme="minorHAnsi" w:eastAsia="Times New Roman" w:hAnsiTheme="minorHAnsi" w:cstheme="minorHAnsi"/>
                <w:sz w:val="22"/>
                <w:lang w:eastAsia="en-IN"/>
              </w:rPr>
            </w:pPr>
            <w:r w:rsidRPr="00F225BB">
              <w:rPr>
                <w:rFonts w:asciiTheme="minorHAnsi" w:eastAsia="Times New Roman" w:hAnsiTheme="minorHAnsi" w:cstheme="minorHAnsi"/>
                <w:sz w:val="22"/>
                <w:lang w:eastAsia="en-IN"/>
              </w:rPr>
              <w:t>60</w:t>
            </w:r>
            <w:r w:rsidR="00644DE5" w:rsidRPr="00F225BB">
              <w:rPr>
                <w:rFonts w:asciiTheme="minorHAnsi" w:eastAsia="Times New Roman" w:hAnsiTheme="minorHAnsi" w:cstheme="minorHAnsi"/>
                <w:sz w:val="22"/>
                <w:lang w:eastAsia="en-IN"/>
              </w:rPr>
              <w:t>%</w:t>
            </w:r>
          </w:p>
        </w:tc>
        <w:tc>
          <w:tcPr>
            <w:tcW w:w="954" w:type="dxa"/>
            <w:shd w:val="clear" w:color="auto" w:fill="C6D9F1" w:themeFill="text2" w:themeFillTint="33"/>
            <w:noWrap/>
            <w:hideMark/>
          </w:tcPr>
          <w:p w14:paraId="553CDBA0" w14:textId="6CA5BBA2" w:rsidR="00644DE5" w:rsidRPr="00F225BB" w:rsidRDefault="00C94161" w:rsidP="00C94161">
            <w:pPr>
              <w:spacing w:before="0" w:after="0"/>
              <w:jc w:val="center"/>
              <w:rPr>
                <w:rFonts w:asciiTheme="minorHAnsi" w:eastAsia="Times New Roman" w:hAnsiTheme="minorHAnsi" w:cstheme="minorHAnsi"/>
                <w:sz w:val="22"/>
                <w:lang w:eastAsia="en-IN"/>
              </w:rPr>
            </w:pPr>
            <w:r w:rsidRPr="00F225BB">
              <w:rPr>
                <w:rFonts w:asciiTheme="minorHAnsi" w:eastAsia="Times New Roman" w:hAnsiTheme="minorHAnsi" w:cstheme="minorHAnsi"/>
                <w:sz w:val="22"/>
                <w:lang w:eastAsia="en-IN"/>
              </w:rPr>
              <w:t>65</w:t>
            </w:r>
            <w:r w:rsidR="00644DE5" w:rsidRPr="00F225BB">
              <w:rPr>
                <w:rFonts w:asciiTheme="minorHAnsi" w:eastAsia="Times New Roman" w:hAnsiTheme="minorHAnsi" w:cstheme="minorHAnsi"/>
                <w:sz w:val="22"/>
                <w:lang w:eastAsia="en-IN"/>
              </w:rPr>
              <w:t>%</w:t>
            </w:r>
          </w:p>
        </w:tc>
      </w:tr>
      <w:tr w:rsidR="00644DE5" w:rsidRPr="00644DE5" w14:paraId="5E16D47F" w14:textId="77777777" w:rsidTr="00B25F27">
        <w:trPr>
          <w:trHeight w:val="70"/>
        </w:trPr>
        <w:tc>
          <w:tcPr>
            <w:tcW w:w="313" w:type="dxa"/>
            <w:shd w:val="clear" w:color="auto" w:fill="C6D9F1" w:themeFill="text2" w:themeFillTint="33"/>
            <w:noWrap/>
          </w:tcPr>
          <w:p w14:paraId="30D3D2F4"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C6D9F1" w:themeFill="text2" w:themeFillTint="33"/>
            <w:noWrap/>
            <w:hideMark/>
          </w:tcPr>
          <w:p w14:paraId="49509BC1"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notified TB patients receiving financial support through DBT for NPY</w:t>
            </w:r>
          </w:p>
        </w:tc>
        <w:tc>
          <w:tcPr>
            <w:tcW w:w="936" w:type="dxa"/>
            <w:shd w:val="clear" w:color="auto" w:fill="C6D9F1" w:themeFill="text2" w:themeFillTint="33"/>
            <w:noWrap/>
            <w:hideMark/>
          </w:tcPr>
          <w:p w14:paraId="34740F09"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70%</w:t>
            </w:r>
          </w:p>
        </w:tc>
        <w:tc>
          <w:tcPr>
            <w:tcW w:w="990" w:type="dxa"/>
            <w:shd w:val="clear" w:color="auto" w:fill="C6D9F1" w:themeFill="text2" w:themeFillTint="33"/>
            <w:hideMark/>
          </w:tcPr>
          <w:p w14:paraId="63719087"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75%</w:t>
            </w:r>
          </w:p>
        </w:tc>
        <w:tc>
          <w:tcPr>
            <w:tcW w:w="990" w:type="dxa"/>
            <w:shd w:val="clear" w:color="auto" w:fill="C6D9F1" w:themeFill="text2" w:themeFillTint="33"/>
            <w:hideMark/>
          </w:tcPr>
          <w:p w14:paraId="16C27718"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80%</w:t>
            </w:r>
          </w:p>
        </w:tc>
        <w:tc>
          <w:tcPr>
            <w:tcW w:w="990" w:type="dxa"/>
            <w:shd w:val="clear" w:color="auto" w:fill="C6D9F1" w:themeFill="text2" w:themeFillTint="33"/>
            <w:hideMark/>
          </w:tcPr>
          <w:p w14:paraId="3D5F8459"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85%</w:t>
            </w:r>
          </w:p>
        </w:tc>
        <w:tc>
          <w:tcPr>
            <w:tcW w:w="1019" w:type="dxa"/>
            <w:shd w:val="clear" w:color="auto" w:fill="C6D9F1" w:themeFill="text2" w:themeFillTint="33"/>
            <w:hideMark/>
          </w:tcPr>
          <w:p w14:paraId="14651FC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c>
          <w:tcPr>
            <w:tcW w:w="990" w:type="dxa"/>
            <w:shd w:val="clear" w:color="auto" w:fill="C6D9F1" w:themeFill="text2" w:themeFillTint="33"/>
            <w:hideMark/>
          </w:tcPr>
          <w:p w14:paraId="067FE54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c>
          <w:tcPr>
            <w:tcW w:w="954" w:type="dxa"/>
            <w:shd w:val="clear" w:color="auto" w:fill="C6D9F1" w:themeFill="text2" w:themeFillTint="33"/>
            <w:hideMark/>
          </w:tcPr>
          <w:p w14:paraId="738C07DE"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r>
      <w:tr w:rsidR="00644DE5" w:rsidRPr="00644DE5" w14:paraId="7D05D41A" w14:textId="77777777" w:rsidTr="00B25F27">
        <w:trPr>
          <w:trHeight w:val="70"/>
        </w:trPr>
        <w:tc>
          <w:tcPr>
            <w:tcW w:w="313" w:type="dxa"/>
            <w:shd w:val="clear" w:color="auto" w:fill="C6D9F1" w:themeFill="text2" w:themeFillTint="33"/>
            <w:noWrap/>
          </w:tcPr>
          <w:p w14:paraId="2CE2E7ED"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C6D9F1" w:themeFill="text2" w:themeFillTint="33"/>
            <w:noWrap/>
            <w:hideMark/>
          </w:tcPr>
          <w:p w14:paraId="17E83622"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notified TB – HIV cases initiated on ART</w:t>
            </w:r>
          </w:p>
        </w:tc>
        <w:tc>
          <w:tcPr>
            <w:tcW w:w="936" w:type="dxa"/>
            <w:shd w:val="clear" w:color="auto" w:fill="C6D9F1" w:themeFill="text2" w:themeFillTint="33"/>
            <w:noWrap/>
            <w:hideMark/>
          </w:tcPr>
          <w:p w14:paraId="4271715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94%</w:t>
            </w:r>
          </w:p>
        </w:tc>
        <w:tc>
          <w:tcPr>
            <w:tcW w:w="990" w:type="dxa"/>
            <w:shd w:val="clear" w:color="auto" w:fill="C6D9F1" w:themeFill="text2" w:themeFillTint="33"/>
            <w:noWrap/>
            <w:hideMark/>
          </w:tcPr>
          <w:p w14:paraId="15152EC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94%</w:t>
            </w:r>
          </w:p>
        </w:tc>
        <w:tc>
          <w:tcPr>
            <w:tcW w:w="990" w:type="dxa"/>
            <w:shd w:val="clear" w:color="auto" w:fill="C6D9F1" w:themeFill="text2" w:themeFillTint="33"/>
            <w:noWrap/>
            <w:hideMark/>
          </w:tcPr>
          <w:p w14:paraId="68AF8564"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990" w:type="dxa"/>
            <w:shd w:val="clear" w:color="auto" w:fill="C6D9F1" w:themeFill="text2" w:themeFillTint="33"/>
            <w:noWrap/>
            <w:hideMark/>
          </w:tcPr>
          <w:p w14:paraId="309D4105"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1019" w:type="dxa"/>
            <w:shd w:val="clear" w:color="auto" w:fill="C6D9F1" w:themeFill="text2" w:themeFillTint="33"/>
            <w:noWrap/>
            <w:hideMark/>
          </w:tcPr>
          <w:p w14:paraId="1BD421AE"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990" w:type="dxa"/>
            <w:shd w:val="clear" w:color="auto" w:fill="C6D9F1" w:themeFill="text2" w:themeFillTint="33"/>
            <w:noWrap/>
            <w:hideMark/>
          </w:tcPr>
          <w:p w14:paraId="341CC0E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954" w:type="dxa"/>
            <w:shd w:val="clear" w:color="auto" w:fill="C6D9F1" w:themeFill="text2" w:themeFillTint="33"/>
            <w:noWrap/>
            <w:hideMark/>
          </w:tcPr>
          <w:p w14:paraId="4E21AD65"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r>
      <w:tr w:rsidR="00610A14" w:rsidRPr="00644DE5" w14:paraId="266B8535" w14:textId="77777777" w:rsidTr="00603017">
        <w:trPr>
          <w:trHeight w:val="70"/>
        </w:trPr>
        <w:tc>
          <w:tcPr>
            <w:tcW w:w="313" w:type="dxa"/>
            <w:shd w:val="clear" w:color="auto" w:fill="FDE9D9" w:themeFill="accent6" w:themeFillTint="33"/>
            <w:noWrap/>
          </w:tcPr>
          <w:p w14:paraId="63A6F689" w14:textId="77777777" w:rsidR="00610A14" w:rsidRPr="00644DE5" w:rsidRDefault="00610A14" w:rsidP="00610A14">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hideMark/>
          </w:tcPr>
          <w:p w14:paraId="174CC0CF" w14:textId="77777777" w:rsidR="00610A14" w:rsidRPr="00644DE5" w:rsidRDefault="00610A14" w:rsidP="00610A14">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No of rapid molecular laboratories established</w:t>
            </w:r>
          </w:p>
        </w:tc>
        <w:tc>
          <w:tcPr>
            <w:tcW w:w="936" w:type="dxa"/>
            <w:shd w:val="clear" w:color="auto" w:fill="FDE9D9" w:themeFill="accent6" w:themeFillTint="33"/>
            <w:noWrap/>
            <w:hideMark/>
          </w:tcPr>
          <w:p w14:paraId="768D9346" w14:textId="77777777" w:rsidR="00610A14" w:rsidRPr="00644DE5" w:rsidRDefault="00610A14" w:rsidP="00610A14">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 xml:space="preserve">1530 </w:t>
            </w:r>
          </w:p>
        </w:tc>
        <w:tc>
          <w:tcPr>
            <w:tcW w:w="990" w:type="dxa"/>
            <w:shd w:val="clear" w:color="auto" w:fill="FDE9D9" w:themeFill="accent6" w:themeFillTint="33"/>
            <w:hideMark/>
          </w:tcPr>
          <w:p w14:paraId="3057C89C" w14:textId="2814C08D" w:rsidR="00610A14" w:rsidRPr="00644DE5" w:rsidRDefault="00610A14" w:rsidP="00610A14">
            <w:pPr>
              <w:spacing w:before="0" w:after="0"/>
              <w:jc w:val="center"/>
              <w:rPr>
                <w:rFonts w:asciiTheme="minorHAnsi" w:eastAsia="Times New Roman" w:hAnsiTheme="minorHAnsi" w:cstheme="minorHAnsi"/>
                <w:sz w:val="22"/>
                <w:lang w:eastAsia="en-IN"/>
              </w:rPr>
            </w:pPr>
            <w:r>
              <w:rPr>
                <w:rFonts w:asciiTheme="minorHAnsi" w:eastAsia="Times New Roman" w:hAnsiTheme="minorHAnsi" w:cstheme="minorHAnsi"/>
                <w:sz w:val="22"/>
                <w:lang w:eastAsia="en-IN"/>
              </w:rPr>
              <w:t>3945</w:t>
            </w:r>
          </w:p>
        </w:tc>
        <w:tc>
          <w:tcPr>
            <w:tcW w:w="990" w:type="dxa"/>
            <w:shd w:val="clear" w:color="auto" w:fill="FDE9D9" w:themeFill="accent6" w:themeFillTint="33"/>
            <w:hideMark/>
          </w:tcPr>
          <w:p w14:paraId="32B7DCF8" w14:textId="070B3C29" w:rsidR="00610A14" w:rsidRPr="00644DE5" w:rsidRDefault="00610A14" w:rsidP="00610A14">
            <w:pPr>
              <w:spacing w:before="0" w:after="0"/>
              <w:jc w:val="center"/>
              <w:rPr>
                <w:rFonts w:asciiTheme="minorHAnsi" w:eastAsia="Times New Roman" w:hAnsiTheme="minorHAnsi" w:cstheme="minorHAnsi"/>
                <w:sz w:val="22"/>
                <w:lang w:eastAsia="en-IN"/>
              </w:rPr>
            </w:pPr>
            <w:r>
              <w:rPr>
                <w:rFonts w:asciiTheme="minorHAnsi" w:eastAsia="Times New Roman" w:hAnsiTheme="minorHAnsi" w:cstheme="minorHAnsi"/>
                <w:sz w:val="22"/>
                <w:lang w:eastAsia="en-IN"/>
              </w:rPr>
              <w:t>7645</w:t>
            </w:r>
          </w:p>
        </w:tc>
        <w:tc>
          <w:tcPr>
            <w:tcW w:w="990" w:type="dxa"/>
            <w:shd w:val="clear" w:color="auto" w:fill="FDE9D9" w:themeFill="accent6" w:themeFillTint="33"/>
            <w:hideMark/>
          </w:tcPr>
          <w:p w14:paraId="52A4D6D5" w14:textId="51A65EC4" w:rsidR="00610A14" w:rsidRPr="00644DE5" w:rsidRDefault="00610A14" w:rsidP="00610A14">
            <w:pPr>
              <w:spacing w:before="0" w:after="0"/>
              <w:jc w:val="center"/>
              <w:rPr>
                <w:rFonts w:asciiTheme="minorHAnsi" w:eastAsia="Times New Roman" w:hAnsiTheme="minorHAnsi" w:cstheme="minorHAnsi"/>
                <w:sz w:val="22"/>
                <w:lang w:eastAsia="en-IN"/>
              </w:rPr>
            </w:pPr>
            <w:r>
              <w:rPr>
                <w:rFonts w:asciiTheme="minorHAnsi" w:eastAsia="Times New Roman" w:hAnsiTheme="minorHAnsi" w:cstheme="minorHAnsi"/>
                <w:sz w:val="22"/>
                <w:lang w:eastAsia="en-IN"/>
              </w:rPr>
              <w:t>7645</w:t>
            </w:r>
          </w:p>
        </w:tc>
        <w:tc>
          <w:tcPr>
            <w:tcW w:w="1019" w:type="dxa"/>
            <w:shd w:val="clear" w:color="auto" w:fill="FDE9D9" w:themeFill="accent6" w:themeFillTint="33"/>
            <w:hideMark/>
          </w:tcPr>
          <w:p w14:paraId="18D280D3" w14:textId="52D4F5D7" w:rsidR="00610A14" w:rsidRPr="00644DE5" w:rsidRDefault="00610A14" w:rsidP="00610A14">
            <w:pPr>
              <w:spacing w:before="0" w:after="0"/>
              <w:jc w:val="center"/>
              <w:rPr>
                <w:rFonts w:asciiTheme="minorHAnsi" w:eastAsia="Times New Roman" w:hAnsiTheme="minorHAnsi" w:cstheme="minorHAnsi"/>
                <w:sz w:val="22"/>
                <w:lang w:eastAsia="en-IN"/>
              </w:rPr>
            </w:pPr>
            <w:r>
              <w:rPr>
                <w:rFonts w:asciiTheme="minorHAnsi" w:eastAsia="Times New Roman" w:hAnsiTheme="minorHAnsi" w:cstheme="minorHAnsi"/>
                <w:sz w:val="22"/>
                <w:lang w:eastAsia="en-IN"/>
              </w:rPr>
              <w:t>7942</w:t>
            </w:r>
          </w:p>
        </w:tc>
        <w:tc>
          <w:tcPr>
            <w:tcW w:w="990" w:type="dxa"/>
            <w:shd w:val="clear" w:color="auto" w:fill="FDE9D9" w:themeFill="accent6" w:themeFillTint="33"/>
          </w:tcPr>
          <w:p w14:paraId="5EA4D127" w14:textId="64E99A5D" w:rsidR="00610A14" w:rsidRPr="00644DE5" w:rsidRDefault="00610A14" w:rsidP="00610A14">
            <w:pPr>
              <w:spacing w:before="0" w:after="0"/>
              <w:jc w:val="center"/>
              <w:rPr>
                <w:rFonts w:asciiTheme="minorHAnsi" w:eastAsia="Times New Roman" w:hAnsiTheme="minorHAnsi" w:cstheme="minorHAnsi"/>
                <w:sz w:val="22"/>
                <w:lang w:eastAsia="en-IN"/>
              </w:rPr>
            </w:pPr>
            <w:r>
              <w:rPr>
                <w:rFonts w:asciiTheme="minorHAnsi" w:eastAsia="Times New Roman" w:hAnsiTheme="minorHAnsi" w:cstheme="minorHAnsi"/>
                <w:sz w:val="22"/>
                <w:lang w:eastAsia="en-IN"/>
              </w:rPr>
              <w:t>7942</w:t>
            </w:r>
          </w:p>
        </w:tc>
        <w:tc>
          <w:tcPr>
            <w:tcW w:w="954" w:type="dxa"/>
            <w:shd w:val="clear" w:color="auto" w:fill="FDE9D9" w:themeFill="accent6" w:themeFillTint="33"/>
          </w:tcPr>
          <w:p w14:paraId="73F8AF57" w14:textId="70D3DEFD" w:rsidR="00610A14" w:rsidRPr="00644DE5" w:rsidRDefault="00610A14" w:rsidP="00610A14">
            <w:pPr>
              <w:spacing w:before="0" w:after="0"/>
              <w:jc w:val="center"/>
              <w:rPr>
                <w:rFonts w:asciiTheme="minorHAnsi" w:eastAsia="Times New Roman" w:hAnsiTheme="minorHAnsi" w:cstheme="minorHAnsi"/>
                <w:sz w:val="22"/>
                <w:lang w:eastAsia="en-IN"/>
              </w:rPr>
            </w:pPr>
            <w:r>
              <w:rPr>
                <w:rFonts w:asciiTheme="minorHAnsi" w:eastAsia="Times New Roman" w:hAnsiTheme="minorHAnsi" w:cstheme="minorHAnsi"/>
                <w:sz w:val="22"/>
                <w:lang w:eastAsia="en-IN"/>
              </w:rPr>
              <w:t>7942</w:t>
            </w:r>
          </w:p>
        </w:tc>
      </w:tr>
      <w:tr w:rsidR="00644DE5" w:rsidRPr="00644DE5" w14:paraId="1C5893E2" w14:textId="77777777" w:rsidTr="00B25F27">
        <w:trPr>
          <w:trHeight w:val="70"/>
        </w:trPr>
        <w:tc>
          <w:tcPr>
            <w:tcW w:w="313" w:type="dxa"/>
            <w:shd w:val="clear" w:color="auto" w:fill="FDE9D9" w:themeFill="accent6" w:themeFillTint="33"/>
            <w:noWrap/>
          </w:tcPr>
          <w:p w14:paraId="05E20B9D"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hideMark/>
          </w:tcPr>
          <w:p w14:paraId="4BE432D8"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No of laboratories with first line DST established</w:t>
            </w:r>
          </w:p>
        </w:tc>
        <w:tc>
          <w:tcPr>
            <w:tcW w:w="936" w:type="dxa"/>
            <w:shd w:val="clear" w:color="auto" w:fill="FDE9D9" w:themeFill="accent6" w:themeFillTint="33"/>
            <w:noWrap/>
            <w:hideMark/>
          </w:tcPr>
          <w:p w14:paraId="0C7F53C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54</w:t>
            </w:r>
          </w:p>
        </w:tc>
        <w:tc>
          <w:tcPr>
            <w:tcW w:w="990" w:type="dxa"/>
            <w:shd w:val="clear" w:color="auto" w:fill="FDE9D9" w:themeFill="accent6" w:themeFillTint="33"/>
            <w:noWrap/>
            <w:hideMark/>
          </w:tcPr>
          <w:p w14:paraId="0BBD9B77"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92</w:t>
            </w:r>
          </w:p>
        </w:tc>
        <w:tc>
          <w:tcPr>
            <w:tcW w:w="990" w:type="dxa"/>
            <w:shd w:val="clear" w:color="auto" w:fill="FDE9D9" w:themeFill="accent6" w:themeFillTint="33"/>
            <w:noWrap/>
            <w:hideMark/>
          </w:tcPr>
          <w:p w14:paraId="0401D11E"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100</w:t>
            </w:r>
          </w:p>
        </w:tc>
        <w:tc>
          <w:tcPr>
            <w:tcW w:w="990" w:type="dxa"/>
            <w:shd w:val="clear" w:color="auto" w:fill="FDE9D9" w:themeFill="accent6" w:themeFillTint="33"/>
            <w:noWrap/>
            <w:hideMark/>
          </w:tcPr>
          <w:p w14:paraId="54C017CE"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100</w:t>
            </w:r>
          </w:p>
        </w:tc>
        <w:tc>
          <w:tcPr>
            <w:tcW w:w="1019" w:type="dxa"/>
            <w:shd w:val="clear" w:color="auto" w:fill="FDE9D9" w:themeFill="accent6" w:themeFillTint="33"/>
            <w:noWrap/>
            <w:hideMark/>
          </w:tcPr>
          <w:p w14:paraId="685E249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100</w:t>
            </w:r>
          </w:p>
        </w:tc>
        <w:tc>
          <w:tcPr>
            <w:tcW w:w="990" w:type="dxa"/>
            <w:shd w:val="clear" w:color="auto" w:fill="FDE9D9" w:themeFill="accent6" w:themeFillTint="33"/>
            <w:noWrap/>
            <w:hideMark/>
          </w:tcPr>
          <w:p w14:paraId="7EAF484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100</w:t>
            </w:r>
          </w:p>
        </w:tc>
        <w:tc>
          <w:tcPr>
            <w:tcW w:w="954" w:type="dxa"/>
            <w:shd w:val="clear" w:color="auto" w:fill="FDE9D9" w:themeFill="accent6" w:themeFillTint="33"/>
            <w:noWrap/>
            <w:hideMark/>
          </w:tcPr>
          <w:p w14:paraId="257533FF"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100</w:t>
            </w:r>
          </w:p>
        </w:tc>
      </w:tr>
      <w:tr w:rsidR="00644DE5" w:rsidRPr="00644DE5" w14:paraId="61918994" w14:textId="77777777" w:rsidTr="00B25F27">
        <w:trPr>
          <w:trHeight w:val="70"/>
        </w:trPr>
        <w:tc>
          <w:tcPr>
            <w:tcW w:w="313" w:type="dxa"/>
            <w:shd w:val="clear" w:color="auto" w:fill="FDE9D9" w:themeFill="accent6" w:themeFillTint="33"/>
            <w:noWrap/>
          </w:tcPr>
          <w:p w14:paraId="0D2DFB34"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hideMark/>
          </w:tcPr>
          <w:p w14:paraId="380AB2E9"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No of second-line DST (SLDST) laboratories established</w:t>
            </w:r>
          </w:p>
        </w:tc>
        <w:tc>
          <w:tcPr>
            <w:tcW w:w="936" w:type="dxa"/>
            <w:shd w:val="clear" w:color="auto" w:fill="FDE9D9" w:themeFill="accent6" w:themeFillTint="33"/>
            <w:noWrap/>
            <w:hideMark/>
          </w:tcPr>
          <w:p w14:paraId="0D7E774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85</w:t>
            </w:r>
          </w:p>
        </w:tc>
        <w:tc>
          <w:tcPr>
            <w:tcW w:w="990" w:type="dxa"/>
            <w:shd w:val="clear" w:color="auto" w:fill="FDE9D9" w:themeFill="accent6" w:themeFillTint="33"/>
            <w:noWrap/>
            <w:hideMark/>
          </w:tcPr>
          <w:p w14:paraId="47B1AD9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100</w:t>
            </w:r>
          </w:p>
        </w:tc>
        <w:tc>
          <w:tcPr>
            <w:tcW w:w="990" w:type="dxa"/>
            <w:shd w:val="clear" w:color="auto" w:fill="FDE9D9" w:themeFill="accent6" w:themeFillTint="33"/>
            <w:noWrap/>
            <w:hideMark/>
          </w:tcPr>
          <w:p w14:paraId="065D3D7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100</w:t>
            </w:r>
          </w:p>
        </w:tc>
        <w:tc>
          <w:tcPr>
            <w:tcW w:w="990" w:type="dxa"/>
            <w:shd w:val="clear" w:color="auto" w:fill="FDE9D9" w:themeFill="accent6" w:themeFillTint="33"/>
            <w:noWrap/>
            <w:hideMark/>
          </w:tcPr>
          <w:p w14:paraId="420AEBBF"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115</w:t>
            </w:r>
          </w:p>
        </w:tc>
        <w:tc>
          <w:tcPr>
            <w:tcW w:w="1019" w:type="dxa"/>
            <w:shd w:val="clear" w:color="auto" w:fill="FDE9D9" w:themeFill="accent6" w:themeFillTint="33"/>
            <w:noWrap/>
            <w:hideMark/>
          </w:tcPr>
          <w:p w14:paraId="3802D41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120</w:t>
            </w:r>
          </w:p>
        </w:tc>
        <w:tc>
          <w:tcPr>
            <w:tcW w:w="990" w:type="dxa"/>
            <w:shd w:val="clear" w:color="auto" w:fill="FDE9D9" w:themeFill="accent6" w:themeFillTint="33"/>
            <w:noWrap/>
            <w:hideMark/>
          </w:tcPr>
          <w:p w14:paraId="5F8FE1D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120</w:t>
            </w:r>
          </w:p>
        </w:tc>
        <w:tc>
          <w:tcPr>
            <w:tcW w:w="954" w:type="dxa"/>
            <w:shd w:val="clear" w:color="auto" w:fill="FDE9D9" w:themeFill="accent6" w:themeFillTint="33"/>
            <w:noWrap/>
            <w:hideMark/>
          </w:tcPr>
          <w:p w14:paraId="2DD8646E"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120</w:t>
            </w:r>
          </w:p>
        </w:tc>
      </w:tr>
      <w:tr w:rsidR="00644DE5" w:rsidRPr="00644DE5" w14:paraId="20346676" w14:textId="77777777" w:rsidTr="00B25F27">
        <w:trPr>
          <w:trHeight w:val="107"/>
        </w:trPr>
        <w:tc>
          <w:tcPr>
            <w:tcW w:w="313" w:type="dxa"/>
            <w:shd w:val="clear" w:color="auto" w:fill="FDE9D9" w:themeFill="accent6" w:themeFillTint="33"/>
            <w:noWrap/>
          </w:tcPr>
          <w:p w14:paraId="2757E6C2"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hideMark/>
          </w:tcPr>
          <w:p w14:paraId="723C5AD8"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sanctioned positions filled at State level</w:t>
            </w:r>
          </w:p>
        </w:tc>
        <w:tc>
          <w:tcPr>
            <w:tcW w:w="936" w:type="dxa"/>
            <w:shd w:val="clear" w:color="auto" w:fill="FDE9D9" w:themeFill="accent6" w:themeFillTint="33"/>
            <w:noWrap/>
            <w:hideMark/>
          </w:tcPr>
          <w:p w14:paraId="1075FD6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70%</w:t>
            </w:r>
          </w:p>
        </w:tc>
        <w:tc>
          <w:tcPr>
            <w:tcW w:w="990" w:type="dxa"/>
            <w:shd w:val="clear" w:color="auto" w:fill="FDE9D9" w:themeFill="accent6" w:themeFillTint="33"/>
            <w:noWrap/>
            <w:hideMark/>
          </w:tcPr>
          <w:p w14:paraId="1987A98C"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80%</w:t>
            </w:r>
          </w:p>
        </w:tc>
        <w:tc>
          <w:tcPr>
            <w:tcW w:w="990" w:type="dxa"/>
            <w:shd w:val="clear" w:color="auto" w:fill="FDE9D9" w:themeFill="accent6" w:themeFillTint="33"/>
            <w:noWrap/>
            <w:hideMark/>
          </w:tcPr>
          <w:p w14:paraId="048011C4"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c>
          <w:tcPr>
            <w:tcW w:w="990" w:type="dxa"/>
            <w:shd w:val="clear" w:color="auto" w:fill="FDE9D9" w:themeFill="accent6" w:themeFillTint="33"/>
            <w:noWrap/>
            <w:hideMark/>
          </w:tcPr>
          <w:p w14:paraId="40363EA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1019" w:type="dxa"/>
            <w:shd w:val="clear" w:color="auto" w:fill="FDE9D9" w:themeFill="accent6" w:themeFillTint="33"/>
            <w:noWrap/>
            <w:hideMark/>
          </w:tcPr>
          <w:p w14:paraId="7C0D89B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990" w:type="dxa"/>
            <w:shd w:val="clear" w:color="auto" w:fill="FDE9D9" w:themeFill="accent6" w:themeFillTint="33"/>
            <w:noWrap/>
            <w:hideMark/>
          </w:tcPr>
          <w:p w14:paraId="2E683806"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954" w:type="dxa"/>
            <w:shd w:val="clear" w:color="auto" w:fill="FDE9D9" w:themeFill="accent6" w:themeFillTint="33"/>
            <w:noWrap/>
            <w:hideMark/>
          </w:tcPr>
          <w:p w14:paraId="6F3A073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r>
      <w:tr w:rsidR="00644DE5" w:rsidRPr="00644DE5" w14:paraId="787ACCF4" w14:textId="77777777" w:rsidTr="00B25F27">
        <w:trPr>
          <w:trHeight w:val="70"/>
        </w:trPr>
        <w:tc>
          <w:tcPr>
            <w:tcW w:w="313" w:type="dxa"/>
            <w:shd w:val="clear" w:color="auto" w:fill="FDE9D9" w:themeFill="accent6" w:themeFillTint="33"/>
            <w:noWrap/>
          </w:tcPr>
          <w:p w14:paraId="154B7272"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hideMark/>
          </w:tcPr>
          <w:p w14:paraId="0A722E06"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sanctioned positions filled at district level</w:t>
            </w:r>
          </w:p>
        </w:tc>
        <w:tc>
          <w:tcPr>
            <w:tcW w:w="936" w:type="dxa"/>
            <w:shd w:val="clear" w:color="auto" w:fill="FDE9D9" w:themeFill="accent6" w:themeFillTint="33"/>
            <w:noWrap/>
            <w:hideMark/>
          </w:tcPr>
          <w:p w14:paraId="595C4EE8"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80%</w:t>
            </w:r>
          </w:p>
        </w:tc>
        <w:tc>
          <w:tcPr>
            <w:tcW w:w="990" w:type="dxa"/>
            <w:shd w:val="clear" w:color="auto" w:fill="FDE9D9" w:themeFill="accent6" w:themeFillTint="33"/>
            <w:noWrap/>
            <w:hideMark/>
          </w:tcPr>
          <w:p w14:paraId="454BF2FF"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c>
          <w:tcPr>
            <w:tcW w:w="990" w:type="dxa"/>
            <w:shd w:val="clear" w:color="auto" w:fill="FDE9D9" w:themeFill="accent6" w:themeFillTint="33"/>
            <w:noWrap/>
            <w:hideMark/>
          </w:tcPr>
          <w:p w14:paraId="0DB5FCE0"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990" w:type="dxa"/>
            <w:shd w:val="clear" w:color="auto" w:fill="FDE9D9" w:themeFill="accent6" w:themeFillTint="33"/>
            <w:noWrap/>
            <w:hideMark/>
          </w:tcPr>
          <w:p w14:paraId="19B2E7D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1019" w:type="dxa"/>
            <w:shd w:val="clear" w:color="auto" w:fill="FDE9D9" w:themeFill="accent6" w:themeFillTint="33"/>
            <w:noWrap/>
            <w:hideMark/>
          </w:tcPr>
          <w:p w14:paraId="7F758529"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990" w:type="dxa"/>
            <w:shd w:val="clear" w:color="auto" w:fill="FDE9D9" w:themeFill="accent6" w:themeFillTint="33"/>
            <w:noWrap/>
            <w:hideMark/>
          </w:tcPr>
          <w:p w14:paraId="5A827678"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c>
          <w:tcPr>
            <w:tcW w:w="954" w:type="dxa"/>
            <w:shd w:val="clear" w:color="auto" w:fill="FDE9D9" w:themeFill="accent6" w:themeFillTint="33"/>
            <w:noWrap/>
            <w:hideMark/>
          </w:tcPr>
          <w:p w14:paraId="5A07CE1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95%</w:t>
            </w:r>
          </w:p>
        </w:tc>
      </w:tr>
      <w:tr w:rsidR="00644DE5" w:rsidRPr="00644DE5" w14:paraId="1BC14D0C" w14:textId="77777777" w:rsidTr="00B25F27">
        <w:trPr>
          <w:trHeight w:val="70"/>
        </w:trPr>
        <w:tc>
          <w:tcPr>
            <w:tcW w:w="313" w:type="dxa"/>
            <w:shd w:val="clear" w:color="auto" w:fill="FDE9D9" w:themeFill="accent6" w:themeFillTint="33"/>
            <w:noWrap/>
          </w:tcPr>
          <w:p w14:paraId="1A15A31B"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hideMark/>
          </w:tcPr>
          <w:p w14:paraId="4B1EFD07"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Number of districts covered under patient provider support agency (PPSA)</w:t>
            </w:r>
          </w:p>
        </w:tc>
        <w:tc>
          <w:tcPr>
            <w:tcW w:w="936" w:type="dxa"/>
            <w:shd w:val="clear" w:color="auto" w:fill="FDE9D9" w:themeFill="accent6" w:themeFillTint="33"/>
            <w:noWrap/>
            <w:hideMark/>
          </w:tcPr>
          <w:p w14:paraId="7EDDD48C"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130</w:t>
            </w:r>
          </w:p>
        </w:tc>
        <w:tc>
          <w:tcPr>
            <w:tcW w:w="990" w:type="dxa"/>
            <w:shd w:val="clear" w:color="auto" w:fill="FDE9D9" w:themeFill="accent6" w:themeFillTint="33"/>
            <w:hideMark/>
          </w:tcPr>
          <w:p w14:paraId="1F300B5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200</w:t>
            </w:r>
          </w:p>
        </w:tc>
        <w:tc>
          <w:tcPr>
            <w:tcW w:w="990" w:type="dxa"/>
            <w:shd w:val="clear" w:color="auto" w:fill="FDE9D9" w:themeFill="accent6" w:themeFillTint="33"/>
            <w:hideMark/>
          </w:tcPr>
          <w:p w14:paraId="1130455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300</w:t>
            </w:r>
          </w:p>
        </w:tc>
        <w:tc>
          <w:tcPr>
            <w:tcW w:w="990" w:type="dxa"/>
            <w:shd w:val="clear" w:color="auto" w:fill="FDE9D9" w:themeFill="accent6" w:themeFillTint="33"/>
            <w:hideMark/>
          </w:tcPr>
          <w:p w14:paraId="03E1566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350</w:t>
            </w:r>
          </w:p>
        </w:tc>
        <w:tc>
          <w:tcPr>
            <w:tcW w:w="1019" w:type="dxa"/>
            <w:shd w:val="clear" w:color="auto" w:fill="FDE9D9" w:themeFill="accent6" w:themeFillTint="33"/>
            <w:hideMark/>
          </w:tcPr>
          <w:p w14:paraId="76BB820E"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350</w:t>
            </w:r>
          </w:p>
        </w:tc>
        <w:tc>
          <w:tcPr>
            <w:tcW w:w="990" w:type="dxa"/>
            <w:shd w:val="clear" w:color="auto" w:fill="FDE9D9" w:themeFill="accent6" w:themeFillTint="33"/>
            <w:hideMark/>
          </w:tcPr>
          <w:p w14:paraId="1279437B"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350</w:t>
            </w:r>
          </w:p>
        </w:tc>
        <w:tc>
          <w:tcPr>
            <w:tcW w:w="954" w:type="dxa"/>
            <w:shd w:val="clear" w:color="auto" w:fill="FDE9D9" w:themeFill="accent6" w:themeFillTint="33"/>
            <w:hideMark/>
          </w:tcPr>
          <w:p w14:paraId="511E8AD7"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350</w:t>
            </w:r>
          </w:p>
        </w:tc>
      </w:tr>
      <w:tr w:rsidR="00644DE5" w:rsidRPr="00644DE5" w14:paraId="4511C827" w14:textId="77777777" w:rsidTr="00B25F27">
        <w:trPr>
          <w:trHeight w:val="300"/>
        </w:trPr>
        <w:tc>
          <w:tcPr>
            <w:tcW w:w="313" w:type="dxa"/>
            <w:shd w:val="clear" w:color="auto" w:fill="FDE9D9" w:themeFill="accent6" w:themeFillTint="33"/>
            <w:noWrap/>
          </w:tcPr>
          <w:p w14:paraId="61B59143"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hideMark/>
          </w:tcPr>
          <w:p w14:paraId="0D929142"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PHIs reporting notification and drug consumption directly in Nikshay</w:t>
            </w:r>
          </w:p>
        </w:tc>
        <w:tc>
          <w:tcPr>
            <w:tcW w:w="936" w:type="dxa"/>
            <w:shd w:val="clear" w:color="auto" w:fill="FDE9D9" w:themeFill="accent6" w:themeFillTint="33"/>
            <w:noWrap/>
            <w:hideMark/>
          </w:tcPr>
          <w:p w14:paraId="4ADB434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50%</w:t>
            </w:r>
          </w:p>
        </w:tc>
        <w:tc>
          <w:tcPr>
            <w:tcW w:w="990" w:type="dxa"/>
            <w:shd w:val="clear" w:color="auto" w:fill="FDE9D9" w:themeFill="accent6" w:themeFillTint="33"/>
            <w:noWrap/>
            <w:hideMark/>
          </w:tcPr>
          <w:p w14:paraId="58AFE9E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80%</w:t>
            </w:r>
          </w:p>
        </w:tc>
        <w:tc>
          <w:tcPr>
            <w:tcW w:w="990" w:type="dxa"/>
            <w:shd w:val="clear" w:color="auto" w:fill="FDE9D9" w:themeFill="accent6" w:themeFillTint="33"/>
            <w:noWrap/>
            <w:hideMark/>
          </w:tcPr>
          <w:p w14:paraId="6FAC51B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90%</w:t>
            </w:r>
          </w:p>
        </w:tc>
        <w:tc>
          <w:tcPr>
            <w:tcW w:w="990" w:type="dxa"/>
            <w:shd w:val="clear" w:color="auto" w:fill="FDE9D9" w:themeFill="accent6" w:themeFillTint="33"/>
            <w:noWrap/>
            <w:hideMark/>
          </w:tcPr>
          <w:p w14:paraId="40C72E9F"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&gt;90%</w:t>
            </w:r>
          </w:p>
        </w:tc>
        <w:tc>
          <w:tcPr>
            <w:tcW w:w="1019" w:type="dxa"/>
            <w:shd w:val="clear" w:color="auto" w:fill="FDE9D9" w:themeFill="accent6" w:themeFillTint="33"/>
            <w:noWrap/>
            <w:hideMark/>
          </w:tcPr>
          <w:p w14:paraId="34546780"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&gt;90%</w:t>
            </w:r>
          </w:p>
        </w:tc>
        <w:tc>
          <w:tcPr>
            <w:tcW w:w="990" w:type="dxa"/>
            <w:shd w:val="clear" w:color="auto" w:fill="FDE9D9" w:themeFill="accent6" w:themeFillTint="33"/>
            <w:noWrap/>
            <w:hideMark/>
          </w:tcPr>
          <w:p w14:paraId="251355E5"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&gt;90%</w:t>
            </w:r>
          </w:p>
        </w:tc>
        <w:tc>
          <w:tcPr>
            <w:tcW w:w="954" w:type="dxa"/>
            <w:shd w:val="clear" w:color="auto" w:fill="FDE9D9" w:themeFill="accent6" w:themeFillTint="33"/>
            <w:noWrap/>
            <w:hideMark/>
          </w:tcPr>
          <w:p w14:paraId="71D2F51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&gt;90%</w:t>
            </w:r>
          </w:p>
        </w:tc>
      </w:tr>
      <w:tr w:rsidR="00644DE5" w:rsidRPr="00644DE5" w14:paraId="78D7F56B" w14:textId="77777777" w:rsidTr="00B25F27">
        <w:trPr>
          <w:trHeight w:val="98"/>
        </w:trPr>
        <w:tc>
          <w:tcPr>
            <w:tcW w:w="313" w:type="dxa"/>
            <w:shd w:val="clear" w:color="auto" w:fill="FDE9D9" w:themeFill="accent6" w:themeFillTint="33"/>
            <w:noWrap/>
          </w:tcPr>
          <w:p w14:paraId="5638549C"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tcPr>
          <w:p w14:paraId="4A12D9B6"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No. of districts covered under District Level Annual Survey</w:t>
            </w:r>
          </w:p>
        </w:tc>
        <w:tc>
          <w:tcPr>
            <w:tcW w:w="936" w:type="dxa"/>
            <w:shd w:val="clear" w:color="auto" w:fill="FDE9D9" w:themeFill="accent6" w:themeFillTint="33"/>
            <w:noWrap/>
          </w:tcPr>
          <w:p w14:paraId="5036EA5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0</w:t>
            </w:r>
          </w:p>
        </w:tc>
        <w:tc>
          <w:tcPr>
            <w:tcW w:w="990" w:type="dxa"/>
            <w:shd w:val="clear" w:color="auto" w:fill="FDE9D9" w:themeFill="accent6" w:themeFillTint="33"/>
            <w:noWrap/>
          </w:tcPr>
          <w:p w14:paraId="65C7FF0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0</w:t>
            </w:r>
          </w:p>
        </w:tc>
        <w:tc>
          <w:tcPr>
            <w:tcW w:w="990" w:type="dxa"/>
            <w:shd w:val="clear" w:color="auto" w:fill="FDE9D9" w:themeFill="accent6" w:themeFillTint="33"/>
            <w:noWrap/>
          </w:tcPr>
          <w:p w14:paraId="449005C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350</w:t>
            </w:r>
          </w:p>
        </w:tc>
        <w:tc>
          <w:tcPr>
            <w:tcW w:w="990" w:type="dxa"/>
            <w:shd w:val="clear" w:color="auto" w:fill="FDE9D9" w:themeFill="accent6" w:themeFillTint="33"/>
            <w:noWrap/>
          </w:tcPr>
          <w:p w14:paraId="6439EF97"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500</w:t>
            </w:r>
          </w:p>
        </w:tc>
        <w:tc>
          <w:tcPr>
            <w:tcW w:w="1019" w:type="dxa"/>
            <w:shd w:val="clear" w:color="auto" w:fill="FDE9D9" w:themeFill="accent6" w:themeFillTint="33"/>
            <w:noWrap/>
          </w:tcPr>
          <w:p w14:paraId="1DA9675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700</w:t>
            </w:r>
          </w:p>
        </w:tc>
        <w:tc>
          <w:tcPr>
            <w:tcW w:w="990" w:type="dxa"/>
            <w:shd w:val="clear" w:color="auto" w:fill="FDE9D9" w:themeFill="accent6" w:themeFillTint="33"/>
            <w:noWrap/>
          </w:tcPr>
          <w:p w14:paraId="06ED8B1C"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700</w:t>
            </w:r>
          </w:p>
        </w:tc>
        <w:tc>
          <w:tcPr>
            <w:tcW w:w="954" w:type="dxa"/>
            <w:shd w:val="clear" w:color="auto" w:fill="FDE9D9" w:themeFill="accent6" w:themeFillTint="33"/>
            <w:noWrap/>
          </w:tcPr>
          <w:p w14:paraId="61FE6E3D"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700</w:t>
            </w:r>
          </w:p>
        </w:tc>
      </w:tr>
      <w:tr w:rsidR="00644DE5" w:rsidRPr="00644DE5" w14:paraId="4AFEDFC0" w14:textId="77777777" w:rsidTr="00B25F27">
        <w:trPr>
          <w:trHeight w:val="70"/>
        </w:trPr>
        <w:tc>
          <w:tcPr>
            <w:tcW w:w="313" w:type="dxa"/>
            <w:shd w:val="clear" w:color="auto" w:fill="FDE9D9" w:themeFill="accent6" w:themeFillTint="33"/>
            <w:noWrap/>
          </w:tcPr>
          <w:p w14:paraId="0FEF1338"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hideMark/>
          </w:tcPr>
          <w:p w14:paraId="61C0FCDF"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Proportion of notified TB patients experiencing any stigma associated with TB disease</w:t>
            </w:r>
          </w:p>
        </w:tc>
        <w:tc>
          <w:tcPr>
            <w:tcW w:w="936" w:type="dxa"/>
            <w:shd w:val="clear" w:color="auto" w:fill="FDE9D9" w:themeFill="accent6" w:themeFillTint="33"/>
            <w:noWrap/>
          </w:tcPr>
          <w:p w14:paraId="43B1D35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40%</w:t>
            </w:r>
          </w:p>
        </w:tc>
        <w:tc>
          <w:tcPr>
            <w:tcW w:w="990" w:type="dxa"/>
            <w:shd w:val="clear" w:color="auto" w:fill="FDE9D9" w:themeFill="accent6" w:themeFillTint="33"/>
            <w:noWrap/>
          </w:tcPr>
          <w:p w14:paraId="1804E89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w:t>
            </w:r>
          </w:p>
        </w:tc>
        <w:tc>
          <w:tcPr>
            <w:tcW w:w="990" w:type="dxa"/>
            <w:shd w:val="clear" w:color="auto" w:fill="FDE9D9" w:themeFill="accent6" w:themeFillTint="33"/>
            <w:noWrap/>
          </w:tcPr>
          <w:p w14:paraId="0F5C206F"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ahoma" w:eastAsia="Times New Roman" w:hAnsi="Tahoma" w:cs="Tahoma"/>
                <w:sz w:val="22"/>
                <w:lang w:eastAsia="en-IN"/>
              </w:rPr>
              <w:t>ↆↆↆ</w:t>
            </w:r>
          </w:p>
        </w:tc>
        <w:tc>
          <w:tcPr>
            <w:tcW w:w="990" w:type="dxa"/>
            <w:shd w:val="clear" w:color="auto" w:fill="FDE9D9" w:themeFill="accent6" w:themeFillTint="33"/>
            <w:noWrap/>
          </w:tcPr>
          <w:p w14:paraId="5C54F68C"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w:t>
            </w:r>
          </w:p>
        </w:tc>
        <w:tc>
          <w:tcPr>
            <w:tcW w:w="1019" w:type="dxa"/>
            <w:shd w:val="clear" w:color="auto" w:fill="FDE9D9" w:themeFill="accent6" w:themeFillTint="33"/>
            <w:noWrap/>
          </w:tcPr>
          <w:p w14:paraId="428349D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ahoma" w:eastAsia="Times New Roman" w:hAnsi="Tahoma" w:cs="Tahoma"/>
                <w:sz w:val="22"/>
                <w:lang w:eastAsia="en-IN"/>
              </w:rPr>
              <w:t>ↆↆↆ</w:t>
            </w:r>
          </w:p>
        </w:tc>
        <w:tc>
          <w:tcPr>
            <w:tcW w:w="990" w:type="dxa"/>
            <w:shd w:val="clear" w:color="auto" w:fill="FDE9D9" w:themeFill="accent6" w:themeFillTint="33"/>
            <w:noWrap/>
          </w:tcPr>
          <w:p w14:paraId="41B506BD"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w:t>
            </w:r>
          </w:p>
        </w:tc>
        <w:tc>
          <w:tcPr>
            <w:tcW w:w="954" w:type="dxa"/>
            <w:shd w:val="clear" w:color="auto" w:fill="FDE9D9" w:themeFill="accent6" w:themeFillTint="33"/>
            <w:noWrap/>
          </w:tcPr>
          <w:p w14:paraId="58D052A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ahoma" w:eastAsia="Times New Roman" w:hAnsi="Tahoma" w:cs="Tahoma"/>
                <w:sz w:val="22"/>
                <w:lang w:eastAsia="en-IN"/>
              </w:rPr>
              <w:t>ↆↆↆ</w:t>
            </w:r>
          </w:p>
        </w:tc>
      </w:tr>
      <w:tr w:rsidR="00644DE5" w:rsidRPr="00644DE5" w14:paraId="1CC6CD8A" w14:textId="77777777" w:rsidTr="00B25F27">
        <w:trPr>
          <w:trHeight w:val="70"/>
        </w:trPr>
        <w:tc>
          <w:tcPr>
            <w:tcW w:w="313" w:type="dxa"/>
            <w:shd w:val="clear" w:color="auto" w:fill="FDE9D9" w:themeFill="accent6" w:themeFillTint="33"/>
            <w:noWrap/>
          </w:tcPr>
          <w:p w14:paraId="2EDAACDB" w14:textId="77777777" w:rsidR="00644DE5" w:rsidRPr="00644DE5" w:rsidRDefault="00644DE5" w:rsidP="009136E5">
            <w:pPr>
              <w:pStyle w:val="ListParagraph"/>
              <w:numPr>
                <w:ilvl w:val="0"/>
                <w:numId w:val="112"/>
              </w:numPr>
              <w:spacing w:before="0" w:after="0"/>
              <w:rPr>
                <w:rFonts w:asciiTheme="minorHAnsi" w:eastAsia="Times New Roman" w:hAnsiTheme="minorHAnsi" w:cstheme="minorHAnsi"/>
                <w:sz w:val="22"/>
                <w:szCs w:val="20"/>
                <w:lang w:eastAsia="en-IN"/>
              </w:rPr>
            </w:pPr>
          </w:p>
        </w:tc>
        <w:tc>
          <w:tcPr>
            <w:tcW w:w="3330" w:type="dxa"/>
            <w:shd w:val="clear" w:color="auto" w:fill="FDE9D9" w:themeFill="accent6" w:themeFillTint="33"/>
          </w:tcPr>
          <w:p w14:paraId="16261AD0" w14:textId="77777777" w:rsidR="00644DE5" w:rsidRPr="00644DE5" w:rsidRDefault="00644DE5" w:rsidP="00644DE5">
            <w:pPr>
              <w:spacing w:before="0" w:after="0"/>
              <w:rPr>
                <w:rFonts w:asciiTheme="minorHAnsi" w:eastAsia="Times New Roman" w:hAnsiTheme="minorHAnsi" w:cstheme="minorHAnsi"/>
                <w:sz w:val="22"/>
                <w:szCs w:val="20"/>
                <w:lang w:eastAsia="en-IN"/>
              </w:rPr>
            </w:pPr>
            <w:r w:rsidRPr="00644DE5">
              <w:rPr>
                <w:rFonts w:asciiTheme="minorHAnsi" w:eastAsia="Times New Roman" w:hAnsiTheme="minorHAnsi" w:cstheme="minorHAnsi"/>
                <w:sz w:val="22"/>
                <w:szCs w:val="20"/>
                <w:lang w:eastAsia="en-IN"/>
              </w:rPr>
              <w:t>No. of TB champions trained and engaged in NTEP</w:t>
            </w:r>
          </w:p>
        </w:tc>
        <w:tc>
          <w:tcPr>
            <w:tcW w:w="936" w:type="dxa"/>
            <w:shd w:val="clear" w:color="auto" w:fill="FDE9D9" w:themeFill="accent6" w:themeFillTint="33"/>
            <w:noWrap/>
          </w:tcPr>
          <w:p w14:paraId="4EDF5B74"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300</w:t>
            </w:r>
          </w:p>
        </w:tc>
        <w:tc>
          <w:tcPr>
            <w:tcW w:w="990" w:type="dxa"/>
            <w:shd w:val="clear" w:color="auto" w:fill="FDE9D9" w:themeFill="accent6" w:themeFillTint="33"/>
            <w:noWrap/>
          </w:tcPr>
          <w:p w14:paraId="69C44C53"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1500</w:t>
            </w:r>
          </w:p>
        </w:tc>
        <w:tc>
          <w:tcPr>
            <w:tcW w:w="990" w:type="dxa"/>
            <w:shd w:val="clear" w:color="auto" w:fill="FDE9D9" w:themeFill="accent6" w:themeFillTint="33"/>
            <w:noWrap/>
          </w:tcPr>
          <w:p w14:paraId="2AB10E87"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2000</w:t>
            </w:r>
          </w:p>
        </w:tc>
        <w:tc>
          <w:tcPr>
            <w:tcW w:w="990" w:type="dxa"/>
            <w:shd w:val="clear" w:color="auto" w:fill="FDE9D9" w:themeFill="accent6" w:themeFillTint="33"/>
            <w:noWrap/>
          </w:tcPr>
          <w:p w14:paraId="65872CFA"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2500</w:t>
            </w:r>
          </w:p>
        </w:tc>
        <w:tc>
          <w:tcPr>
            <w:tcW w:w="1019" w:type="dxa"/>
            <w:shd w:val="clear" w:color="auto" w:fill="FDE9D9" w:themeFill="accent6" w:themeFillTint="33"/>
            <w:noWrap/>
          </w:tcPr>
          <w:p w14:paraId="0DD56E28"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3000</w:t>
            </w:r>
          </w:p>
        </w:tc>
        <w:tc>
          <w:tcPr>
            <w:tcW w:w="990" w:type="dxa"/>
            <w:shd w:val="clear" w:color="auto" w:fill="FDE9D9" w:themeFill="accent6" w:themeFillTint="33"/>
            <w:noWrap/>
          </w:tcPr>
          <w:p w14:paraId="4FEFA742"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4000</w:t>
            </w:r>
          </w:p>
        </w:tc>
        <w:tc>
          <w:tcPr>
            <w:tcW w:w="954" w:type="dxa"/>
            <w:shd w:val="clear" w:color="auto" w:fill="FDE9D9" w:themeFill="accent6" w:themeFillTint="33"/>
            <w:noWrap/>
          </w:tcPr>
          <w:p w14:paraId="37F067B1" w14:textId="77777777" w:rsidR="00644DE5" w:rsidRPr="00644DE5" w:rsidRDefault="00644DE5" w:rsidP="00644DE5">
            <w:pPr>
              <w:spacing w:before="0" w:after="0"/>
              <w:jc w:val="center"/>
              <w:rPr>
                <w:rFonts w:asciiTheme="minorHAnsi" w:eastAsia="Times New Roman" w:hAnsiTheme="minorHAnsi" w:cstheme="minorHAnsi"/>
                <w:sz w:val="22"/>
                <w:lang w:eastAsia="en-IN"/>
              </w:rPr>
            </w:pPr>
            <w:r w:rsidRPr="00644DE5">
              <w:rPr>
                <w:rFonts w:asciiTheme="minorHAnsi" w:eastAsia="Times New Roman" w:hAnsiTheme="minorHAnsi" w:cstheme="minorHAnsi"/>
                <w:sz w:val="22"/>
                <w:lang w:eastAsia="en-IN"/>
              </w:rPr>
              <w:t>5000</w:t>
            </w:r>
          </w:p>
        </w:tc>
      </w:tr>
    </w:tbl>
    <w:p w14:paraId="6CC32471" w14:textId="77777777" w:rsidR="00FF152F" w:rsidRDefault="00FF152F" w:rsidP="00BA0BB2">
      <w:pPr>
        <w:spacing w:before="0" w:after="0"/>
        <w:jc w:val="both"/>
        <w:rPr>
          <w:rFonts w:asciiTheme="minorHAnsi" w:hAnsiTheme="minorHAnsi" w:cstheme="minorHAnsi"/>
          <w:sz w:val="22"/>
        </w:rPr>
      </w:pPr>
    </w:p>
    <w:p w14:paraId="110EFE13" w14:textId="2009110C" w:rsidR="00AB5192" w:rsidRDefault="00A60011">
      <w:pPr>
        <w:spacing w:before="0" w:after="0"/>
        <w:rPr>
          <w:rFonts w:asciiTheme="minorHAnsi" w:eastAsia="Times New Roman" w:hAnsiTheme="minorHAnsi" w:cstheme="minorHAnsi"/>
          <w:b/>
          <w:caps/>
          <w:snapToGrid w:val="0"/>
          <w:sz w:val="36"/>
          <w:szCs w:val="28"/>
        </w:rPr>
      </w:pPr>
      <w:r>
        <w:rPr>
          <w:rFonts w:asciiTheme="minorHAnsi" w:hAnsiTheme="minorHAnsi" w:cstheme="minorHAnsi"/>
          <w:b/>
          <w:noProof/>
          <w:sz w:val="28"/>
          <w:szCs w:val="28"/>
          <w:lang w:val="en-IN" w:eastAsia="en-IN"/>
        </w:rPr>
        <w:lastRenderedPageBreak/>
        <mc:AlternateContent>
          <mc:Choice Requires="wps">
            <w:drawing>
              <wp:anchor distT="0" distB="0" distL="114300" distR="114300" simplePos="0" relativeHeight="251656192" behindDoc="0" locked="0" layoutInCell="1" allowOverlap="1" wp14:anchorId="16DFC078" wp14:editId="3839D717">
                <wp:simplePos x="0" y="0"/>
                <wp:positionH relativeFrom="column">
                  <wp:posOffset>-588010</wp:posOffset>
                </wp:positionH>
                <wp:positionV relativeFrom="paragraph">
                  <wp:posOffset>-537210</wp:posOffset>
                </wp:positionV>
                <wp:extent cx="6878955" cy="9796780"/>
                <wp:effectExtent l="0" t="0" r="17145" b="1397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9796780"/>
                        </a:xfrm>
                        <a:prstGeom prst="rect">
                          <a:avLst/>
                        </a:prstGeom>
                        <a:solidFill>
                          <a:schemeClr val="tx2">
                            <a:lumMod val="75000"/>
                          </a:schemeClr>
                        </a:solidFill>
                        <a:ln w="9525">
                          <a:solidFill>
                            <a:schemeClr val="tx2">
                              <a:lumMod val="75000"/>
                            </a:schemeClr>
                          </a:solidFill>
                          <a:miter lim="800000"/>
                          <a:headEnd/>
                          <a:tailEnd/>
                        </a:ln>
                      </wps:spPr>
                      <wps:txbx>
                        <w:txbxContent>
                          <w:p w14:paraId="36B02654" w14:textId="77777777" w:rsidR="00D55F8F" w:rsidRPr="00EF09B4" w:rsidRDefault="00D55F8F" w:rsidP="00841EF2">
                            <w:pPr>
                              <w:shd w:val="clear" w:color="auto" w:fill="17365D" w:themeFill="text2" w:themeFillShade="BF"/>
                              <w:jc w:val="right"/>
                              <w:rPr>
                                <w:color w:val="FFFFFF" w:themeColor="background1"/>
                                <w:sz w:val="144"/>
                                <w:szCs w:val="144"/>
                                <w:lang w:val="en-GB"/>
                              </w:rPr>
                            </w:pPr>
                          </w:p>
                          <w:p w14:paraId="36FCA4A8" w14:textId="607C8365" w:rsidR="00D55F8F" w:rsidRPr="00F74542" w:rsidRDefault="00D55F8F" w:rsidP="00841EF2">
                            <w:pPr>
                              <w:pStyle w:val="Heading1"/>
                              <w:shd w:val="clear" w:color="auto" w:fill="17365D" w:themeFill="text2" w:themeFillShade="BF"/>
                              <w:tabs>
                                <w:tab w:val="num" w:pos="5670"/>
                              </w:tabs>
                              <w:spacing w:after="360"/>
                              <w:rPr>
                                <w:rFonts w:ascii="Myriad Pro Cond" w:hAnsi="Myriad Pro Cond" w:cstheme="minorHAnsi"/>
                                <w:b/>
                                <w:snapToGrid w:val="0"/>
                                <w:color w:val="auto"/>
                                <w:szCs w:val="144"/>
                              </w:rPr>
                            </w:pPr>
                            <w:r w:rsidRPr="00F74542">
                              <w:rPr>
                                <w:rFonts w:ascii="Myriad Pro Cond" w:hAnsi="Myriad Pro Cond" w:cstheme="minorHAnsi"/>
                                <w:b/>
                                <w:snapToGrid w:val="0"/>
                                <w:color w:val="auto"/>
                                <w:szCs w:val="144"/>
                              </w:rPr>
                              <w:t>NSP PILLAR</w:t>
                            </w:r>
                            <w:r>
                              <w:rPr>
                                <w:rFonts w:ascii="Myriad Pro Cond" w:hAnsi="Myriad Pro Cond" w:cstheme="minorHAnsi"/>
                                <w:b/>
                                <w:snapToGrid w:val="0"/>
                                <w:color w:val="auto"/>
                                <w:szCs w:val="144"/>
                              </w:rPr>
                              <w:t xml:space="preserve"> 1</w:t>
                            </w:r>
                          </w:p>
                          <w:p w14:paraId="1EBB3D76" w14:textId="5BC71A73" w:rsidR="00D55F8F" w:rsidRPr="0015012E" w:rsidRDefault="00D55F8F" w:rsidP="00841EF2">
                            <w:pPr>
                              <w:pStyle w:val="Heading1"/>
                              <w:shd w:val="clear" w:color="auto" w:fill="17365D" w:themeFill="text2" w:themeFillShade="BF"/>
                              <w:tabs>
                                <w:tab w:val="num" w:pos="5670"/>
                              </w:tabs>
                              <w:rPr>
                                <w:rFonts w:ascii="Myriad Pro Cond" w:hAnsi="Myriad Pro Cond" w:cstheme="minorHAnsi"/>
                                <w:b/>
                                <w:snapToGrid w:val="0"/>
                                <w:color w:val="auto"/>
                                <w:sz w:val="180"/>
                                <w:szCs w:val="144"/>
                              </w:rPr>
                            </w:pPr>
                            <w:r>
                              <w:rPr>
                                <w:rFonts w:ascii="Myriad Pro Cond" w:hAnsi="Myriad Pro Cond" w:cstheme="minorHAnsi"/>
                                <w:b/>
                                <w:snapToGrid w:val="0"/>
                                <w:color w:val="auto"/>
                                <w:sz w:val="180"/>
                                <w:szCs w:val="144"/>
                              </w:rPr>
                              <w:t>BUILD</w:t>
                            </w:r>
                          </w:p>
                          <w:p w14:paraId="103189EC" w14:textId="77777777" w:rsidR="00D55F8F" w:rsidRPr="00713F88" w:rsidRDefault="00D55F8F" w:rsidP="00841EF2">
                            <w:pPr>
                              <w:shd w:val="clear" w:color="auto" w:fill="17365D" w:themeFill="text2" w:themeFillShade="BF"/>
                              <w:ind w:left="144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ab/>
                            </w:r>
                          </w:p>
                        </w:txbxContent>
                      </wps:txbx>
                      <wps:bodyPr rot="0" vert="horz" wrap="square" lIns="91440" tIns="45720" rIns="4572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FC078" id="_x0000_s1028" type="#_x0000_t202" style="position:absolute;margin-left:-46.3pt;margin-top:-42.3pt;width:541.65pt;height:77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" fillcolor="#17365d [2415]" strokecolor="#17365d [2415]">
                <v:textbox inset=",,36pt">
                  <w:txbxContent>
                    <w:p w14:paraId="36B02654" w14:textId="77777777" w:rsidR="00D55F8F" w:rsidRPr="00EF09B4" w:rsidRDefault="00D55F8F" w:rsidP="00841EF2">
                      <w:pPr>
                        <w:shd w:val="clear" w:color="auto" w:fill="17365D" w:themeFill="text2" w:themeFillShade="BF"/>
                        <w:jc w:val="right"/>
                        <w:rPr>
                          <w:color w:val="FFFFFF" w:themeColor="background1"/>
                          <w:sz w:val="144"/>
                          <w:szCs w:val="144"/>
                          <w:lang w:val="en-GB"/>
                        </w:rPr>
                      </w:pPr>
                    </w:p>
                    <w:p w14:paraId="36FCA4A8" w14:textId="607C8365" w:rsidR="00D55F8F" w:rsidRPr="00F74542" w:rsidRDefault="00D55F8F" w:rsidP="00841EF2">
                      <w:pPr>
                        <w:pStyle w:val="Heading1"/>
                        <w:shd w:val="clear" w:color="auto" w:fill="17365D" w:themeFill="text2" w:themeFillShade="BF"/>
                        <w:tabs>
                          <w:tab w:val="num" w:pos="5670"/>
                        </w:tabs>
                        <w:spacing w:after="360"/>
                        <w:rPr>
                          <w:rFonts w:ascii="Myriad Pro Cond" w:hAnsi="Myriad Pro Cond" w:cstheme="minorHAnsi"/>
                          <w:b/>
                          <w:snapToGrid w:val="0"/>
                          <w:color w:val="auto"/>
                          <w:szCs w:val="144"/>
                        </w:rPr>
                      </w:pPr>
                      <w:r w:rsidRPr="00F74542">
                        <w:rPr>
                          <w:rFonts w:ascii="Myriad Pro Cond" w:hAnsi="Myriad Pro Cond" w:cstheme="minorHAnsi"/>
                          <w:b/>
                          <w:snapToGrid w:val="0"/>
                          <w:color w:val="auto"/>
                          <w:szCs w:val="144"/>
                        </w:rPr>
                        <w:t>NSP PILLAR</w:t>
                      </w:r>
                      <w:r>
                        <w:rPr>
                          <w:rFonts w:ascii="Myriad Pro Cond" w:hAnsi="Myriad Pro Cond" w:cstheme="minorHAnsi"/>
                          <w:b/>
                          <w:snapToGrid w:val="0"/>
                          <w:color w:val="auto"/>
                          <w:szCs w:val="144"/>
                        </w:rPr>
                        <w:t xml:space="preserve"> 1</w:t>
                      </w:r>
                    </w:p>
                    <w:p w14:paraId="1EBB3D76" w14:textId="5BC71A73" w:rsidR="00D55F8F" w:rsidRPr="0015012E" w:rsidRDefault="00D55F8F" w:rsidP="00841EF2">
                      <w:pPr>
                        <w:pStyle w:val="Heading1"/>
                        <w:shd w:val="clear" w:color="auto" w:fill="17365D" w:themeFill="text2" w:themeFillShade="BF"/>
                        <w:tabs>
                          <w:tab w:val="num" w:pos="5670"/>
                        </w:tabs>
                        <w:rPr>
                          <w:rFonts w:ascii="Myriad Pro Cond" w:hAnsi="Myriad Pro Cond" w:cstheme="minorHAnsi"/>
                          <w:b/>
                          <w:snapToGrid w:val="0"/>
                          <w:color w:val="auto"/>
                          <w:sz w:val="180"/>
                          <w:szCs w:val="144"/>
                        </w:rPr>
                      </w:pPr>
                      <w:r>
                        <w:rPr>
                          <w:rFonts w:ascii="Myriad Pro Cond" w:hAnsi="Myriad Pro Cond" w:cstheme="minorHAnsi"/>
                          <w:b/>
                          <w:snapToGrid w:val="0"/>
                          <w:color w:val="auto"/>
                          <w:sz w:val="180"/>
                          <w:szCs w:val="144"/>
                        </w:rPr>
                        <w:t>BUILD</w:t>
                      </w:r>
                    </w:p>
                    <w:p w14:paraId="103189EC" w14:textId="77777777" w:rsidR="00D55F8F" w:rsidRPr="00713F88" w:rsidRDefault="00D55F8F" w:rsidP="00841EF2">
                      <w:pPr>
                        <w:shd w:val="clear" w:color="auto" w:fill="17365D" w:themeFill="text2" w:themeFillShade="BF"/>
                        <w:ind w:left="144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ab/>
                      </w:r>
                    </w:p>
                  </w:txbxContent>
                </v:textbox>
                <w10:wrap type="topAndBottom"/>
              </v:shape>
            </w:pict>
          </mc:Fallback>
        </mc:AlternateContent>
      </w:r>
      <w:r w:rsidR="00AB5192">
        <w:rPr>
          <w:rFonts w:asciiTheme="minorHAnsi" w:hAnsiTheme="minorHAnsi" w:cstheme="minorHAnsi"/>
          <w:b/>
          <w:snapToGrid w:val="0"/>
          <w:sz w:val="36"/>
        </w:rPr>
        <w:br w:type="page"/>
      </w:r>
    </w:p>
    <w:p w14:paraId="0982155E" w14:textId="6C2C210E" w:rsidR="00061D34" w:rsidRDefault="00061D34" w:rsidP="00061D34">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B65B0C">
        <w:rPr>
          <w:rFonts w:asciiTheme="minorHAnsi" w:hAnsiTheme="minorHAnsi" w:cstheme="minorHAnsi"/>
          <w:b/>
          <w:snapToGrid w:val="0"/>
          <w:color w:val="auto"/>
          <w:sz w:val="36"/>
        </w:rPr>
        <w:t>8</w:t>
      </w:r>
      <w:r w:rsidRPr="00734B6A">
        <w:rPr>
          <w:rFonts w:asciiTheme="minorHAnsi" w:hAnsiTheme="minorHAnsi" w:cstheme="minorHAnsi"/>
          <w:b/>
          <w:snapToGrid w:val="0"/>
          <w:color w:val="auto"/>
          <w:sz w:val="36"/>
        </w:rPr>
        <w:t xml:space="preserve"> </w:t>
      </w:r>
    </w:p>
    <w:p w14:paraId="1194F968" w14:textId="02E1886A" w:rsidR="006B7923" w:rsidRPr="006B7923" w:rsidRDefault="006B7923" w:rsidP="00681D3D">
      <w:pPr>
        <w:shd w:val="clear" w:color="auto" w:fill="17365D" w:themeFill="text2" w:themeFillShade="BF"/>
        <w:spacing w:before="0" w:after="0"/>
        <w:jc w:val="right"/>
        <w:rPr>
          <w:b/>
          <w:sz w:val="28"/>
        </w:rPr>
      </w:pPr>
      <w:r>
        <w:rPr>
          <w:b/>
          <w:sz w:val="28"/>
        </w:rPr>
        <w:t xml:space="preserve">NSP </w:t>
      </w:r>
      <w:r w:rsidRPr="006B7923">
        <w:rPr>
          <w:b/>
          <w:sz w:val="28"/>
        </w:rPr>
        <w:t>STRATEGIC AREA 1.1</w:t>
      </w:r>
    </w:p>
    <w:p w14:paraId="5E7A7D21" w14:textId="154AD56F" w:rsidR="00061D34" w:rsidRPr="00734B6A" w:rsidRDefault="00061D34" w:rsidP="00061D34">
      <w:pPr>
        <w:pStyle w:val="Heading1"/>
        <w:tabs>
          <w:tab w:val="num" w:pos="5670"/>
        </w:tabs>
        <w:ind w:left="2880" w:hanging="1800"/>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sidR="005C2525">
        <w:rPr>
          <w:rFonts w:asciiTheme="minorHAnsi" w:hAnsiTheme="minorHAnsi" w:cstheme="minorHAnsi"/>
          <w:b/>
          <w:snapToGrid w:val="0"/>
          <w:color w:val="auto"/>
        </w:rPr>
        <w:t>Ensure</w:t>
      </w:r>
      <w:r>
        <w:rPr>
          <w:rFonts w:asciiTheme="minorHAnsi" w:hAnsiTheme="minorHAnsi" w:cstheme="minorHAnsi"/>
          <w:b/>
          <w:snapToGrid w:val="0"/>
          <w:color w:val="auto"/>
        </w:rPr>
        <w:t xml:space="preserve"> a fully funded NSP </w:t>
      </w:r>
    </w:p>
    <w:p w14:paraId="31D7050D" w14:textId="77777777" w:rsidR="005A0FA2" w:rsidRPr="005A0FA2" w:rsidRDefault="005A0FA2" w:rsidP="00442A67">
      <w:pPr>
        <w:pStyle w:val="ListParagraph"/>
        <w:numPr>
          <w:ilvl w:val="0"/>
          <w:numId w:val="19"/>
        </w:numPr>
        <w:shd w:val="clear" w:color="auto" w:fill="C6D9F1" w:themeFill="text2" w:themeFillTint="33"/>
        <w:contextualSpacing w:val="0"/>
        <w:jc w:val="both"/>
        <w:rPr>
          <w:rFonts w:asciiTheme="minorHAnsi" w:hAnsiTheme="minorHAnsi" w:cstheme="minorHAnsi"/>
          <w:b/>
          <w:vanish/>
          <w:sz w:val="28"/>
          <w:lang w:val="en"/>
        </w:rPr>
      </w:pPr>
    </w:p>
    <w:p w14:paraId="674B2067" w14:textId="209FE9BF" w:rsidR="00DD4576" w:rsidRPr="00EC3830" w:rsidRDefault="00DD4576" w:rsidP="00C45A90">
      <w:pPr>
        <w:jc w:val="both"/>
        <w:rPr>
          <w:rFonts w:asciiTheme="minorHAnsi" w:hAnsiTheme="minorHAnsi" w:cstheme="minorHAnsi"/>
          <w:b/>
          <w:color w:val="C86A07" w:themeColor="accent2" w:themeShade="BF"/>
          <w:sz w:val="28"/>
          <w:lang w:val="en"/>
        </w:rPr>
      </w:pPr>
      <w:r w:rsidRPr="00EC3830">
        <w:rPr>
          <w:rFonts w:asciiTheme="minorHAnsi" w:hAnsiTheme="minorHAnsi" w:cstheme="minorHAnsi"/>
          <w:b/>
          <w:color w:val="C86A07" w:themeColor="accent2" w:themeShade="BF"/>
          <w:sz w:val="28"/>
          <w:lang w:val="en"/>
        </w:rPr>
        <w:t>THE PROGRESS SO FAR</w:t>
      </w:r>
    </w:p>
    <w:p w14:paraId="260B3331" w14:textId="3BE8871A" w:rsidR="003D06A8" w:rsidRPr="00073CDC" w:rsidRDefault="00073CDC" w:rsidP="00613847">
      <w:pPr>
        <w:spacing w:before="0"/>
        <w:jc w:val="both"/>
        <w:rPr>
          <w:rFonts w:asciiTheme="minorHAnsi" w:hAnsiTheme="minorHAnsi" w:cstheme="minorHAnsi"/>
          <w:kern w:val="24"/>
          <w:sz w:val="22"/>
          <w:lang w:val="en" w:eastAsia="en-IN"/>
        </w:rPr>
      </w:pPr>
      <w:r>
        <w:rPr>
          <w:rFonts w:asciiTheme="minorHAnsi" w:hAnsiTheme="minorHAnsi" w:cstheme="minorHAnsi"/>
          <w:kern w:val="24"/>
          <w:sz w:val="22"/>
          <w:lang w:val="en" w:eastAsia="en-IN"/>
        </w:rPr>
        <w:t xml:space="preserve">Over the last three years since the aspirational and bold NSP 2017 2025 was </w:t>
      </w:r>
      <w:r w:rsidR="008965FD">
        <w:rPr>
          <w:rFonts w:asciiTheme="minorHAnsi" w:hAnsiTheme="minorHAnsi" w:cstheme="minorHAnsi"/>
          <w:kern w:val="24"/>
          <w:sz w:val="22"/>
          <w:lang w:val="en" w:eastAsia="en-IN"/>
        </w:rPr>
        <w:t>adopted by the</w:t>
      </w:r>
      <w:r>
        <w:rPr>
          <w:rFonts w:asciiTheme="minorHAnsi" w:hAnsiTheme="minorHAnsi" w:cstheme="minorHAnsi"/>
          <w:kern w:val="24"/>
          <w:sz w:val="22"/>
          <w:lang w:val="en" w:eastAsia="en-IN"/>
        </w:rPr>
        <w:t xml:space="preserve"> Government, t</w:t>
      </w:r>
      <w:r w:rsidR="003D06A8" w:rsidRPr="00073CDC">
        <w:rPr>
          <w:rFonts w:asciiTheme="minorHAnsi" w:hAnsiTheme="minorHAnsi" w:cstheme="minorHAnsi"/>
          <w:kern w:val="24"/>
          <w:sz w:val="22"/>
          <w:lang w:val="en" w:eastAsia="en-IN"/>
        </w:rPr>
        <w:t>here is</w:t>
      </w:r>
      <w:r>
        <w:rPr>
          <w:rFonts w:asciiTheme="minorHAnsi" w:hAnsiTheme="minorHAnsi" w:cstheme="minorHAnsi"/>
          <w:kern w:val="24"/>
          <w:sz w:val="22"/>
          <w:lang w:val="en" w:eastAsia="en-IN"/>
        </w:rPr>
        <w:t xml:space="preserve"> a</w:t>
      </w:r>
      <w:r w:rsidR="003D06A8" w:rsidRPr="00073CDC">
        <w:rPr>
          <w:rFonts w:asciiTheme="minorHAnsi" w:hAnsiTheme="minorHAnsi" w:cstheme="minorHAnsi"/>
          <w:kern w:val="24"/>
          <w:sz w:val="22"/>
          <w:lang w:val="en" w:eastAsia="en-IN"/>
        </w:rPr>
        <w:t xml:space="preserve"> strong political commitment at the highest levels that is matched by financial commitment.</w:t>
      </w:r>
      <w:r>
        <w:rPr>
          <w:rFonts w:asciiTheme="minorHAnsi" w:hAnsiTheme="minorHAnsi" w:cstheme="minorHAnsi"/>
          <w:kern w:val="24"/>
          <w:sz w:val="22"/>
          <w:lang w:val="en" w:eastAsia="en-IN"/>
        </w:rPr>
        <w:t xml:space="preserve"> </w:t>
      </w:r>
      <w:r w:rsidR="003D06A8" w:rsidRPr="00073CDC">
        <w:rPr>
          <w:rFonts w:asciiTheme="minorHAnsi" w:hAnsiTheme="minorHAnsi" w:cstheme="minorHAnsi"/>
          <w:kern w:val="24"/>
          <w:sz w:val="22"/>
          <w:lang w:val="en" w:eastAsia="en-IN"/>
        </w:rPr>
        <w:t xml:space="preserve">A rapid budget increase from 2015 to 2019 was quickly implemented to support the </w:t>
      </w:r>
      <w:r w:rsidRPr="00073CDC">
        <w:rPr>
          <w:rFonts w:asciiTheme="minorHAnsi" w:hAnsiTheme="minorHAnsi" w:cstheme="minorHAnsi"/>
          <w:kern w:val="24"/>
          <w:sz w:val="22"/>
          <w:lang w:val="en" w:eastAsia="en-IN"/>
        </w:rPr>
        <w:t>ambitious goals</w:t>
      </w:r>
      <w:r w:rsidR="003D06A8" w:rsidRPr="00073CDC">
        <w:rPr>
          <w:rFonts w:asciiTheme="minorHAnsi" w:hAnsiTheme="minorHAnsi" w:cstheme="minorHAnsi"/>
          <w:kern w:val="24"/>
          <w:sz w:val="22"/>
          <w:lang w:val="en" w:eastAsia="en-IN"/>
        </w:rPr>
        <w:t xml:space="preserve"> of the NSP (2017-2025).  The </w:t>
      </w:r>
      <w:r w:rsidR="007B135B" w:rsidRPr="00073CDC">
        <w:rPr>
          <w:rFonts w:asciiTheme="minorHAnsi" w:hAnsiTheme="minorHAnsi" w:cstheme="minorHAnsi"/>
          <w:kern w:val="24"/>
          <w:sz w:val="22"/>
          <w:lang w:val="en" w:eastAsia="en-IN"/>
        </w:rPr>
        <w:t>NTEP</w:t>
      </w:r>
      <w:r w:rsidR="003D06A8" w:rsidRPr="00073CDC">
        <w:rPr>
          <w:rFonts w:asciiTheme="minorHAnsi" w:hAnsiTheme="minorHAnsi" w:cstheme="minorHAnsi"/>
          <w:kern w:val="24"/>
          <w:sz w:val="22"/>
          <w:lang w:val="en" w:eastAsia="en-IN"/>
        </w:rPr>
        <w:t xml:space="preserve"> budget more than doubled since the launch of the NSP (see figure </w:t>
      </w:r>
      <w:r w:rsidR="001721D0">
        <w:rPr>
          <w:rFonts w:asciiTheme="minorHAnsi" w:hAnsiTheme="minorHAnsi" w:cstheme="minorHAnsi"/>
          <w:kern w:val="24"/>
          <w:sz w:val="22"/>
          <w:lang w:val="en" w:eastAsia="en-IN"/>
        </w:rPr>
        <w:t>1</w:t>
      </w:r>
      <w:r w:rsidR="004D3907">
        <w:rPr>
          <w:rFonts w:asciiTheme="minorHAnsi" w:hAnsiTheme="minorHAnsi" w:cstheme="minorHAnsi"/>
          <w:kern w:val="24"/>
          <w:sz w:val="22"/>
          <w:lang w:val="en" w:eastAsia="en-IN"/>
        </w:rPr>
        <w:t>7</w:t>
      </w:r>
      <w:r w:rsidR="003D06A8" w:rsidRPr="00073CDC">
        <w:rPr>
          <w:rFonts w:asciiTheme="minorHAnsi" w:hAnsiTheme="minorHAnsi" w:cstheme="minorHAnsi"/>
          <w:kern w:val="24"/>
          <w:sz w:val="22"/>
          <w:lang w:val="en" w:eastAsia="en-IN"/>
        </w:rPr>
        <w:t xml:space="preserve"> below).</w:t>
      </w:r>
      <w:r>
        <w:rPr>
          <w:rFonts w:asciiTheme="minorHAnsi" w:hAnsiTheme="minorHAnsi" w:cstheme="minorHAnsi"/>
          <w:kern w:val="24"/>
          <w:sz w:val="22"/>
          <w:lang w:val="en" w:eastAsia="en-IN"/>
        </w:rPr>
        <w:t xml:space="preserve"> </w:t>
      </w:r>
    </w:p>
    <w:p w14:paraId="07ADF488" w14:textId="149867D5" w:rsidR="003D06A8" w:rsidRDefault="003D06A8" w:rsidP="006642CF">
      <w:pPr>
        <w:spacing w:before="0" w:after="0"/>
        <w:rPr>
          <w:rFonts w:asciiTheme="minorHAnsi" w:hAnsiTheme="minorHAnsi" w:cstheme="minorHAnsi"/>
          <w:b/>
          <w:kern w:val="24"/>
          <w:sz w:val="18"/>
          <w:lang w:val="en" w:eastAsia="en-IN"/>
        </w:rPr>
      </w:pPr>
      <w:r w:rsidRPr="00073CDC">
        <w:rPr>
          <w:rFonts w:asciiTheme="minorHAnsi" w:hAnsiTheme="minorHAnsi" w:cstheme="minorHAnsi"/>
          <w:b/>
          <w:kern w:val="24"/>
          <w:sz w:val="18"/>
          <w:lang w:val="en" w:eastAsia="en-IN"/>
        </w:rPr>
        <w:t xml:space="preserve">Figure </w:t>
      </w:r>
      <w:r w:rsidR="001721D0">
        <w:rPr>
          <w:rFonts w:asciiTheme="minorHAnsi" w:hAnsiTheme="minorHAnsi" w:cstheme="minorHAnsi"/>
          <w:b/>
          <w:kern w:val="24"/>
          <w:sz w:val="18"/>
          <w:lang w:val="en" w:eastAsia="en-IN"/>
        </w:rPr>
        <w:t>1</w:t>
      </w:r>
      <w:r w:rsidR="00463972">
        <w:rPr>
          <w:rFonts w:asciiTheme="minorHAnsi" w:hAnsiTheme="minorHAnsi" w:cstheme="minorHAnsi"/>
          <w:b/>
          <w:kern w:val="24"/>
          <w:sz w:val="18"/>
          <w:lang w:val="en" w:eastAsia="en-IN"/>
        </w:rPr>
        <w:t>7</w:t>
      </w:r>
      <w:r w:rsidRPr="00073CDC">
        <w:rPr>
          <w:rFonts w:asciiTheme="minorHAnsi" w:hAnsiTheme="minorHAnsi" w:cstheme="minorHAnsi"/>
          <w:b/>
          <w:kern w:val="24"/>
          <w:sz w:val="18"/>
          <w:lang w:val="en" w:eastAsia="en-IN"/>
        </w:rPr>
        <w:t xml:space="preserve">: </w:t>
      </w:r>
      <w:r w:rsidR="007B135B" w:rsidRPr="00073CDC">
        <w:rPr>
          <w:rFonts w:asciiTheme="minorHAnsi" w:hAnsiTheme="minorHAnsi" w:cstheme="minorHAnsi"/>
          <w:b/>
          <w:kern w:val="24"/>
          <w:sz w:val="18"/>
          <w:lang w:val="en" w:eastAsia="en-IN"/>
        </w:rPr>
        <w:t>NTEP</w:t>
      </w:r>
      <w:r w:rsidRPr="00073CDC">
        <w:rPr>
          <w:rFonts w:asciiTheme="minorHAnsi" w:hAnsiTheme="minorHAnsi" w:cstheme="minorHAnsi"/>
          <w:b/>
          <w:kern w:val="24"/>
          <w:sz w:val="18"/>
          <w:lang w:val="en" w:eastAsia="en-IN"/>
        </w:rPr>
        <w:t xml:space="preserve"> Budge</w:t>
      </w:r>
      <w:r w:rsidR="000A3818">
        <w:rPr>
          <w:rFonts w:asciiTheme="minorHAnsi" w:hAnsiTheme="minorHAnsi" w:cstheme="minorHAnsi"/>
          <w:b/>
          <w:kern w:val="24"/>
          <w:sz w:val="18"/>
          <w:lang w:val="en" w:eastAsia="en-IN"/>
        </w:rPr>
        <w:t>ts and Expenditures, 2014 to 2020</w:t>
      </w:r>
      <w:r w:rsidR="006A3A6E">
        <w:rPr>
          <w:rFonts w:asciiTheme="minorHAnsi" w:hAnsiTheme="minorHAnsi" w:cstheme="minorHAnsi"/>
          <w:b/>
          <w:kern w:val="24"/>
          <w:sz w:val="18"/>
          <w:lang w:val="en" w:eastAsia="en-IN"/>
        </w:rPr>
        <w:t xml:space="preserve"> </w:t>
      </w:r>
      <w:r w:rsidR="00073CDC">
        <w:rPr>
          <w:rFonts w:asciiTheme="minorHAnsi" w:hAnsiTheme="minorHAnsi" w:cstheme="minorHAnsi"/>
          <w:b/>
          <w:kern w:val="24"/>
          <w:sz w:val="18"/>
          <w:lang w:val="en" w:eastAsia="en-IN"/>
        </w:rPr>
        <w:t>Source: NTEP data</w:t>
      </w:r>
      <w:r w:rsidR="00613847">
        <w:rPr>
          <w:rFonts w:asciiTheme="minorHAnsi" w:hAnsiTheme="minorHAnsi" w:cstheme="minorHAnsi"/>
          <w:b/>
          <w:kern w:val="24"/>
          <w:sz w:val="18"/>
          <w:lang w:val="en" w:eastAsia="en-IN"/>
        </w:rPr>
        <w:t xml:space="preserve"> </w:t>
      </w:r>
    </w:p>
    <w:p w14:paraId="13DCC689" w14:textId="22032A32" w:rsidR="00613847" w:rsidRPr="00073CDC" w:rsidRDefault="00613847" w:rsidP="00613847">
      <w:pPr>
        <w:spacing w:before="0" w:after="0"/>
        <w:rPr>
          <w:rFonts w:asciiTheme="minorHAnsi" w:hAnsiTheme="minorHAnsi" w:cstheme="minorHAnsi"/>
          <w:b/>
          <w:kern w:val="24"/>
          <w:sz w:val="18"/>
          <w:lang w:val="en" w:eastAsia="en-IN"/>
        </w:rPr>
      </w:pPr>
      <w:r w:rsidRPr="00613847">
        <w:rPr>
          <w:rFonts w:asciiTheme="minorHAnsi" w:hAnsiTheme="minorHAnsi" w:cstheme="minorHAnsi"/>
          <w:b/>
          <w:kern w:val="24"/>
          <w:sz w:val="18"/>
          <w:lang w:val="en" w:eastAsia="en-IN"/>
        </w:rPr>
        <w:t>Remark:</w:t>
      </w:r>
      <w:r>
        <w:rPr>
          <w:rFonts w:asciiTheme="minorHAnsi" w:hAnsiTheme="minorHAnsi" w:cstheme="minorHAnsi"/>
          <w:b/>
          <w:kern w:val="24"/>
          <w:sz w:val="18"/>
          <w:lang w:val="en" w:eastAsia="en-IN"/>
        </w:rPr>
        <w:t xml:space="preserve"> </w:t>
      </w:r>
      <w:r w:rsidRPr="00613847">
        <w:rPr>
          <w:rFonts w:asciiTheme="minorHAnsi" w:hAnsiTheme="minorHAnsi" w:cstheme="minorHAnsi"/>
          <w:b/>
          <w:kern w:val="24"/>
          <w:sz w:val="18"/>
          <w:lang w:val="en" w:eastAsia="en-IN"/>
        </w:rPr>
        <w:t>State contributions not included</w:t>
      </w:r>
      <w:r>
        <w:rPr>
          <w:rFonts w:asciiTheme="minorHAnsi" w:hAnsiTheme="minorHAnsi" w:cstheme="minorHAnsi"/>
          <w:b/>
          <w:kern w:val="24"/>
          <w:sz w:val="18"/>
          <w:lang w:val="en" w:eastAsia="en-IN"/>
        </w:rPr>
        <w:t xml:space="preserve">. </w:t>
      </w:r>
      <w:r w:rsidRPr="00613847">
        <w:rPr>
          <w:rFonts w:asciiTheme="minorHAnsi" w:hAnsiTheme="minorHAnsi" w:cstheme="minorHAnsi"/>
          <w:b/>
          <w:kern w:val="24"/>
          <w:sz w:val="18"/>
          <w:lang w:val="en" w:eastAsia="en-IN"/>
        </w:rPr>
        <w:t>Global Fund non-government PRs expenditures not included</w:t>
      </w:r>
    </w:p>
    <w:p w14:paraId="378AB104" w14:textId="639B6CC8" w:rsidR="003D06A8" w:rsidRDefault="000A3818" w:rsidP="00613847">
      <w:pPr>
        <w:spacing w:before="0"/>
        <w:rPr>
          <w:rFonts w:asciiTheme="minorHAnsi" w:hAnsiTheme="minorHAnsi" w:cstheme="minorHAnsi"/>
          <w:b/>
          <w:kern w:val="24"/>
          <w:sz w:val="22"/>
          <w:lang w:val="en" w:eastAsia="en-IN"/>
        </w:rPr>
      </w:pPr>
      <w:r w:rsidRPr="000A3818">
        <w:rPr>
          <w:noProof/>
          <w:lang w:val="en-IN" w:eastAsia="en-IN"/>
        </w:rPr>
        <w:drawing>
          <wp:inline distT="0" distB="0" distL="0" distR="0" wp14:anchorId="5CA93169" wp14:editId="1DFD6EEA">
            <wp:extent cx="5732145" cy="2897066"/>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832"/>
                    <a:stretch/>
                  </pic:blipFill>
                  <pic:spPr bwMode="auto">
                    <a:xfrm>
                      <a:off x="0" y="0"/>
                      <a:ext cx="5732145" cy="2897066"/>
                    </a:xfrm>
                    <a:prstGeom prst="rect">
                      <a:avLst/>
                    </a:prstGeom>
                    <a:ln>
                      <a:noFill/>
                    </a:ln>
                    <a:extLst>
                      <a:ext uri="{53640926-AAD7-44D8-BBD7-CCE9431645EC}">
                        <a14:shadowObscured xmlns:a14="http://schemas.microsoft.com/office/drawing/2010/main"/>
                      </a:ext>
                    </a:extLst>
                  </pic:spPr>
                </pic:pic>
              </a:graphicData>
            </a:graphic>
          </wp:inline>
        </w:drawing>
      </w:r>
    </w:p>
    <w:p w14:paraId="7904676E" w14:textId="77777777" w:rsidR="00854859" w:rsidRPr="006642CF" w:rsidRDefault="00854859" w:rsidP="00854859">
      <w:pPr>
        <w:spacing w:before="0" w:after="0"/>
        <w:jc w:val="both"/>
        <w:rPr>
          <w:rFonts w:ascii="Calibri" w:hAnsi="Calibri" w:cs="Calibri"/>
          <w:b/>
          <w:kern w:val="24"/>
          <w:sz w:val="22"/>
          <w:lang w:val="en" w:eastAsia="en-IN"/>
        </w:rPr>
      </w:pPr>
      <w:r>
        <w:rPr>
          <w:rFonts w:ascii="Calibri" w:hAnsi="Calibri" w:cs="Calibri"/>
          <w:kern w:val="24"/>
          <w:sz w:val="22"/>
          <w:lang w:val="en" w:eastAsia="en-IN"/>
        </w:rPr>
        <w:t xml:space="preserve">The programme has also identified and utilized </w:t>
      </w:r>
      <w:r w:rsidRPr="00073CDC">
        <w:rPr>
          <w:rFonts w:ascii="Calibri" w:hAnsi="Calibri" w:cs="Calibri"/>
          <w:kern w:val="24"/>
          <w:sz w:val="22"/>
          <w:lang w:val="en" w:eastAsia="en-IN"/>
        </w:rPr>
        <w:t>Innovative and results-</w:t>
      </w:r>
      <w:r w:rsidRPr="00841EF2">
        <w:rPr>
          <w:rFonts w:ascii="Calibri" w:hAnsi="Calibri" w:cs="Calibri"/>
          <w:kern w:val="24"/>
          <w:sz w:val="22"/>
          <w:lang w:val="en" w:eastAsia="en-IN"/>
        </w:rPr>
        <w:t>based financing for high impact NSP interventions (i.e. private sector scale-up and DBT).</w:t>
      </w:r>
      <w:r>
        <w:rPr>
          <w:rFonts w:ascii="Calibri" w:hAnsi="Calibri" w:cs="Calibri"/>
          <w:kern w:val="24"/>
          <w:sz w:val="22"/>
          <w:lang w:val="en" w:eastAsia="en-IN"/>
        </w:rPr>
        <w:t xml:space="preserve"> Over the period of NSP 2017-25, the NTEP has spent over 90% of the allocated resources ( Rs 8127 Cr expended against an allocation of Rs 8964 Cr during 2017-20)</w:t>
      </w:r>
      <w:r w:rsidRPr="00841EF2">
        <w:rPr>
          <w:rFonts w:ascii="Calibri" w:hAnsi="Calibri" w:cs="Calibri"/>
          <w:kern w:val="24"/>
          <w:sz w:val="22"/>
          <w:lang w:val="en" w:eastAsia="en-IN"/>
        </w:rPr>
        <w:t>.The electronic Public Financial Management System (PFMS) was rolled out to all t</w:t>
      </w:r>
      <w:r w:rsidRPr="00073CDC">
        <w:rPr>
          <w:rFonts w:ascii="Calibri" w:hAnsi="Calibri" w:cs="Calibri"/>
          <w:kern w:val="24"/>
          <w:sz w:val="22"/>
          <w:lang w:val="en" w:eastAsia="en-IN"/>
        </w:rPr>
        <w:t>he districts</w:t>
      </w:r>
      <w:r w:rsidRPr="006642CF">
        <w:rPr>
          <w:rFonts w:ascii="Calibri" w:hAnsi="Calibri" w:cs="Calibri"/>
          <w:b/>
          <w:kern w:val="24"/>
          <w:sz w:val="22"/>
          <w:lang w:val="en" w:eastAsia="en-IN"/>
        </w:rPr>
        <w:t xml:space="preserve"> to improve the efficiency of district-level accounting</w:t>
      </w:r>
      <w:r>
        <w:rPr>
          <w:rFonts w:ascii="Calibri" w:hAnsi="Calibri" w:cs="Calibri"/>
          <w:b/>
          <w:kern w:val="24"/>
          <w:sz w:val="22"/>
          <w:lang w:val="en" w:eastAsia="en-IN"/>
        </w:rPr>
        <w:t xml:space="preserve"> and financial management</w:t>
      </w:r>
      <w:r w:rsidRPr="006642CF">
        <w:rPr>
          <w:rFonts w:ascii="Calibri" w:hAnsi="Calibri" w:cs="Calibri"/>
          <w:b/>
          <w:kern w:val="24"/>
          <w:sz w:val="22"/>
          <w:lang w:val="en" w:eastAsia="en-IN"/>
        </w:rPr>
        <w:t xml:space="preserve">. </w:t>
      </w:r>
    </w:p>
    <w:p w14:paraId="417A1D0A" w14:textId="4900706C" w:rsidR="007137CC" w:rsidRPr="00EC3830" w:rsidRDefault="007137CC" w:rsidP="00C45A90">
      <w:pPr>
        <w:jc w:val="both"/>
        <w:rPr>
          <w:rFonts w:asciiTheme="minorHAnsi" w:hAnsiTheme="minorHAnsi" w:cstheme="minorHAnsi"/>
          <w:b/>
          <w:color w:val="C86A07" w:themeColor="accent2" w:themeShade="BF"/>
          <w:sz w:val="28"/>
          <w:lang w:val="en"/>
        </w:rPr>
      </w:pPr>
      <w:r w:rsidRPr="00EC3830">
        <w:rPr>
          <w:rFonts w:asciiTheme="minorHAnsi" w:hAnsiTheme="minorHAnsi" w:cstheme="minorHAnsi"/>
          <w:b/>
          <w:color w:val="C86A07" w:themeColor="accent2" w:themeShade="BF"/>
          <w:sz w:val="28"/>
          <w:lang w:val="en"/>
        </w:rPr>
        <w:t>CHALLENGES REMAIN</w:t>
      </w:r>
    </w:p>
    <w:p w14:paraId="63ED9BEB" w14:textId="77777777" w:rsidR="00A655B9" w:rsidRPr="009971FC" w:rsidRDefault="00A655B9" w:rsidP="009136E5">
      <w:pPr>
        <w:pStyle w:val="ListParagraph"/>
        <w:numPr>
          <w:ilvl w:val="0"/>
          <w:numId w:val="67"/>
        </w:numPr>
        <w:spacing w:before="0" w:after="0"/>
        <w:rPr>
          <w:rFonts w:asciiTheme="minorHAnsi" w:eastAsia="Times New Roman" w:hAnsiTheme="minorHAnsi" w:cstheme="minorHAnsi"/>
          <w:b/>
          <w:sz w:val="22"/>
        </w:rPr>
      </w:pPr>
      <w:r w:rsidRPr="009971FC">
        <w:rPr>
          <w:rFonts w:asciiTheme="minorHAnsi" w:eastAsia="Times New Roman" w:hAnsiTheme="minorHAnsi" w:cstheme="minorHAnsi"/>
          <w:b/>
          <w:sz w:val="22"/>
        </w:rPr>
        <w:t>Health Financing:</w:t>
      </w:r>
    </w:p>
    <w:p w14:paraId="2844B8CB" w14:textId="77777777" w:rsidR="00A655B9" w:rsidRPr="006642CF" w:rsidRDefault="00A655B9" w:rsidP="009136E5">
      <w:pPr>
        <w:pStyle w:val="ListParagraph"/>
        <w:numPr>
          <w:ilvl w:val="1"/>
          <w:numId w:val="67"/>
        </w:numPr>
        <w:spacing w:before="0" w:after="0"/>
        <w:jc w:val="both"/>
        <w:rPr>
          <w:rFonts w:asciiTheme="minorHAnsi" w:eastAsia="Times New Roman" w:hAnsiTheme="minorHAnsi" w:cstheme="minorHAnsi"/>
          <w:sz w:val="22"/>
        </w:rPr>
      </w:pPr>
      <w:r w:rsidRPr="006642CF">
        <w:rPr>
          <w:rFonts w:asciiTheme="minorHAnsi" w:eastAsia="Times New Roman" w:hAnsiTheme="minorHAnsi" w:cstheme="minorHAnsi"/>
          <w:sz w:val="22"/>
        </w:rPr>
        <w:t>No system in place to monitor out-of-pocket and catastrophic health expenditures for TB.</w:t>
      </w:r>
    </w:p>
    <w:p w14:paraId="6F721245" w14:textId="320691E7" w:rsidR="00A655B9" w:rsidRPr="00725B7C" w:rsidRDefault="00A655B9" w:rsidP="009136E5">
      <w:pPr>
        <w:pStyle w:val="ListParagraph"/>
        <w:numPr>
          <w:ilvl w:val="1"/>
          <w:numId w:val="67"/>
        </w:numPr>
        <w:jc w:val="both"/>
        <w:rPr>
          <w:rFonts w:asciiTheme="minorHAnsi" w:eastAsia="Times New Roman" w:hAnsiTheme="minorHAnsi" w:cstheme="minorHAnsi"/>
          <w:sz w:val="22"/>
        </w:rPr>
      </w:pPr>
      <w:r w:rsidRPr="006642CF">
        <w:rPr>
          <w:rFonts w:asciiTheme="minorHAnsi" w:eastAsia="Times New Roman" w:hAnsiTheme="minorHAnsi" w:cstheme="minorHAnsi"/>
          <w:sz w:val="22"/>
        </w:rPr>
        <w:t>Continued gaps in coordination with the National Health Authority (NHA) to better implement AB-PMJAY schemes</w:t>
      </w:r>
      <w:r w:rsidR="00725B7C">
        <w:rPr>
          <w:rFonts w:asciiTheme="minorHAnsi" w:eastAsia="Times New Roman" w:hAnsiTheme="minorHAnsi" w:cstheme="minorHAnsi"/>
          <w:sz w:val="22"/>
        </w:rPr>
        <w:t xml:space="preserve"> </w:t>
      </w:r>
      <w:r w:rsidR="00725B7C" w:rsidRPr="00725B7C">
        <w:rPr>
          <w:rFonts w:asciiTheme="minorHAnsi" w:eastAsia="Times New Roman" w:hAnsiTheme="minorHAnsi" w:cstheme="minorHAnsi"/>
          <w:sz w:val="22"/>
        </w:rPr>
        <w:t xml:space="preserve">to ensure free and accessible outpatient and inpatient treatment for TB patients. </w:t>
      </w:r>
    </w:p>
    <w:p w14:paraId="612940E8" w14:textId="7CE66CFB" w:rsidR="00A655B9" w:rsidRPr="009971FC" w:rsidRDefault="00A655B9" w:rsidP="009136E5">
      <w:pPr>
        <w:pStyle w:val="ListParagraph"/>
        <w:numPr>
          <w:ilvl w:val="0"/>
          <w:numId w:val="67"/>
        </w:numPr>
        <w:spacing w:before="0" w:after="0"/>
        <w:jc w:val="both"/>
        <w:rPr>
          <w:rFonts w:asciiTheme="minorHAnsi" w:eastAsia="Times New Roman" w:hAnsiTheme="minorHAnsi" w:cstheme="minorHAnsi"/>
          <w:b/>
          <w:sz w:val="22"/>
        </w:rPr>
      </w:pPr>
      <w:r w:rsidRPr="009971FC">
        <w:rPr>
          <w:rFonts w:asciiTheme="minorHAnsi" w:eastAsia="Times New Roman" w:hAnsiTheme="minorHAnsi" w:cstheme="minorHAnsi"/>
          <w:b/>
          <w:sz w:val="22"/>
        </w:rPr>
        <w:t>Financial Flow:</w:t>
      </w:r>
    </w:p>
    <w:p w14:paraId="0A634061" w14:textId="77777777" w:rsidR="00854859" w:rsidRPr="006642CF" w:rsidRDefault="00854859" w:rsidP="009136E5">
      <w:pPr>
        <w:pStyle w:val="ListParagraph"/>
        <w:numPr>
          <w:ilvl w:val="1"/>
          <w:numId w:val="67"/>
        </w:numPr>
        <w:spacing w:before="0" w:after="0"/>
        <w:jc w:val="both"/>
        <w:rPr>
          <w:rFonts w:ascii="Calibri" w:eastAsia="Times New Roman" w:hAnsi="Calibri" w:cs="Calibri"/>
          <w:sz w:val="22"/>
        </w:rPr>
      </w:pPr>
      <w:r w:rsidRPr="006642CF">
        <w:rPr>
          <w:rFonts w:ascii="Calibri" w:eastAsia="Times New Roman" w:hAnsi="Calibri" w:cs="Calibri"/>
          <w:sz w:val="22"/>
        </w:rPr>
        <w:t xml:space="preserve">Insufficient, incomplete and timely </w:t>
      </w:r>
      <w:r>
        <w:rPr>
          <w:rFonts w:ascii="Calibri" w:eastAsia="Times New Roman" w:hAnsi="Calibri" w:cs="Calibri"/>
          <w:sz w:val="22"/>
        </w:rPr>
        <w:t xml:space="preserve">release </w:t>
      </w:r>
      <w:r w:rsidRPr="006642CF">
        <w:rPr>
          <w:rFonts w:ascii="Calibri" w:eastAsia="Times New Roman" w:hAnsi="Calibri" w:cs="Calibri"/>
          <w:sz w:val="22"/>
        </w:rPr>
        <w:t xml:space="preserve">of NTEP budgets to </w:t>
      </w:r>
      <w:r>
        <w:rPr>
          <w:rFonts w:ascii="Calibri" w:eastAsia="Times New Roman" w:hAnsi="Calibri" w:cs="Calibri"/>
          <w:sz w:val="22"/>
        </w:rPr>
        <w:t>S</w:t>
      </w:r>
      <w:r w:rsidRPr="006642CF">
        <w:rPr>
          <w:rFonts w:ascii="Calibri" w:eastAsia="Times New Roman" w:hAnsi="Calibri" w:cs="Calibri"/>
          <w:sz w:val="22"/>
        </w:rPr>
        <w:t>tate</w:t>
      </w:r>
      <w:r>
        <w:rPr>
          <w:rFonts w:ascii="Calibri" w:eastAsia="Times New Roman" w:hAnsi="Calibri" w:cs="Calibri"/>
          <w:sz w:val="22"/>
        </w:rPr>
        <w:t>/UTs</w:t>
      </w:r>
      <w:r w:rsidRPr="006642CF">
        <w:rPr>
          <w:rFonts w:ascii="Calibri" w:eastAsia="Times New Roman" w:hAnsi="Calibri" w:cs="Calibri"/>
          <w:sz w:val="22"/>
        </w:rPr>
        <w:t>.</w:t>
      </w:r>
    </w:p>
    <w:p w14:paraId="0BA2EF5C" w14:textId="4D85A535" w:rsidR="00A655B9" w:rsidRPr="006642CF" w:rsidRDefault="00A655B9" w:rsidP="009136E5">
      <w:pPr>
        <w:pStyle w:val="ListParagraph"/>
        <w:numPr>
          <w:ilvl w:val="2"/>
          <w:numId w:val="67"/>
        </w:numPr>
        <w:spacing w:before="0" w:after="0"/>
        <w:rPr>
          <w:rFonts w:asciiTheme="minorHAnsi" w:eastAsia="Times New Roman" w:hAnsiTheme="minorHAnsi" w:cstheme="minorHAnsi"/>
          <w:sz w:val="22"/>
        </w:rPr>
      </w:pPr>
      <w:r w:rsidRPr="006642CF">
        <w:rPr>
          <w:rFonts w:asciiTheme="minorHAnsi" w:eastAsia="Times New Roman" w:hAnsiTheme="minorHAnsi" w:cstheme="minorHAnsi"/>
          <w:sz w:val="22"/>
        </w:rPr>
        <w:t>Burn rate</w:t>
      </w:r>
      <w:r w:rsidR="002D554D">
        <w:rPr>
          <w:rFonts w:asciiTheme="minorHAnsi" w:eastAsia="Times New Roman" w:hAnsiTheme="minorHAnsi" w:cstheme="minorHAnsi"/>
          <w:sz w:val="22"/>
        </w:rPr>
        <w:t xml:space="preserve"> (figure 1</w:t>
      </w:r>
      <w:r w:rsidR="004D3907">
        <w:rPr>
          <w:rFonts w:asciiTheme="minorHAnsi" w:eastAsia="Times New Roman" w:hAnsiTheme="minorHAnsi" w:cstheme="minorHAnsi"/>
          <w:sz w:val="22"/>
        </w:rPr>
        <w:t>8</w:t>
      </w:r>
      <w:r w:rsidR="002D554D">
        <w:rPr>
          <w:rFonts w:asciiTheme="minorHAnsi" w:eastAsia="Times New Roman" w:hAnsiTheme="minorHAnsi" w:cstheme="minorHAnsi"/>
          <w:sz w:val="22"/>
        </w:rPr>
        <w:t>)</w:t>
      </w:r>
      <w:r w:rsidRPr="006642CF">
        <w:rPr>
          <w:rFonts w:asciiTheme="minorHAnsi" w:eastAsia="Times New Roman" w:hAnsiTheme="minorHAnsi" w:cstheme="minorHAnsi"/>
          <w:sz w:val="22"/>
        </w:rPr>
        <w:t xml:space="preserve"> and budget release</w:t>
      </w:r>
      <w:r w:rsidR="002D554D">
        <w:rPr>
          <w:rFonts w:asciiTheme="minorHAnsi" w:eastAsia="Times New Roman" w:hAnsiTheme="minorHAnsi" w:cstheme="minorHAnsi"/>
          <w:sz w:val="22"/>
        </w:rPr>
        <w:t xml:space="preserve"> varies by states. </w:t>
      </w:r>
    </w:p>
    <w:p w14:paraId="04C544BD" w14:textId="5E1F16E2" w:rsidR="00A655B9" w:rsidRDefault="00A655B9" w:rsidP="009136E5">
      <w:pPr>
        <w:pStyle w:val="ListParagraph"/>
        <w:numPr>
          <w:ilvl w:val="2"/>
          <w:numId w:val="67"/>
        </w:numPr>
        <w:spacing w:before="0" w:after="0"/>
        <w:jc w:val="both"/>
        <w:rPr>
          <w:rFonts w:asciiTheme="minorHAnsi" w:eastAsia="Times New Roman" w:hAnsiTheme="minorHAnsi" w:cstheme="minorHAnsi"/>
          <w:sz w:val="22"/>
        </w:rPr>
      </w:pPr>
      <w:r w:rsidRPr="006642CF">
        <w:rPr>
          <w:rFonts w:asciiTheme="minorHAnsi" w:eastAsia="Times New Roman" w:hAnsiTheme="minorHAnsi" w:cstheme="minorHAnsi"/>
          <w:sz w:val="22"/>
        </w:rPr>
        <w:lastRenderedPageBreak/>
        <w:t>Marked delays (range of 52-262 days) in release of the first installment of the budget.</w:t>
      </w:r>
      <w:r w:rsidR="00076E41">
        <w:rPr>
          <w:rFonts w:asciiTheme="minorHAnsi" w:eastAsia="Times New Roman" w:hAnsiTheme="minorHAnsi" w:cstheme="minorHAnsi"/>
          <w:sz w:val="22"/>
        </w:rPr>
        <w:t xml:space="preserve"> </w:t>
      </w:r>
    </w:p>
    <w:p w14:paraId="5115DBC4" w14:textId="13033993" w:rsidR="00076E41" w:rsidRPr="00076E41" w:rsidRDefault="00463972" w:rsidP="00573E2E">
      <w:pPr>
        <w:spacing w:before="0" w:after="0"/>
        <w:ind w:left="720"/>
        <w:jc w:val="both"/>
        <w:rPr>
          <w:rFonts w:asciiTheme="minorHAnsi" w:eastAsia="Times New Roman" w:hAnsiTheme="minorHAnsi" w:cstheme="minorHAnsi"/>
          <w:b/>
          <w:sz w:val="18"/>
        </w:rPr>
      </w:pPr>
      <w:r>
        <w:rPr>
          <w:rFonts w:asciiTheme="minorHAnsi" w:eastAsia="Times New Roman" w:hAnsiTheme="minorHAnsi" w:cstheme="minorHAnsi"/>
          <w:b/>
          <w:sz w:val="18"/>
        </w:rPr>
        <w:t>Figure 18</w:t>
      </w:r>
      <w:r w:rsidR="00076E41" w:rsidRPr="00076E41">
        <w:rPr>
          <w:rFonts w:asciiTheme="minorHAnsi" w:eastAsia="Times New Roman" w:hAnsiTheme="minorHAnsi" w:cstheme="minorHAnsi"/>
          <w:b/>
          <w:sz w:val="18"/>
        </w:rPr>
        <w:t xml:space="preserve">: </w:t>
      </w:r>
      <w:r>
        <w:rPr>
          <w:rFonts w:asciiTheme="minorHAnsi" w:eastAsia="Times New Roman" w:hAnsiTheme="minorHAnsi" w:cstheme="minorHAnsi"/>
          <w:b/>
          <w:sz w:val="18"/>
        </w:rPr>
        <w:t>B</w:t>
      </w:r>
      <w:r w:rsidR="00076E41" w:rsidRPr="00076E41">
        <w:rPr>
          <w:rFonts w:asciiTheme="minorHAnsi" w:eastAsia="Times New Roman" w:hAnsiTheme="minorHAnsi" w:cstheme="minorHAnsi"/>
          <w:b/>
          <w:sz w:val="18"/>
        </w:rPr>
        <w:t xml:space="preserve">urn rate of </w:t>
      </w:r>
      <w:r>
        <w:rPr>
          <w:rFonts w:asciiTheme="minorHAnsi" w:eastAsia="Times New Roman" w:hAnsiTheme="minorHAnsi" w:cstheme="minorHAnsi"/>
          <w:b/>
          <w:sz w:val="18"/>
        </w:rPr>
        <w:t xml:space="preserve">NTEP funds </w:t>
      </w:r>
      <w:r w:rsidR="00076E41" w:rsidRPr="00076E41">
        <w:rPr>
          <w:rFonts w:asciiTheme="minorHAnsi" w:eastAsia="Times New Roman" w:hAnsiTheme="minorHAnsi" w:cstheme="minorHAnsi"/>
          <w:b/>
          <w:sz w:val="18"/>
        </w:rPr>
        <w:t>2018-2019 by region.</w:t>
      </w:r>
    </w:p>
    <w:p w14:paraId="447ED749" w14:textId="77777777" w:rsidR="00076E41" w:rsidRPr="00076E41" w:rsidRDefault="00076E41" w:rsidP="00573E2E">
      <w:pPr>
        <w:spacing w:before="0" w:after="0"/>
        <w:jc w:val="both"/>
        <w:rPr>
          <w:rFonts w:asciiTheme="minorHAnsi" w:eastAsia="Times New Roman" w:hAnsiTheme="minorHAnsi" w:cstheme="minorHAnsi"/>
          <w:sz w:val="22"/>
        </w:rPr>
        <w:sectPr w:rsidR="00076E41" w:rsidRPr="00076E41" w:rsidSect="00AA5740">
          <w:footerReference w:type="default" r:id="rId42"/>
          <w:footerReference w:type="first" r:id="rId43"/>
          <w:type w:val="continuous"/>
          <w:pgSz w:w="11907" w:h="16839" w:code="9"/>
          <w:pgMar w:top="1440" w:right="1440" w:bottom="1440" w:left="1440" w:header="720" w:footer="288" w:gutter="0"/>
          <w:pgNumType w:start="1"/>
          <w:cols w:space="720"/>
          <w:docGrid w:linePitch="272"/>
        </w:sectPr>
      </w:pPr>
    </w:p>
    <w:p w14:paraId="1EEAAF80" w14:textId="32811D9E" w:rsidR="00A655B9" w:rsidRPr="006642CF" w:rsidRDefault="000A3818" w:rsidP="00573E2E">
      <w:pPr>
        <w:spacing w:before="0" w:after="0"/>
        <w:ind w:left="720"/>
        <w:jc w:val="both"/>
        <w:rPr>
          <w:rFonts w:asciiTheme="minorHAnsi" w:eastAsia="Times New Roman" w:hAnsiTheme="minorHAnsi" w:cstheme="minorHAnsi"/>
          <w:sz w:val="22"/>
        </w:rPr>
      </w:pPr>
      <w:r w:rsidRPr="000A3818">
        <w:rPr>
          <w:noProof/>
          <w:lang w:val="en-IN" w:eastAsia="en-IN"/>
        </w:rPr>
        <w:drawing>
          <wp:inline distT="0" distB="0" distL="0" distR="0" wp14:anchorId="1E5A0321" wp14:editId="1E94CD85">
            <wp:extent cx="5344035" cy="17403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75" t="13540" r="3367"/>
                    <a:stretch/>
                  </pic:blipFill>
                  <pic:spPr bwMode="auto">
                    <a:xfrm>
                      <a:off x="0" y="0"/>
                      <a:ext cx="5345721" cy="1740937"/>
                    </a:xfrm>
                    <a:prstGeom prst="rect">
                      <a:avLst/>
                    </a:prstGeom>
                    <a:ln>
                      <a:noFill/>
                    </a:ln>
                    <a:extLst>
                      <a:ext uri="{53640926-AAD7-44D8-BBD7-CCE9431645EC}">
                        <a14:shadowObscured xmlns:a14="http://schemas.microsoft.com/office/drawing/2010/main"/>
                      </a:ext>
                    </a:extLst>
                  </pic:spPr>
                </pic:pic>
              </a:graphicData>
            </a:graphic>
          </wp:inline>
        </w:drawing>
      </w:r>
    </w:p>
    <w:p w14:paraId="07C7F622" w14:textId="77777777" w:rsidR="00A655B9" w:rsidRPr="006642CF" w:rsidRDefault="00A655B9" w:rsidP="009136E5">
      <w:pPr>
        <w:pStyle w:val="ListParagraph"/>
        <w:numPr>
          <w:ilvl w:val="1"/>
          <w:numId w:val="67"/>
        </w:numPr>
        <w:spacing w:before="0" w:after="0"/>
        <w:jc w:val="both"/>
        <w:rPr>
          <w:rFonts w:asciiTheme="minorHAnsi" w:eastAsia="Times New Roman" w:hAnsiTheme="minorHAnsi" w:cstheme="minorHAnsi"/>
          <w:sz w:val="22"/>
        </w:rPr>
      </w:pPr>
      <w:r w:rsidRPr="006642CF">
        <w:rPr>
          <w:rFonts w:asciiTheme="minorHAnsi" w:eastAsia="Times New Roman" w:hAnsiTheme="minorHAnsi" w:cstheme="minorHAnsi"/>
          <w:sz w:val="22"/>
        </w:rPr>
        <w:t>Inefficacies in monitoring budget and expenditures.  At the state level, excel sheets separate and independent from the PFMS are used to track financials.</w:t>
      </w:r>
    </w:p>
    <w:p w14:paraId="1D3A2961" w14:textId="3428597A" w:rsidR="00A655B9" w:rsidRPr="006642CF" w:rsidRDefault="00A655B9" w:rsidP="009136E5">
      <w:pPr>
        <w:pStyle w:val="ListParagraph"/>
        <w:numPr>
          <w:ilvl w:val="1"/>
          <w:numId w:val="67"/>
        </w:numPr>
        <w:spacing w:before="0" w:after="0"/>
        <w:jc w:val="both"/>
        <w:rPr>
          <w:rFonts w:asciiTheme="minorHAnsi" w:eastAsia="Times New Roman" w:hAnsiTheme="minorHAnsi" w:cstheme="minorHAnsi"/>
          <w:sz w:val="22"/>
        </w:rPr>
      </w:pPr>
      <w:r w:rsidRPr="006642CF">
        <w:rPr>
          <w:rFonts w:asciiTheme="minorHAnsi" w:eastAsia="Times New Roman" w:hAnsiTheme="minorHAnsi" w:cstheme="minorHAnsi"/>
          <w:sz w:val="22"/>
        </w:rPr>
        <w:t>Lack of capacity for implementing and monitoring important financial systems.  For exam</w:t>
      </w:r>
      <w:r w:rsidR="00854859">
        <w:rPr>
          <w:rFonts w:asciiTheme="minorHAnsi" w:eastAsia="Times New Roman" w:hAnsiTheme="minorHAnsi" w:cstheme="minorHAnsi"/>
          <w:sz w:val="22"/>
        </w:rPr>
        <w:t xml:space="preserve">ple, technical staff (i.e. </w:t>
      </w:r>
      <w:r w:rsidR="00854859">
        <w:rPr>
          <w:rFonts w:ascii="Calibri" w:eastAsia="Times New Roman" w:hAnsi="Calibri" w:cs="Calibri"/>
          <w:sz w:val="22"/>
        </w:rPr>
        <w:t>Senior TB Treatment Supervisor (</w:t>
      </w:r>
      <w:r w:rsidR="00854859" w:rsidRPr="006642CF">
        <w:rPr>
          <w:rFonts w:ascii="Calibri" w:eastAsia="Times New Roman" w:hAnsi="Calibri" w:cs="Calibri"/>
          <w:sz w:val="22"/>
        </w:rPr>
        <w:t>STS</w:t>
      </w:r>
      <w:r w:rsidR="00854859">
        <w:rPr>
          <w:rFonts w:ascii="Calibri" w:eastAsia="Times New Roman" w:hAnsi="Calibri" w:cs="Calibri"/>
          <w:sz w:val="22"/>
        </w:rPr>
        <w:t>)</w:t>
      </w:r>
      <w:r w:rsidR="00854859" w:rsidRPr="006642CF">
        <w:rPr>
          <w:rFonts w:ascii="Calibri" w:eastAsia="Times New Roman" w:hAnsi="Calibri" w:cs="Calibri"/>
          <w:sz w:val="22"/>
        </w:rPr>
        <w:t xml:space="preserve">, </w:t>
      </w:r>
      <w:r w:rsidR="00854859">
        <w:rPr>
          <w:rFonts w:ascii="Calibri" w:eastAsia="Times New Roman" w:hAnsi="Calibri" w:cs="Calibri"/>
          <w:sz w:val="22"/>
        </w:rPr>
        <w:t>Senior</w:t>
      </w:r>
      <w:r w:rsidR="00854859" w:rsidRPr="006642CF">
        <w:rPr>
          <w:rFonts w:ascii="Calibri" w:eastAsia="Times New Roman" w:hAnsi="Calibri" w:cs="Calibri"/>
          <w:sz w:val="22"/>
        </w:rPr>
        <w:t xml:space="preserve"> </w:t>
      </w:r>
      <w:r w:rsidR="00854859">
        <w:rPr>
          <w:rFonts w:ascii="Calibri" w:eastAsia="Times New Roman" w:hAnsi="Calibri" w:cs="Calibri"/>
          <w:sz w:val="22"/>
        </w:rPr>
        <w:t>TB</w:t>
      </w:r>
      <w:r w:rsidR="00854859" w:rsidRPr="006642CF">
        <w:rPr>
          <w:rFonts w:ascii="Calibri" w:eastAsia="Times New Roman" w:hAnsi="Calibri" w:cs="Calibri"/>
          <w:sz w:val="22"/>
        </w:rPr>
        <w:t xml:space="preserve"> </w:t>
      </w:r>
      <w:r w:rsidR="00854859">
        <w:rPr>
          <w:rFonts w:ascii="Calibri" w:eastAsia="Times New Roman" w:hAnsi="Calibri" w:cs="Calibri"/>
          <w:sz w:val="22"/>
        </w:rPr>
        <w:t>L</w:t>
      </w:r>
      <w:r w:rsidR="00854859" w:rsidRPr="006642CF">
        <w:rPr>
          <w:rFonts w:ascii="Calibri" w:eastAsia="Times New Roman" w:hAnsi="Calibri" w:cs="Calibri"/>
          <w:sz w:val="22"/>
        </w:rPr>
        <w:t xml:space="preserve">aboratory </w:t>
      </w:r>
      <w:r w:rsidR="00854859">
        <w:rPr>
          <w:rFonts w:ascii="Calibri" w:eastAsia="Times New Roman" w:hAnsi="Calibri" w:cs="Calibri"/>
          <w:sz w:val="22"/>
        </w:rPr>
        <w:t>S</w:t>
      </w:r>
      <w:r w:rsidR="00854859" w:rsidRPr="006642CF">
        <w:rPr>
          <w:rFonts w:ascii="Calibri" w:eastAsia="Times New Roman" w:hAnsi="Calibri" w:cs="Calibri"/>
          <w:sz w:val="22"/>
        </w:rPr>
        <w:t>upervisor</w:t>
      </w:r>
      <w:r w:rsidR="00854859">
        <w:rPr>
          <w:rFonts w:ascii="Calibri" w:eastAsia="Times New Roman" w:hAnsi="Calibri" w:cs="Calibri"/>
          <w:sz w:val="22"/>
        </w:rPr>
        <w:t xml:space="preserve"> (STLS)</w:t>
      </w:r>
      <w:r w:rsidRPr="006642CF">
        <w:rPr>
          <w:rFonts w:asciiTheme="minorHAnsi" w:eastAsia="Times New Roman" w:hAnsiTheme="minorHAnsi" w:cstheme="minorHAnsi"/>
          <w:sz w:val="22"/>
        </w:rPr>
        <w:t>, etc.) are responsible for accounting entries and DBT transactions.</w:t>
      </w:r>
    </w:p>
    <w:p w14:paraId="5B523C76" w14:textId="472F294D" w:rsidR="00A655B9" w:rsidRPr="006642CF" w:rsidRDefault="00A655B9" w:rsidP="009136E5">
      <w:pPr>
        <w:pStyle w:val="ListParagraph"/>
        <w:numPr>
          <w:ilvl w:val="1"/>
          <w:numId w:val="67"/>
        </w:numPr>
        <w:spacing w:before="0" w:after="0"/>
        <w:jc w:val="both"/>
        <w:rPr>
          <w:rFonts w:asciiTheme="minorHAnsi" w:eastAsia="Times New Roman" w:hAnsiTheme="minorHAnsi" w:cstheme="minorHAnsi"/>
          <w:sz w:val="22"/>
        </w:rPr>
      </w:pPr>
      <w:r w:rsidRPr="006642CF">
        <w:rPr>
          <w:rFonts w:asciiTheme="minorHAnsi" w:eastAsia="Times New Roman" w:hAnsiTheme="minorHAnsi" w:cstheme="minorHAnsi"/>
          <w:sz w:val="22"/>
        </w:rPr>
        <w:t xml:space="preserve">Delays in effective auditing processes.  For example, untimely </w:t>
      </w:r>
      <w:r w:rsidR="00854859">
        <w:rPr>
          <w:rFonts w:asciiTheme="minorHAnsi" w:eastAsia="Times New Roman" w:hAnsiTheme="minorHAnsi" w:cstheme="minorHAnsi"/>
          <w:sz w:val="22"/>
        </w:rPr>
        <w:t>submission of audit reports by S</w:t>
      </w:r>
      <w:r w:rsidRPr="006642CF">
        <w:rPr>
          <w:rFonts w:asciiTheme="minorHAnsi" w:eastAsia="Times New Roman" w:hAnsiTheme="minorHAnsi" w:cstheme="minorHAnsi"/>
          <w:sz w:val="22"/>
        </w:rPr>
        <w:t>tate and delayed appointment of auditor firms by NHM persists.</w:t>
      </w:r>
    </w:p>
    <w:p w14:paraId="54B2E8E4" w14:textId="77777777" w:rsidR="00982A9D" w:rsidRPr="00EC3830" w:rsidRDefault="00982A9D" w:rsidP="00573E2E">
      <w:pPr>
        <w:jc w:val="both"/>
        <w:rPr>
          <w:rFonts w:asciiTheme="minorHAnsi" w:hAnsiTheme="minorHAnsi" w:cstheme="minorHAnsi"/>
          <w:b/>
          <w:color w:val="C86A07" w:themeColor="accent2" w:themeShade="BF"/>
          <w:sz w:val="28"/>
          <w:lang w:val="en"/>
        </w:rPr>
      </w:pPr>
      <w:r w:rsidRPr="00EC3830">
        <w:rPr>
          <w:rFonts w:asciiTheme="minorHAnsi" w:hAnsiTheme="minorHAnsi" w:cstheme="minorHAnsi"/>
          <w:b/>
          <w:color w:val="C86A07" w:themeColor="accent2" w:themeShade="BF"/>
          <w:sz w:val="28"/>
          <w:lang w:val="en"/>
        </w:rPr>
        <w:t>THE WAY FORWARD</w:t>
      </w:r>
    </w:p>
    <w:p w14:paraId="6E9D49AB" w14:textId="01633478" w:rsidR="00982A9D" w:rsidRPr="006A2DA7" w:rsidRDefault="00982A9D" w:rsidP="006A3A6E">
      <w:pPr>
        <w:spacing w:before="0"/>
        <w:jc w:val="both"/>
        <w:rPr>
          <w:rFonts w:asciiTheme="minorHAnsi" w:hAnsiTheme="minorHAnsi" w:cstheme="minorHAnsi"/>
          <w:kern w:val="24"/>
          <w:sz w:val="22"/>
          <w:lang w:eastAsia="en-IN"/>
        </w:rPr>
      </w:pPr>
      <w:r w:rsidRPr="006A2DA7">
        <w:rPr>
          <w:rFonts w:asciiTheme="minorHAnsi" w:hAnsiTheme="minorHAnsi" w:cstheme="minorHAnsi"/>
          <w:kern w:val="24"/>
          <w:sz w:val="22"/>
          <w:lang w:eastAsia="en-IN"/>
        </w:rPr>
        <w:t xml:space="preserve">In order to meet the SDG target by 2025, it is important to sustain, and in some case continue to increase, funding levels for TB, as supported by accurate, robust costing exercise(s) of the NSP from 2020 to 2025.  It will be particularly important to ensure that the most innovative aspects of the NSP are adequately funded. </w:t>
      </w:r>
      <w:r w:rsidR="00854859">
        <w:rPr>
          <w:rFonts w:ascii="Calibri" w:hAnsi="Calibri" w:cs="Calibri"/>
          <w:kern w:val="24"/>
          <w:sz w:val="22"/>
          <w:lang w:eastAsia="en-IN"/>
        </w:rPr>
        <w:t>Leveraging resources from Health System Components of NHM would help in efficiently utilizing TB programme budget. Funds generated through Corporate Social Responsibility (CSR) initiatives and other line ministries can be strategically utilized to augment and catalyze critical high impact interventions</w:t>
      </w:r>
      <w:r w:rsidR="00854859" w:rsidRPr="006A2DA7">
        <w:rPr>
          <w:rFonts w:ascii="Calibri" w:hAnsi="Calibri" w:cs="Calibri"/>
          <w:kern w:val="24"/>
          <w:sz w:val="22"/>
          <w:lang w:eastAsia="en-IN"/>
        </w:rPr>
        <w:t xml:space="preserve">   </w:t>
      </w:r>
      <w:r w:rsidRPr="006A2DA7">
        <w:rPr>
          <w:rFonts w:asciiTheme="minorHAnsi" w:hAnsiTheme="minorHAnsi" w:cstheme="minorHAnsi"/>
          <w:kern w:val="24"/>
          <w:sz w:val="22"/>
          <w:lang w:eastAsia="en-IN"/>
        </w:rPr>
        <w:t xml:space="preserve">  </w:t>
      </w:r>
    </w:p>
    <w:p w14:paraId="232012F8" w14:textId="5CAD5D8D" w:rsidR="00982A9D" w:rsidRPr="009A70A1" w:rsidRDefault="009A70A1" w:rsidP="009A70A1">
      <w:pPr>
        <w:spacing w:before="0" w:after="0"/>
        <w:rPr>
          <w:rFonts w:asciiTheme="minorHAnsi" w:hAnsiTheme="minorHAnsi" w:cstheme="minorHAnsi"/>
          <w:b/>
          <w:kern w:val="24"/>
          <w:sz w:val="22"/>
          <w:lang w:eastAsia="en-IN"/>
        </w:rPr>
      </w:pPr>
      <w:r>
        <w:rPr>
          <w:rFonts w:asciiTheme="minorHAnsi" w:hAnsiTheme="minorHAnsi" w:cstheme="minorHAnsi"/>
          <w:b/>
          <w:kern w:val="24"/>
          <w:sz w:val="22"/>
          <w:lang w:eastAsia="en-IN"/>
        </w:rPr>
        <w:t xml:space="preserve">1.1.1 </w:t>
      </w:r>
      <w:r w:rsidR="00982A9D" w:rsidRPr="009A70A1">
        <w:rPr>
          <w:rFonts w:asciiTheme="minorHAnsi" w:hAnsiTheme="minorHAnsi" w:cstheme="minorHAnsi"/>
          <w:b/>
          <w:kern w:val="24"/>
          <w:sz w:val="22"/>
          <w:lang w:eastAsia="en-IN"/>
        </w:rPr>
        <w:t>To improve health financing</w:t>
      </w:r>
    </w:p>
    <w:p w14:paraId="208472A9" w14:textId="3C44834C" w:rsidR="00982A9D" w:rsidRPr="0027349C" w:rsidRDefault="00982A9D" w:rsidP="009136E5">
      <w:pPr>
        <w:pStyle w:val="ListParagraph"/>
        <w:numPr>
          <w:ilvl w:val="0"/>
          <w:numId w:val="81"/>
        </w:numPr>
        <w:spacing w:before="0" w:after="0"/>
        <w:rPr>
          <w:rFonts w:asciiTheme="minorHAnsi" w:hAnsiTheme="minorHAnsi" w:cstheme="minorHAnsi"/>
          <w:kern w:val="24"/>
          <w:sz w:val="22"/>
          <w:lang w:eastAsia="en-IN"/>
        </w:rPr>
      </w:pPr>
      <w:r w:rsidRPr="0027349C">
        <w:rPr>
          <w:rFonts w:asciiTheme="minorHAnsi" w:hAnsiTheme="minorHAnsi" w:cstheme="minorHAnsi"/>
          <w:kern w:val="24"/>
          <w:sz w:val="22"/>
          <w:lang w:eastAsia="en-IN"/>
        </w:rPr>
        <w:t xml:space="preserve">Cost the NSP from 2020-21 onwards to attain SDGs by 2025 </w:t>
      </w:r>
    </w:p>
    <w:p w14:paraId="142F8A93" w14:textId="41180EF4" w:rsidR="00982A9D" w:rsidRPr="0027349C" w:rsidRDefault="00982A9D" w:rsidP="009136E5">
      <w:pPr>
        <w:pStyle w:val="ListParagraph"/>
        <w:numPr>
          <w:ilvl w:val="0"/>
          <w:numId w:val="81"/>
        </w:numPr>
        <w:spacing w:before="0" w:after="0"/>
        <w:rPr>
          <w:rFonts w:asciiTheme="minorHAnsi" w:hAnsiTheme="minorHAnsi" w:cstheme="minorHAnsi"/>
          <w:kern w:val="24"/>
          <w:sz w:val="22"/>
          <w:lang w:eastAsia="en-IN"/>
        </w:rPr>
      </w:pPr>
      <w:r w:rsidRPr="0027349C">
        <w:rPr>
          <w:rFonts w:asciiTheme="minorHAnsi" w:hAnsiTheme="minorHAnsi" w:cstheme="minorHAnsi"/>
          <w:kern w:val="24"/>
          <w:sz w:val="22"/>
          <w:lang w:eastAsia="en-IN"/>
        </w:rPr>
        <w:t xml:space="preserve">Ensure budgetary provision for TB in sync with  the estimated </w:t>
      </w:r>
      <w:r w:rsidR="00725B7C">
        <w:rPr>
          <w:rFonts w:asciiTheme="minorHAnsi" w:hAnsiTheme="minorHAnsi" w:cstheme="minorHAnsi"/>
          <w:kern w:val="24"/>
          <w:sz w:val="22"/>
          <w:lang w:eastAsia="en-IN"/>
        </w:rPr>
        <w:t xml:space="preserve">NSP </w:t>
      </w:r>
      <w:r w:rsidRPr="0027349C">
        <w:rPr>
          <w:rFonts w:asciiTheme="minorHAnsi" w:hAnsiTheme="minorHAnsi" w:cstheme="minorHAnsi"/>
          <w:kern w:val="24"/>
          <w:sz w:val="22"/>
          <w:lang w:eastAsia="en-IN"/>
        </w:rPr>
        <w:t xml:space="preserve">financing envelop and activities to end TB by 2025 (Ministry of Finance </w:t>
      </w:r>
      <w:r w:rsidR="00AF41B5" w:rsidRPr="0027349C">
        <w:rPr>
          <w:rFonts w:asciiTheme="minorHAnsi" w:hAnsiTheme="minorHAnsi" w:cstheme="minorHAnsi"/>
          <w:kern w:val="24"/>
          <w:sz w:val="22"/>
          <w:lang w:eastAsia="en-IN"/>
        </w:rPr>
        <w:t>and</w:t>
      </w:r>
      <w:r w:rsidRPr="0027349C">
        <w:rPr>
          <w:rFonts w:asciiTheme="minorHAnsi" w:hAnsiTheme="minorHAnsi" w:cstheme="minorHAnsi"/>
          <w:kern w:val="24"/>
          <w:sz w:val="22"/>
          <w:lang w:eastAsia="en-IN"/>
        </w:rPr>
        <w:t xml:space="preserve"> NHM)</w:t>
      </w:r>
    </w:p>
    <w:p w14:paraId="7EE3E052" w14:textId="4D5266D5" w:rsidR="00982A9D" w:rsidRPr="0027349C" w:rsidRDefault="00194BD7" w:rsidP="009136E5">
      <w:pPr>
        <w:pStyle w:val="ListParagraph"/>
        <w:numPr>
          <w:ilvl w:val="0"/>
          <w:numId w:val="81"/>
        </w:numPr>
        <w:spacing w:before="0" w:after="0"/>
        <w:rPr>
          <w:rFonts w:asciiTheme="minorHAnsi" w:hAnsiTheme="minorHAnsi" w:cstheme="minorHAnsi"/>
          <w:kern w:val="24"/>
          <w:sz w:val="22"/>
          <w:lang w:eastAsia="en-IN"/>
        </w:rPr>
      </w:pPr>
      <w:r>
        <w:rPr>
          <w:rFonts w:asciiTheme="minorHAnsi" w:hAnsiTheme="minorHAnsi" w:cstheme="minorHAnsi"/>
          <w:kern w:val="24"/>
          <w:sz w:val="22"/>
          <w:lang w:eastAsia="en-IN"/>
        </w:rPr>
        <w:t>Increase</w:t>
      </w:r>
      <w:r w:rsidR="00982A9D" w:rsidRPr="0027349C">
        <w:rPr>
          <w:rFonts w:asciiTheme="minorHAnsi" w:hAnsiTheme="minorHAnsi" w:cstheme="minorHAnsi"/>
          <w:kern w:val="24"/>
          <w:sz w:val="22"/>
          <w:lang w:eastAsia="en-IN"/>
        </w:rPr>
        <w:t xml:space="preserve"> financial resources </w:t>
      </w:r>
      <w:r>
        <w:rPr>
          <w:rFonts w:asciiTheme="minorHAnsi" w:hAnsiTheme="minorHAnsi" w:cstheme="minorHAnsi"/>
          <w:kern w:val="24"/>
          <w:sz w:val="22"/>
          <w:lang w:eastAsia="en-IN"/>
        </w:rPr>
        <w:t>for</w:t>
      </w:r>
      <w:r w:rsidR="00725B7C">
        <w:rPr>
          <w:rFonts w:ascii="Calibri" w:hAnsi="Calibri" w:cs="Calibri"/>
          <w:color w:val="000000"/>
          <w:sz w:val="22"/>
        </w:rPr>
        <w:t xml:space="preserve"> line items in the budget that relates to</w:t>
      </w:r>
      <w:r>
        <w:rPr>
          <w:rFonts w:asciiTheme="minorHAnsi" w:hAnsiTheme="minorHAnsi" w:cstheme="minorHAnsi"/>
          <w:kern w:val="24"/>
          <w:sz w:val="22"/>
          <w:lang w:eastAsia="en-IN"/>
        </w:rPr>
        <w:t xml:space="preserve"> increasing the coverage of </w:t>
      </w:r>
      <w:r w:rsidR="00982A9D" w:rsidRPr="0027349C">
        <w:rPr>
          <w:rFonts w:asciiTheme="minorHAnsi" w:hAnsiTheme="minorHAnsi" w:cstheme="minorHAnsi"/>
          <w:kern w:val="24"/>
          <w:sz w:val="22"/>
          <w:lang w:eastAsia="en-IN"/>
        </w:rPr>
        <w:t xml:space="preserve">private sector engagement </w:t>
      </w:r>
    </w:p>
    <w:p w14:paraId="0721AF77" w14:textId="77777777" w:rsidR="00982A9D" w:rsidRPr="0027349C" w:rsidRDefault="00982A9D" w:rsidP="009136E5">
      <w:pPr>
        <w:pStyle w:val="ListParagraph"/>
        <w:numPr>
          <w:ilvl w:val="0"/>
          <w:numId w:val="81"/>
        </w:numPr>
        <w:spacing w:before="0" w:after="0"/>
        <w:rPr>
          <w:rFonts w:asciiTheme="minorHAnsi" w:hAnsiTheme="minorHAnsi" w:cstheme="minorHAnsi"/>
          <w:kern w:val="24"/>
          <w:sz w:val="22"/>
          <w:lang w:eastAsia="en-IN"/>
        </w:rPr>
      </w:pPr>
      <w:r w:rsidRPr="0027349C">
        <w:rPr>
          <w:rFonts w:asciiTheme="minorHAnsi" w:hAnsiTheme="minorHAnsi" w:cstheme="minorHAnsi"/>
          <w:kern w:val="24"/>
          <w:sz w:val="22"/>
          <w:lang w:eastAsia="en-IN"/>
        </w:rPr>
        <w:t>Obtain robust estimates on TB expenditures:</w:t>
      </w:r>
    </w:p>
    <w:p w14:paraId="32551D81" w14:textId="61BAE8ED" w:rsidR="00982A9D" w:rsidRPr="0027349C" w:rsidRDefault="00982A9D" w:rsidP="009136E5">
      <w:pPr>
        <w:pStyle w:val="ListParagraph"/>
        <w:numPr>
          <w:ilvl w:val="1"/>
          <w:numId w:val="81"/>
        </w:numPr>
        <w:spacing w:before="0" w:after="0"/>
        <w:rPr>
          <w:rFonts w:asciiTheme="minorHAnsi" w:hAnsiTheme="minorHAnsi" w:cstheme="minorHAnsi"/>
          <w:kern w:val="24"/>
          <w:sz w:val="22"/>
          <w:lang w:eastAsia="en-IN"/>
        </w:rPr>
      </w:pPr>
      <w:r w:rsidRPr="0027349C">
        <w:rPr>
          <w:rFonts w:asciiTheme="minorHAnsi" w:hAnsiTheme="minorHAnsi" w:cstheme="minorHAnsi"/>
          <w:kern w:val="24"/>
          <w:sz w:val="22"/>
          <w:lang w:eastAsia="en-IN"/>
        </w:rPr>
        <w:t>Public Expenditure Reviews</w:t>
      </w:r>
      <w:r w:rsidR="00725B7C">
        <w:rPr>
          <w:rFonts w:asciiTheme="minorHAnsi" w:hAnsiTheme="minorHAnsi" w:cstheme="minorHAnsi"/>
          <w:kern w:val="24"/>
          <w:sz w:val="22"/>
          <w:lang w:eastAsia="en-IN"/>
        </w:rPr>
        <w:t xml:space="preserve"> </w:t>
      </w:r>
      <w:r w:rsidR="00725B7C">
        <w:rPr>
          <w:rFonts w:ascii="Calibri" w:hAnsi="Calibri" w:cs="Calibri"/>
          <w:color w:val="000000"/>
          <w:sz w:val="22"/>
        </w:rPr>
        <w:t>for TB programs</w:t>
      </w:r>
    </w:p>
    <w:p w14:paraId="0659BD53" w14:textId="4B40C85E" w:rsidR="00982A9D" w:rsidRPr="0027349C" w:rsidRDefault="00982A9D" w:rsidP="009136E5">
      <w:pPr>
        <w:pStyle w:val="ListParagraph"/>
        <w:numPr>
          <w:ilvl w:val="1"/>
          <w:numId w:val="81"/>
        </w:numPr>
        <w:spacing w:before="0" w:after="0"/>
        <w:rPr>
          <w:rFonts w:asciiTheme="minorHAnsi" w:hAnsiTheme="minorHAnsi" w:cstheme="minorHAnsi"/>
          <w:kern w:val="24"/>
          <w:sz w:val="22"/>
          <w:lang w:eastAsia="en-IN"/>
        </w:rPr>
      </w:pPr>
      <w:r w:rsidRPr="0027349C">
        <w:rPr>
          <w:rFonts w:asciiTheme="minorHAnsi" w:hAnsiTheme="minorHAnsi" w:cstheme="minorHAnsi"/>
          <w:kern w:val="24"/>
          <w:sz w:val="22"/>
          <w:lang w:eastAsia="en-IN"/>
        </w:rPr>
        <w:t xml:space="preserve">National Health Accounts </w:t>
      </w:r>
      <w:r w:rsidR="00725B7C">
        <w:rPr>
          <w:rFonts w:asciiTheme="minorHAnsi" w:hAnsiTheme="minorHAnsi" w:cstheme="minorHAnsi"/>
          <w:kern w:val="24"/>
          <w:sz w:val="22"/>
          <w:lang w:eastAsia="en-IN"/>
        </w:rPr>
        <w:t>and/or h</w:t>
      </w:r>
      <w:r w:rsidR="00725B7C" w:rsidRPr="00725B7C">
        <w:rPr>
          <w:rFonts w:asciiTheme="minorHAnsi" w:hAnsiTheme="minorHAnsi" w:cstheme="minorHAnsi"/>
          <w:kern w:val="24"/>
          <w:sz w:val="22"/>
          <w:lang w:eastAsia="en-IN"/>
        </w:rPr>
        <w:t>ousehold surveys and small TB expenditure studies</w:t>
      </w:r>
    </w:p>
    <w:p w14:paraId="3BC0DC5D" w14:textId="4C6ECB29" w:rsidR="00982A9D" w:rsidRPr="0027349C" w:rsidRDefault="00982A9D" w:rsidP="009136E5">
      <w:pPr>
        <w:pStyle w:val="ListParagraph"/>
        <w:numPr>
          <w:ilvl w:val="0"/>
          <w:numId w:val="81"/>
        </w:numPr>
        <w:spacing w:before="0" w:after="0"/>
        <w:rPr>
          <w:rFonts w:asciiTheme="minorHAnsi" w:hAnsiTheme="minorHAnsi" w:cstheme="minorHAnsi"/>
          <w:kern w:val="24"/>
          <w:sz w:val="22"/>
          <w:lang w:eastAsia="en-IN"/>
        </w:rPr>
      </w:pPr>
      <w:r w:rsidRPr="0027349C">
        <w:rPr>
          <w:rFonts w:asciiTheme="minorHAnsi" w:hAnsiTheme="minorHAnsi" w:cstheme="minorHAnsi"/>
          <w:kern w:val="24"/>
          <w:sz w:val="22"/>
          <w:lang w:eastAsia="en-IN"/>
        </w:rPr>
        <w:t>Periodically measure and monitor the</w:t>
      </w:r>
      <w:r w:rsidR="00573E2E">
        <w:rPr>
          <w:rFonts w:asciiTheme="minorHAnsi" w:hAnsiTheme="minorHAnsi" w:cstheme="minorHAnsi"/>
          <w:kern w:val="24"/>
          <w:sz w:val="22"/>
          <w:lang w:eastAsia="en-IN"/>
        </w:rPr>
        <w:t xml:space="preserve"> </w:t>
      </w:r>
      <w:r w:rsidR="00573E2E" w:rsidRPr="00573E2E">
        <w:rPr>
          <w:rFonts w:asciiTheme="minorHAnsi" w:hAnsiTheme="minorHAnsi" w:cstheme="minorHAnsi"/>
          <w:kern w:val="24"/>
          <w:sz w:val="22"/>
          <w:lang w:eastAsia="en-IN"/>
        </w:rPr>
        <w:t>Out of Pocket Expenditure</w:t>
      </w:r>
      <w:r w:rsidRPr="0027349C">
        <w:rPr>
          <w:rFonts w:asciiTheme="minorHAnsi" w:hAnsiTheme="minorHAnsi" w:cstheme="minorHAnsi"/>
          <w:kern w:val="24"/>
          <w:sz w:val="22"/>
          <w:lang w:eastAsia="en-IN"/>
        </w:rPr>
        <w:t xml:space="preserve"> </w:t>
      </w:r>
      <w:r w:rsidR="00573E2E">
        <w:rPr>
          <w:rFonts w:asciiTheme="minorHAnsi" w:hAnsiTheme="minorHAnsi" w:cstheme="minorHAnsi"/>
          <w:kern w:val="24"/>
          <w:sz w:val="22"/>
          <w:lang w:eastAsia="en-IN"/>
        </w:rPr>
        <w:t>(</w:t>
      </w:r>
      <w:r w:rsidRPr="0027349C">
        <w:rPr>
          <w:rFonts w:asciiTheme="minorHAnsi" w:hAnsiTheme="minorHAnsi" w:cstheme="minorHAnsi"/>
          <w:kern w:val="24"/>
          <w:sz w:val="22"/>
          <w:lang w:eastAsia="en-IN"/>
        </w:rPr>
        <w:t>OOPE</w:t>
      </w:r>
      <w:r w:rsidR="00573E2E">
        <w:rPr>
          <w:rFonts w:asciiTheme="minorHAnsi" w:hAnsiTheme="minorHAnsi" w:cstheme="minorHAnsi"/>
          <w:kern w:val="24"/>
          <w:sz w:val="22"/>
          <w:lang w:eastAsia="en-IN"/>
        </w:rPr>
        <w:t>)</w:t>
      </w:r>
      <w:r w:rsidRPr="0027349C">
        <w:rPr>
          <w:rFonts w:asciiTheme="minorHAnsi" w:hAnsiTheme="minorHAnsi" w:cstheme="minorHAnsi"/>
          <w:kern w:val="24"/>
          <w:sz w:val="22"/>
          <w:lang w:eastAsia="en-IN"/>
        </w:rPr>
        <w:t xml:space="preserve"> and Catastrophic HE for TB </w:t>
      </w:r>
    </w:p>
    <w:p w14:paraId="70D2B300" w14:textId="4A59D134" w:rsidR="00982A9D" w:rsidRPr="0027349C" w:rsidRDefault="00573E2E" w:rsidP="009136E5">
      <w:pPr>
        <w:pStyle w:val="ListParagraph"/>
        <w:numPr>
          <w:ilvl w:val="0"/>
          <w:numId w:val="81"/>
        </w:numPr>
        <w:spacing w:before="0" w:after="0"/>
        <w:rPr>
          <w:rFonts w:asciiTheme="minorHAnsi" w:hAnsiTheme="minorHAnsi" w:cstheme="minorHAnsi"/>
          <w:kern w:val="24"/>
          <w:sz w:val="22"/>
          <w:lang w:eastAsia="en-IN"/>
        </w:rPr>
      </w:pPr>
      <w:r>
        <w:rPr>
          <w:rFonts w:asciiTheme="minorHAnsi" w:hAnsiTheme="minorHAnsi" w:cstheme="minorHAnsi"/>
          <w:kern w:val="24"/>
          <w:sz w:val="22"/>
          <w:lang w:eastAsia="en-IN"/>
        </w:rPr>
        <w:t>F</w:t>
      </w:r>
      <w:r w:rsidR="00982A9D" w:rsidRPr="0027349C">
        <w:rPr>
          <w:rFonts w:asciiTheme="minorHAnsi" w:hAnsiTheme="minorHAnsi" w:cstheme="minorHAnsi"/>
          <w:kern w:val="24"/>
          <w:sz w:val="22"/>
          <w:lang w:eastAsia="en-IN"/>
        </w:rPr>
        <w:t xml:space="preserve">urther strengthen linkages with the National Health Authority for better coordination on financing from PMJAY for in-patient care </w:t>
      </w:r>
      <w:r w:rsidR="00AF41B5" w:rsidRPr="0027349C">
        <w:rPr>
          <w:rFonts w:asciiTheme="minorHAnsi" w:hAnsiTheme="minorHAnsi" w:cstheme="minorHAnsi"/>
          <w:kern w:val="24"/>
          <w:sz w:val="22"/>
          <w:lang w:eastAsia="en-IN"/>
        </w:rPr>
        <w:t>and</w:t>
      </w:r>
      <w:r w:rsidR="00982A9D" w:rsidRPr="0027349C">
        <w:rPr>
          <w:rFonts w:asciiTheme="minorHAnsi" w:hAnsiTheme="minorHAnsi" w:cstheme="minorHAnsi"/>
          <w:kern w:val="24"/>
          <w:sz w:val="22"/>
          <w:lang w:eastAsia="en-IN"/>
        </w:rPr>
        <w:t xml:space="preserve"> potentially O</w:t>
      </w:r>
      <w:r>
        <w:rPr>
          <w:rFonts w:asciiTheme="minorHAnsi" w:hAnsiTheme="minorHAnsi" w:cstheme="minorHAnsi"/>
          <w:kern w:val="24"/>
          <w:sz w:val="22"/>
          <w:lang w:eastAsia="en-IN"/>
        </w:rPr>
        <w:t xml:space="preserve">ut </w:t>
      </w:r>
      <w:r w:rsidR="00982A9D" w:rsidRPr="0027349C">
        <w:rPr>
          <w:rFonts w:asciiTheme="minorHAnsi" w:hAnsiTheme="minorHAnsi" w:cstheme="minorHAnsi"/>
          <w:kern w:val="24"/>
          <w:sz w:val="22"/>
          <w:lang w:eastAsia="en-IN"/>
        </w:rPr>
        <w:t>P</w:t>
      </w:r>
      <w:r>
        <w:rPr>
          <w:rFonts w:asciiTheme="minorHAnsi" w:hAnsiTheme="minorHAnsi" w:cstheme="minorHAnsi"/>
          <w:kern w:val="24"/>
          <w:sz w:val="22"/>
          <w:lang w:eastAsia="en-IN"/>
        </w:rPr>
        <w:t>atient</w:t>
      </w:r>
      <w:r w:rsidR="00982A9D" w:rsidRPr="0027349C">
        <w:rPr>
          <w:rFonts w:asciiTheme="minorHAnsi" w:hAnsiTheme="minorHAnsi" w:cstheme="minorHAnsi"/>
          <w:kern w:val="24"/>
          <w:sz w:val="22"/>
          <w:lang w:eastAsia="en-IN"/>
        </w:rPr>
        <w:t xml:space="preserve"> package. </w:t>
      </w:r>
    </w:p>
    <w:p w14:paraId="5E29F152" w14:textId="77777777" w:rsidR="00982A9D" w:rsidRDefault="00982A9D" w:rsidP="009136E5">
      <w:pPr>
        <w:pStyle w:val="ListParagraph"/>
        <w:numPr>
          <w:ilvl w:val="0"/>
          <w:numId w:val="81"/>
        </w:numPr>
        <w:spacing w:before="0" w:after="0"/>
        <w:rPr>
          <w:rFonts w:asciiTheme="minorHAnsi" w:hAnsiTheme="minorHAnsi" w:cstheme="minorHAnsi"/>
          <w:kern w:val="24"/>
          <w:sz w:val="22"/>
          <w:lang w:eastAsia="en-IN"/>
        </w:rPr>
      </w:pPr>
      <w:r w:rsidRPr="0027349C">
        <w:rPr>
          <w:rFonts w:asciiTheme="minorHAnsi" w:hAnsiTheme="minorHAnsi" w:cstheme="minorHAnsi"/>
          <w:kern w:val="24"/>
          <w:sz w:val="22"/>
          <w:lang w:eastAsia="en-IN"/>
        </w:rPr>
        <w:t xml:space="preserve">Explore TA options offered by various partners in improving PFMS utilization.   </w:t>
      </w:r>
    </w:p>
    <w:p w14:paraId="0A1BCD67" w14:textId="2A80BF74" w:rsidR="00982A9D" w:rsidRPr="006A3A6E" w:rsidRDefault="00603A1D" w:rsidP="009136E5">
      <w:pPr>
        <w:pStyle w:val="ListParagraph"/>
        <w:numPr>
          <w:ilvl w:val="0"/>
          <w:numId w:val="81"/>
        </w:numPr>
        <w:spacing w:before="0"/>
        <w:rPr>
          <w:rFonts w:asciiTheme="minorHAnsi" w:hAnsiTheme="minorHAnsi" w:cstheme="minorHAnsi"/>
          <w:kern w:val="24"/>
          <w:sz w:val="22"/>
          <w:lang w:eastAsia="en-IN"/>
        </w:rPr>
      </w:pPr>
      <w:r w:rsidRPr="00603A1D">
        <w:rPr>
          <w:rFonts w:asciiTheme="minorHAnsi" w:hAnsiTheme="minorHAnsi" w:cstheme="minorHAnsi"/>
          <w:kern w:val="24"/>
          <w:sz w:val="22"/>
          <w:lang w:eastAsia="en-IN"/>
        </w:rPr>
        <w:t>Crea</w:t>
      </w:r>
      <w:r>
        <w:rPr>
          <w:rFonts w:asciiTheme="minorHAnsi" w:hAnsiTheme="minorHAnsi" w:cstheme="minorHAnsi"/>
          <w:kern w:val="24"/>
          <w:sz w:val="22"/>
          <w:lang w:eastAsia="en-IN"/>
        </w:rPr>
        <w:t>te a technical support group at</w:t>
      </w:r>
      <w:r w:rsidRPr="00603A1D">
        <w:rPr>
          <w:rFonts w:asciiTheme="minorHAnsi" w:hAnsiTheme="minorHAnsi" w:cstheme="minorHAnsi"/>
          <w:kern w:val="24"/>
          <w:sz w:val="22"/>
          <w:lang w:eastAsia="en-IN"/>
        </w:rPr>
        <w:t xml:space="preserve"> CTD for resource mobilization through innovative financing options</w:t>
      </w:r>
    </w:p>
    <w:p w14:paraId="67A3B07F" w14:textId="781EF965" w:rsidR="00982A9D" w:rsidRPr="009A70A1" w:rsidRDefault="009A70A1" w:rsidP="009A70A1">
      <w:pPr>
        <w:spacing w:before="0" w:after="0"/>
        <w:rPr>
          <w:rFonts w:asciiTheme="minorHAnsi" w:hAnsiTheme="minorHAnsi" w:cstheme="minorHAnsi"/>
          <w:b/>
          <w:kern w:val="24"/>
          <w:sz w:val="22"/>
          <w:lang w:eastAsia="en-IN"/>
        </w:rPr>
      </w:pPr>
      <w:r>
        <w:rPr>
          <w:rFonts w:asciiTheme="minorHAnsi" w:hAnsiTheme="minorHAnsi" w:cstheme="minorHAnsi"/>
          <w:b/>
          <w:kern w:val="24"/>
          <w:sz w:val="22"/>
          <w:lang w:eastAsia="en-IN"/>
        </w:rPr>
        <w:t xml:space="preserve">1.1.2 </w:t>
      </w:r>
      <w:r w:rsidR="00982A9D" w:rsidRPr="009A70A1">
        <w:rPr>
          <w:rFonts w:asciiTheme="minorHAnsi" w:hAnsiTheme="minorHAnsi" w:cstheme="minorHAnsi"/>
          <w:b/>
          <w:kern w:val="24"/>
          <w:sz w:val="22"/>
          <w:lang w:eastAsia="en-IN"/>
        </w:rPr>
        <w:t xml:space="preserve">To improve the financial flow </w:t>
      </w:r>
    </w:p>
    <w:p w14:paraId="3DE0C49C" w14:textId="77777777" w:rsidR="00982A9D" w:rsidRPr="00DB32BD" w:rsidRDefault="00982A9D" w:rsidP="009136E5">
      <w:pPr>
        <w:pStyle w:val="ListParagraph"/>
        <w:numPr>
          <w:ilvl w:val="1"/>
          <w:numId w:val="80"/>
        </w:numPr>
        <w:spacing w:before="0" w:after="0"/>
        <w:rPr>
          <w:rFonts w:asciiTheme="minorHAnsi" w:hAnsiTheme="minorHAnsi" w:cstheme="minorHAnsi"/>
          <w:kern w:val="24"/>
          <w:sz w:val="22"/>
          <w:lang w:eastAsia="en-IN"/>
        </w:rPr>
      </w:pPr>
      <w:r w:rsidRPr="00DB32BD">
        <w:rPr>
          <w:rFonts w:asciiTheme="minorHAnsi" w:hAnsiTheme="minorHAnsi" w:cstheme="minorHAnsi"/>
          <w:kern w:val="24"/>
          <w:sz w:val="22"/>
          <w:lang w:eastAsia="en-IN"/>
        </w:rPr>
        <w:t>States to provide up-to-date financial contributions to the next FY by the end of each financial year (April).</w:t>
      </w:r>
    </w:p>
    <w:p w14:paraId="1E4D78BD" w14:textId="48747B24" w:rsidR="00A655B9" w:rsidRPr="00076E41" w:rsidRDefault="00982A9D" w:rsidP="009136E5">
      <w:pPr>
        <w:pStyle w:val="ListParagraph"/>
        <w:numPr>
          <w:ilvl w:val="1"/>
          <w:numId w:val="80"/>
        </w:numPr>
        <w:spacing w:before="0" w:after="0"/>
        <w:rPr>
          <w:rFonts w:asciiTheme="minorHAnsi" w:eastAsia="Times New Roman" w:hAnsiTheme="minorHAnsi" w:cstheme="minorHAnsi"/>
          <w:sz w:val="22"/>
        </w:rPr>
        <w:sectPr w:rsidR="00A655B9" w:rsidRPr="00076E41" w:rsidSect="00D02C5D">
          <w:headerReference w:type="even" r:id="rId45"/>
          <w:headerReference w:type="default" r:id="rId46"/>
          <w:footerReference w:type="default" r:id="rId47"/>
          <w:headerReference w:type="first" r:id="rId48"/>
          <w:footerReference w:type="first" r:id="rId49"/>
          <w:type w:val="continuous"/>
          <w:pgSz w:w="11907" w:h="16839" w:code="9"/>
          <w:pgMar w:top="1440" w:right="1440" w:bottom="1440" w:left="1440" w:header="720" w:footer="720" w:gutter="0"/>
          <w:cols w:space="360"/>
          <w:titlePg/>
          <w:docGrid w:linePitch="272"/>
        </w:sectPr>
      </w:pPr>
      <w:r w:rsidRPr="00DB32BD">
        <w:rPr>
          <w:rFonts w:asciiTheme="minorHAnsi" w:hAnsiTheme="minorHAnsi" w:cstheme="minorHAnsi"/>
          <w:kern w:val="24"/>
          <w:sz w:val="22"/>
          <w:lang w:eastAsia="en-IN"/>
        </w:rPr>
        <w:t>Timely appointment of auditors by NHM needed and submissions of auditor’s</w:t>
      </w:r>
      <w:r w:rsidR="0058327C">
        <w:rPr>
          <w:rFonts w:asciiTheme="minorHAnsi" w:hAnsiTheme="minorHAnsi" w:cstheme="minorHAnsi"/>
          <w:kern w:val="24"/>
          <w:sz w:val="22"/>
          <w:lang w:eastAsia="en-IN"/>
        </w:rPr>
        <w:t xml:space="preserve"> report and audited UCs thereof. </w:t>
      </w:r>
    </w:p>
    <w:p w14:paraId="2074DFDA" w14:textId="281CFCAE" w:rsidR="006B7923" w:rsidRDefault="00061D34" w:rsidP="0058327C">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B65B0C">
        <w:rPr>
          <w:rFonts w:asciiTheme="minorHAnsi" w:hAnsiTheme="minorHAnsi" w:cstheme="minorHAnsi"/>
          <w:b/>
          <w:snapToGrid w:val="0"/>
          <w:color w:val="auto"/>
          <w:sz w:val="36"/>
        </w:rPr>
        <w:t>9</w:t>
      </w:r>
    </w:p>
    <w:p w14:paraId="07F2E17F" w14:textId="1AFD3106" w:rsidR="006B7923" w:rsidRPr="006B7923" w:rsidRDefault="006B7923" w:rsidP="00681D3D">
      <w:pPr>
        <w:shd w:val="clear" w:color="auto" w:fill="17365D" w:themeFill="text2" w:themeFillShade="BF"/>
        <w:spacing w:before="0" w:after="0"/>
        <w:jc w:val="right"/>
        <w:rPr>
          <w:b/>
          <w:sz w:val="28"/>
        </w:rPr>
      </w:pPr>
      <w:r>
        <w:rPr>
          <w:b/>
          <w:sz w:val="28"/>
        </w:rPr>
        <w:t>NSP STRATEGIC AREA 1.2</w:t>
      </w:r>
    </w:p>
    <w:p w14:paraId="4CAE8722" w14:textId="3428BCC0" w:rsidR="00061D34" w:rsidRPr="00734B6A" w:rsidRDefault="00061D34" w:rsidP="00061D34">
      <w:pPr>
        <w:pStyle w:val="Heading1"/>
        <w:tabs>
          <w:tab w:val="num" w:pos="5670"/>
        </w:tabs>
        <w:ind w:left="2880" w:hanging="1800"/>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Pr>
          <w:rFonts w:asciiTheme="minorHAnsi" w:hAnsiTheme="minorHAnsi" w:cstheme="minorHAnsi"/>
          <w:b/>
          <w:snapToGrid w:val="0"/>
          <w:color w:val="auto"/>
        </w:rPr>
        <w:t xml:space="preserve">Human resource manAgement  </w:t>
      </w:r>
    </w:p>
    <w:p w14:paraId="329EEE9D" w14:textId="77777777" w:rsidR="005A0FA2" w:rsidRPr="005A0FA2" w:rsidRDefault="005A0FA2" w:rsidP="00442A67">
      <w:pPr>
        <w:pStyle w:val="ListParagraph"/>
        <w:numPr>
          <w:ilvl w:val="0"/>
          <w:numId w:val="19"/>
        </w:numPr>
        <w:shd w:val="clear" w:color="auto" w:fill="C6D9F1" w:themeFill="text2" w:themeFillTint="33"/>
        <w:contextualSpacing w:val="0"/>
        <w:jc w:val="both"/>
        <w:rPr>
          <w:rFonts w:asciiTheme="minorHAnsi" w:hAnsiTheme="minorHAnsi" w:cstheme="minorHAnsi"/>
          <w:b/>
          <w:vanish/>
          <w:sz w:val="28"/>
          <w:lang w:val="en"/>
        </w:rPr>
      </w:pPr>
    </w:p>
    <w:p w14:paraId="729978EF" w14:textId="355C57BE" w:rsidR="00AB176D" w:rsidRPr="00C45A90" w:rsidRDefault="00AB176D" w:rsidP="00C45A90">
      <w:pPr>
        <w:jc w:val="both"/>
        <w:rPr>
          <w:rFonts w:asciiTheme="minorHAnsi" w:hAnsiTheme="minorHAnsi" w:cstheme="minorHAnsi"/>
          <w:b/>
          <w:color w:val="C86A07" w:themeColor="accent2" w:themeShade="BF"/>
          <w:sz w:val="28"/>
          <w:lang w:val="en"/>
        </w:rPr>
      </w:pPr>
      <w:r w:rsidRPr="00C45A90">
        <w:rPr>
          <w:rFonts w:asciiTheme="minorHAnsi" w:hAnsiTheme="minorHAnsi" w:cstheme="minorHAnsi"/>
          <w:b/>
          <w:color w:val="C86A07" w:themeColor="accent2" w:themeShade="BF"/>
          <w:sz w:val="28"/>
          <w:lang w:val="en"/>
        </w:rPr>
        <w:t>INTRODUCTION</w:t>
      </w:r>
    </w:p>
    <w:p w14:paraId="2FAFC5AD" w14:textId="2F3C09F8" w:rsidR="00FF1844" w:rsidRDefault="00BE1290" w:rsidP="00E60E25">
      <w:pPr>
        <w:spacing w:before="0" w:after="0"/>
        <w:jc w:val="both"/>
        <w:rPr>
          <w:rFonts w:ascii="Calibri" w:hAnsi="Calibri" w:cs="Calibri"/>
          <w:kern w:val="24"/>
          <w:sz w:val="22"/>
          <w:lang w:eastAsia="en-IN"/>
        </w:rPr>
      </w:pPr>
      <w:r w:rsidRPr="0056659C">
        <w:rPr>
          <w:rFonts w:ascii="Calibri" w:hAnsi="Calibri" w:cs="Calibri"/>
          <w:kern w:val="24"/>
          <w:sz w:val="22"/>
          <w:lang w:eastAsia="en-IN"/>
        </w:rPr>
        <w:t>The ambitious</w:t>
      </w:r>
      <w:r w:rsidR="0056659C">
        <w:rPr>
          <w:rFonts w:ascii="Calibri" w:hAnsi="Calibri" w:cs="Calibri"/>
          <w:kern w:val="24"/>
          <w:sz w:val="22"/>
          <w:lang w:eastAsia="en-IN"/>
        </w:rPr>
        <w:t xml:space="preserve"> goals of the NSP</w:t>
      </w:r>
      <w:r w:rsidRPr="0056659C">
        <w:rPr>
          <w:rFonts w:ascii="Calibri" w:hAnsi="Calibri" w:cs="Calibri"/>
          <w:kern w:val="24"/>
          <w:sz w:val="22"/>
          <w:lang w:eastAsia="en-IN"/>
        </w:rPr>
        <w:t xml:space="preserve"> will only be </w:t>
      </w:r>
      <w:r w:rsidR="0056659C" w:rsidRPr="0056659C">
        <w:rPr>
          <w:rFonts w:ascii="Calibri" w:hAnsi="Calibri" w:cs="Calibri"/>
          <w:kern w:val="24"/>
          <w:sz w:val="22"/>
          <w:lang w:eastAsia="en-IN"/>
        </w:rPr>
        <w:t>achieved</w:t>
      </w:r>
      <w:r w:rsidRPr="0056659C">
        <w:rPr>
          <w:rFonts w:ascii="Calibri" w:hAnsi="Calibri" w:cs="Calibri"/>
          <w:kern w:val="24"/>
          <w:sz w:val="22"/>
          <w:lang w:eastAsia="en-IN"/>
        </w:rPr>
        <w:t xml:space="preserve"> if </w:t>
      </w:r>
      <w:r w:rsidR="0056659C" w:rsidRPr="0056659C">
        <w:rPr>
          <w:rFonts w:ascii="Calibri" w:hAnsi="Calibri" w:cs="Calibri"/>
          <w:kern w:val="24"/>
          <w:sz w:val="22"/>
          <w:lang w:eastAsia="en-IN"/>
        </w:rPr>
        <w:t>i</w:t>
      </w:r>
      <w:r w:rsidR="0056659C">
        <w:rPr>
          <w:rFonts w:ascii="Calibri" w:hAnsi="Calibri" w:cs="Calibri"/>
          <w:kern w:val="24"/>
          <w:sz w:val="22"/>
          <w:lang w:eastAsia="en-IN"/>
        </w:rPr>
        <w:t>t has a</w:t>
      </w:r>
      <w:r w:rsidR="0056659C" w:rsidRPr="0056659C">
        <w:rPr>
          <w:rFonts w:ascii="Calibri" w:hAnsi="Calibri" w:cs="Calibri"/>
          <w:kern w:val="24"/>
          <w:sz w:val="22"/>
          <w:lang w:eastAsia="en-IN"/>
        </w:rPr>
        <w:t xml:space="preserve"> </w:t>
      </w:r>
      <w:r w:rsidR="00951F69" w:rsidRPr="0056659C">
        <w:rPr>
          <w:rFonts w:ascii="Calibri" w:hAnsi="Calibri" w:cs="Calibri"/>
          <w:kern w:val="24"/>
          <w:sz w:val="22"/>
          <w:lang w:eastAsia="en-IN"/>
        </w:rPr>
        <w:t xml:space="preserve">TB health workforce </w:t>
      </w:r>
      <w:r w:rsidR="0056659C">
        <w:rPr>
          <w:rFonts w:ascii="Calibri" w:hAnsi="Calibri" w:cs="Calibri"/>
          <w:kern w:val="24"/>
          <w:sz w:val="22"/>
          <w:lang w:eastAsia="en-IN"/>
        </w:rPr>
        <w:t>in</w:t>
      </w:r>
      <w:r w:rsidR="00951F69" w:rsidRPr="0056659C">
        <w:rPr>
          <w:rFonts w:ascii="Calibri" w:hAnsi="Calibri" w:cs="Calibri"/>
          <w:kern w:val="24"/>
          <w:sz w:val="22"/>
          <w:lang w:eastAsia="en-IN"/>
        </w:rPr>
        <w:t xml:space="preserve"> sufficient number</w:t>
      </w:r>
      <w:r w:rsidR="0056659C">
        <w:rPr>
          <w:rFonts w:ascii="Calibri" w:hAnsi="Calibri" w:cs="Calibri"/>
          <w:kern w:val="24"/>
          <w:sz w:val="22"/>
          <w:lang w:eastAsia="en-IN"/>
        </w:rPr>
        <w:t>s</w:t>
      </w:r>
      <w:r w:rsidR="00951F69" w:rsidRPr="0056659C">
        <w:rPr>
          <w:rFonts w:ascii="Calibri" w:hAnsi="Calibri" w:cs="Calibri"/>
          <w:kern w:val="24"/>
          <w:sz w:val="22"/>
          <w:lang w:eastAsia="en-IN"/>
        </w:rPr>
        <w:t>,</w:t>
      </w:r>
      <w:r w:rsidR="0056659C">
        <w:rPr>
          <w:rFonts w:ascii="Calibri" w:hAnsi="Calibri" w:cs="Calibri"/>
          <w:kern w:val="24"/>
          <w:sz w:val="22"/>
          <w:lang w:eastAsia="en-IN"/>
        </w:rPr>
        <w:t xml:space="preserve"> with</w:t>
      </w:r>
      <w:r w:rsidR="00951F69" w:rsidRPr="0056659C">
        <w:rPr>
          <w:rFonts w:ascii="Calibri" w:hAnsi="Calibri" w:cs="Calibri"/>
          <w:kern w:val="24"/>
          <w:sz w:val="22"/>
          <w:lang w:eastAsia="en-IN"/>
        </w:rPr>
        <w:t xml:space="preserve"> right knowledge and skills, and proper motivation</w:t>
      </w:r>
      <w:r w:rsidR="0056659C" w:rsidRPr="0056659C">
        <w:rPr>
          <w:rFonts w:ascii="Calibri" w:hAnsi="Calibri" w:cs="Calibri"/>
          <w:kern w:val="24"/>
          <w:sz w:val="22"/>
          <w:lang w:eastAsia="en-IN"/>
        </w:rPr>
        <w:t xml:space="preserve">. And the absence of such a </w:t>
      </w:r>
      <w:r w:rsidR="00331715" w:rsidRPr="0056659C">
        <w:rPr>
          <w:rFonts w:ascii="Calibri" w:hAnsi="Calibri" w:cs="Calibri"/>
          <w:kern w:val="24"/>
          <w:sz w:val="22"/>
          <w:lang w:eastAsia="en-IN"/>
        </w:rPr>
        <w:t xml:space="preserve">well-prepared HR workforce </w:t>
      </w:r>
      <w:r w:rsidR="0056659C" w:rsidRPr="0056659C">
        <w:rPr>
          <w:rFonts w:ascii="Calibri" w:hAnsi="Calibri" w:cs="Calibri"/>
          <w:kern w:val="24"/>
          <w:sz w:val="22"/>
          <w:lang w:eastAsia="en-IN"/>
        </w:rPr>
        <w:t>will continue</w:t>
      </w:r>
      <w:r w:rsidR="00331715" w:rsidRPr="0056659C">
        <w:rPr>
          <w:rFonts w:ascii="Calibri" w:hAnsi="Calibri" w:cs="Calibri"/>
          <w:kern w:val="24"/>
          <w:sz w:val="22"/>
          <w:lang w:eastAsia="en-IN"/>
        </w:rPr>
        <w:t xml:space="preserve"> to be a major bottleneck in achieving the goal of a TB free India by 2025. </w:t>
      </w:r>
      <w:r w:rsidR="00FF1844" w:rsidRPr="00FF1844">
        <w:rPr>
          <w:rFonts w:ascii="Calibri" w:hAnsi="Calibri" w:cs="Calibri"/>
          <w:kern w:val="24"/>
          <w:sz w:val="22"/>
          <w:lang w:eastAsia="en-IN"/>
        </w:rPr>
        <w:t>With evolving TB management, NTEP has increased its workforce and skill mix over the years to match with demand of service provision</w:t>
      </w:r>
      <w:r w:rsidR="00FF1844">
        <w:rPr>
          <w:rFonts w:ascii="Calibri" w:hAnsi="Calibri" w:cs="Calibri"/>
          <w:kern w:val="24"/>
          <w:sz w:val="22"/>
          <w:lang w:eastAsia="en-IN"/>
        </w:rPr>
        <w:t>.</w:t>
      </w:r>
      <w:r w:rsidR="00331715" w:rsidRPr="0056659C">
        <w:rPr>
          <w:rFonts w:ascii="Calibri" w:hAnsi="Calibri" w:cs="Calibri"/>
          <w:kern w:val="24"/>
          <w:sz w:val="22"/>
          <w:lang w:eastAsia="en-IN"/>
        </w:rPr>
        <w:t xml:space="preserve"> </w:t>
      </w:r>
      <w:r w:rsidR="00FF1844" w:rsidRPr="00FF1844">
        <w:rPr>
          <w:rFonts w:ascii="Calibri" w:hAnsi="Calibri" w:cs="Calibri"/>
          <w:kern w:val="24"/>
          <w:sz w:val="22"/>
          <w:lang w:eastAsia="en-IN"/>
        </w:rPr>
        <w:t>Though NTEP has been defining needs of the staff for TB services, it is the State NHM which manages staff across programmes, and synchronizes their work and efforts following health system approach.  As a part of NHM, TB programme is moving towards workload based staffing, performance based incentives, loyalty incentives etc.</w:t>
      </w:r>
      <w:r w:rsidR="00FF1844">
        <w:rPr>
          <w:rFonts w:ascii="Calibri" w:hAnsi="Calibri" w:cs="Calibri"/>
          <w:kern w:val="24"/>
          <w:sz w:val="22"/>
          <w:lang w:eastAsia="en-IN"/>
        </w:rPr>
        <w:t xml:space="preserve"> </w:t>
      </w:r>
    </w:p>
    <w:p w14:paraId="1FB48AE4" w14:textId="19FCAAC9" w:rsidR="00CC4B17" w:rsidRPr="00E60E25" w:rsidRDefault="00C8229A" w:rsidP="00E60E25">
      <w:pPr>
        <w:spacing w:before="0" w:after="0"/>
        <w:jc w:val="both"/>
        <w:rPr>
          <w:rFonts w:ascii="Calibri" w:hAnsi="Calibri" w:cs="Calibri"/>
          <w:kern w:val="24"/>
          <w:sz w:val="22"/>
          <w:lang w:eastAsia="en-IN"/>
        </w:rPr>
      </w:pPr>
      <w:r>
        <w:rPr>
          <w:rFonts w:ascii="Calibri" w:hAnsi="Calibri" w:cs="Calibri"/>
          <w:kern w:val="24"/>
          <w:sz w:val="22"/>
          <w:lang w:eastAsia="en-IN"/>
        </w:rPr>
        <w:t xml:space="preserve">To address the challenges the NTEP </w:t>
      </w:r>
      <w:r w:rsidR="002D554D">
        <w:rPr>
          <w:rFonts w:ascii="Calibri" w:hAnsi="Calibri" w:cs="Calibri"/>
          <w:kern w:val="24"/>
          <w:sz w:val="22"/>
          <w:lang w:eastAsia="en-IN"/>
        </w:rPr>
        <w:t>will develop a</w:t>
      </w:r>
      <w:r>
        <w:rPr>
          <w:rFonts w:ascii="Calibri" w:hAnsi="Calibri" w:cs="Calibri"/>
          <w:kern w:val="24"/>
          <w:sz w:val="22"/>
          <w:lang w:eastAsia="en-IN"/>
        </w:rPr>
        <w:t xml:space="preserve"> National HR Plan</w:t>
      </w:r>
      <w:r w:rsidR="00FF1844">
        <w:rPr>
          <w:rFonts w:ascii="Calibri" w:hAnsi="Calibri" w:cs="Calibri"/>
          <w:kern w:val="24"/>
          <w:sz w:val="22"/>
          <w:lang w:eastAsia="en-IN"/>
        </w:rPr>
        <w:t xml:space="preserve"> in 2020</w:t>
      </w:r>
      <w:r>
        <w:rPr>
          <w:rFonts w:ascii="Calibri" w:hAnsi="Calibri" w:cs="Calibri"/>
          <w:kern w:val="24"/>
          <w:sz w:val="22"/>
          <w:lang w:eastAsia="en-IN"/>
        </w:rPr>
        <w:t xml:space="preserve"> with</w:t>
      </w:r>
      <w:r w:rsidR="00FF1844">
        <w:rPr>
          <w:rFonts w:ascii="Calibri" w:hAnsi="Calibri" w:cs="Calibri"/>
          <w:kern w:val="24"/>
          <w:sz w:val="22"/>
          <w:lang w:eastAsia="en-IN"/>
        </w:rPr>
        <w:t xml:space="preserve"> a focus on </w:t>
      </w:r>
      <w:r w:rsidR="00FF1844" w:rsidRPr="00E60E25">
        <w:rPr>
          <w:rFonts w:ascii="Calibri" w:hAnsi="Calibri" w:cs="Calibri"/>
          <w:kern w:val="24"/>
          <w:sz w:val="22"/>
          <w:lang w:eastAsia="en-IN"/>
        </w:rPr>
        <w:t>address</w:t>
      </w:r>
      <w:r w:rsidR="00FF1844">
        <w:rPr>
          <w:rFonts w:ascii="Calibri" w:hAnsi="Calibri" w:cs="Calibri"/>
          <w:kern w:val="24"/>
          <w:sz w:val="22"/>
          <w:lang w:eastAsia="en-IN"/>
        </w:rPr>
        <w:t>ing</w:t>
      </w:r>
      <w:r w:rsidR="00FF1844" w:rsidRPr="00E60E25">
        <w:rPr>
          <w:rFonts w:ascii="Calibri" w:hAnsi="Calibri" w:cs="Calibri"/>
          <w:kern w:val="24"/>
          <w:sz w:val="22"/>
          <w:lang w:eastAsia="en-IN"/>
        </w:rPr>
        <w:t xml:space="preserve"> the HR shortcomings by updating NTEP staffing requirements (to include, but not limited to, quantity, skills mix, salary scale, quality of in-service training of staff at all levels) and prioritizing recruitments of positions at all levels</w:t>
      </w:r>
      <w:r w:rsidR="00FF1844">
        <w:rPr>
          <w:rFonts w:ascii="Calibri" w:hAnsi="Calibri" w:cs="Calibri"/>
          <w:kern w:val="24"/>
          <w:sz w:val="22"/>
          <w:lang w:eastAsia="en-IN"/>
        </w:rPr>
        <w:t xml:space="preserve">. </w:t>
      </w:r>
      <w:r>
        <w:rPr>
          <w:rFonts w:ascii="Calibri" w:hAnsi="Calibri" w:cs="Calibri"/>
          <w:kern w:val="24"/>
          <w:sz w:val="22"/>
          <w:lang w:eastAsia="en-IN"/>
        </w:rPr>
        <w:t xml:space="preserve"> </w:t>
      </w:r>
    </w:p>
    <w:p w14:paraId="71111479" w14:textId="77777777" w:rsidR="00DD4576" w:rsidRPr="00C45A90" w:rsidRDefault="00DD4576" w:rsidP="00C45A90">
      <w:pPr>
        <w:jc w:val="both"/>
        <w:rPr>
          <w:rFonts w:asciiTheme="minorHAnsi" w:hAnsiTheme="minorHAnsi" w:cstheme="minorHAnsi"/>
          <w:b/>
          <w:color w:val="C86A07" w:themeColor="accent2" w:themeShade="BF"/>
          <w:sz w:val="28"/>
          <w:lang w:val="en"/>
        </w:rPr>
      </w:pPr>
      <w:r w:rsidRPr="00C45A90">
        <w:rPr>
          <w:rFonts w:asciiTheme="minorHAnsi" w:hAnsiTheme="minorHAnsi" w:cstheme="minorHAnsi"/>
          <w:b/>
          <w:color w:val="C86A07" w:themeColor="accent2" w:themeShade="BF"/>
          <w:sz w:val="28"/>
          <w:lang w:val="en"/>
        </w:rPr>
        <w:t>THE PROGRESS SO FAR:</w:t>
      </w:r>
    </w:p>
    <w:p w14:paraId="238FF5FF" w14:textId="5FA0619E" w:rsidR="00DE5647" w:rsidRPr="00DE5647" w:rsidRDefault="00DE5647" w:rsidP="009136E5">
      <w:pPr>
        <w:pStyle w:val="ListParagraph"/>
        <w:numPr>
          <w:ilvl w:val="0"/>
          <w:numId w:val="68"/>
        </w:numPr>
        <w:spacing w:before="0" w:after="0"/>
        <w:jc w:val="both"/>
        <w:rPr>
          <w:rFonts w:asciiTheme="minorHAnsi" w:hAnsiTheme="minorHAnsi" w:cstheme="minorHAnsi"/>
          <w:sz w:val="22"/>
          <w:lang w:val="en-GB"/>
        </w:rPr>
      </w:pPr>
      <w:r w:rsidRPr="00DE5647">
        <w:rPr>
          <w:rFonts w:asciiTheme="minorHAnsi" w:hAnsiTheme="minorHAnsi" w:cstheme="minorHAnsi"/>
          <w:sz w:val="22"/>
          <w:lang w:val="en-GB"/>
        </w:rPr>
        <w:t>HR levels</w:t>
      </w:r>
      <w:r>
        <w:rPr>
          <w:rFonts w:asciiTheme="minorHAnsi" w:hAnsiTheme="minorHAnsi" w:cstheme="minorHAnsi"/>
          <w:sz w:val="22"/>
          <w:lang w:val="en-GB"/>
        </w:rPr>
        <w:t xml:space="preserve"> are</w:t>
      </w:r>
      <w:r w:rsidRPr="00DE5647">
        <w:rPr>
          <w:rFonts w:asciiTheme="minorHAnsi" w:hAnsiTheme="minorHAnsi" w:cstheme="minorHAnsi"/>
          <w:sz w:val="22"/>
          <w:lang w:val="en-GB"/>
        </w:rPr>
        <w:t xml:space="preserve"> better aligned to the need and to block level TB units</w:t>
      </w:r>
      <w:r>
        <w:rPr>
          <w:rFonts w:asciiTheme="minorHAnsi" w:hAnsiTheme="minorHAnsi" w:cstheme="minorHAnsi"/>
          <w:sz w:val="22"/>
          <w:lang w:val="en-GB"/>
        </w:rPr>
        <w:t>.</w:t>
      </w:r>
    </w:p>
    <w:p w14:paraId="64DD0676" w14:textId="5382AA95" w:rsidR="00DE5647" w:rsidRPr="00DE5647" w:rsidRDefault="00DE5647" w:rsidP="009136E5">
      <w:pPr>
        <w:pStyle w:val="ListParagraph"/>
        <w:numPr>
          <w:ilvl w:val="0"/>
          <w:numId w:val="68"/>
        </w:numPr>
        <w:spacing w:before="0" w:after="0"/>
        <w:jc w:val="both"/>
        <w:rPr>
          <w:rFonts w:asciiTheme="minorHAnsi" w:hAnsiTheme="minorHAnsi" w:cstheme="minorHAnsi"/>
          <w:sz w:val="22"/>
          <w:lang w:val="en-GB"/>
        </w:rPr>
      </w:pPr>
      <w:r w:rsidRPr="00DE5647">
        <w:rPr>
          <w:rFonts w:asciiTheme="minorHAnsi" w:hAnsiTheme="minorHAnsi" w:cstheme="minorHAnsi"/>
          <w:sz w:val="22"/>
          <w:lang w:val="en-GB"/>
        </w:rPr>
        <w:t>In 2014, there was one Senior Treat</w:t>
      </w:r>
      <w:r w:rsidR="00463A05">
        <w:rPr>
          <w:rFonts w:asciiTheme="minorHAnsi" w:hAnsiTheme="minorHAnsi" w:cstheme="minorHAnsi"/>
          <w:sz w:val="22"/>
          <w:lang w:val="en-GB"/>
        </w:rPr>
        <w:t>ment Supervisor (STS) per 41</w:t>
      </w:r>
      <w:r w:rsidRPr="00DE5647">
        <w:rPr>
          <w:rFonts w:asciiTheme="minorHAnsi" w:hAnsiTheme="minorHAnsi" w:cstheme="minorHAnsi"/>
          <w:sz w:val="22"/>
          <w:lang w:val="en-GB"/>
        </w:rPr>
        <w:t>3</w:t>
      </w:r>
      <w:r w:rsidR="00463A05">
        <w:rPr>
          <w:rFonts w:asciiTheme="minorHAnsi" w:hAnsiTheme="minorHAnsi" w:cstheme="minorHAnsi"/>
          <w:sz w:val="22"/>
          <w:lang w:val="en-GB"/>
        </w:rPr>
        <w:t>,000</w:t>
      </w:r>
      <w:r w:rsidRPr="00DE5647">
        <w:rPr>
          <w:rFonts w:asciiTheme="minorHAnsi" w:hAnsiTheme="minorHAnsi" w:cstheme="minorHAnsi"/>
          <w:sz w:val="22"/>
          <w:lang w:val="en-GB"/>
        </w:rPr>
        <w:t xml:space="preserve"> population; in 2019, there is one STS per 274</w:t>
      </w:r>
      <w:r w:rsidR="00463A05">
        <w:rPr>
          <w:rFonts w:asciiTheme="minorHAnsi" w:hAnsiTheme="minorHAnsi" w:cstheme="minorHAnsi"/>
          <w:sz w:val="22"/>
          <w:lang w:val="en-GB"/>
        </w:rPr>
        <w:t xml:space="preserve">,000 </w:t>
      </w:r>
      <w:r w:rsidRPr="00DE5647">
        <w:rPr>
          <w:rFonts w:asciiTheme="minorHAnsi" w:hAnsiTheme="minorHAnsi" w:cstheme="minorHAnsi"/>
          <w:sz w:val="22"/>
          <w:lang w:val="en-GB"/>
        </w:rPr>
        <w:t>population.</w:t>
      </w:r>
    </w:p>
    <w:p w14:paraId="0E4DBA02" w14:textId="26B4F7CD" w:rsidR="00DE5647" w:rsidRPr="00DE5647" w:rsidRDefault="00DE5647" w:rsidP="009136E5">
      <w:pPr>
        <w:pStyle w:val="ListParagraph"/>
        <w:numPr>
          <w:ilvl w:val="0"/>
          <w:numId w:val="68"/>
        </w:numPr>
        <w:spacing w:before="0" w:after="0"/>
        <w:jc w:val="both"/>
        <w:rPr>
          <w:rFonts w:asciiTheme="minorHAnsi" w:hAnsiTheme="minorHAnsi" w:cstheme="minorHAnsi"/>
          <w:sz w:val="22"/>
          <w:lang w:val="en-GB"/>
        </w:rPr>
      </w:pPr>
      <w:r w:rsidRPr="00DE5647">
        <w:rPr>
          <w:rFonts w:asciiTheme="minorHAnsi" w:hAnsiTheme="minorHAnsi" w:cstheme="minorHAnsi"/>
          <w:sz w:val="22"/>
          <w:lang w:val="en-GB"/>
        </w:rPr>
        <w:t>Workload Assessment for undertaking the new initiatives outlined in the</w:t>
      </w:r>
      <w:r w:rsidR="007A162C">
        <w:rPr>
          <w:rFonts w:asciiTheme="minorHAnsi" w:hAnsiTheme="minorHAnsi" w:cstheme="minorHAnsi"/>
          <w:sz w:val="22"/>
          <w:lang w:val="en-GB"/>
        </w:rPr>
        <w:t xml:space="preserve"> earlier</w:t>
      </w:r>
      <w:r w:rsidRPr="00DE5647">
        <w:rPr>
          <w:rFonts w:asciiTheme="minorHAnsi" w:hAnsiTheme="minorHAnsi" w:cstheme="minorHAnsi"/>
          <w:sz w:val="22"/>
          <w:lang w:val="en-GB"/>
        </w:rPr>
        <w:t xml:space="preserve"> NSP is </w:t>
      </w:r>
      <w:r w:rsidR="00194BD7">
        <w:rPr>
          <w:rFonts w:asciiTheme="minorHAnsi" w:hAnsiTheme="minorHAnsi" w:cstheme="minorHAnsi"/>
          <w:sz w:val="22"/>
          <w:lang w:val="en-GB"/>
        </w:rPr>
        <w:t>ongoing</w:t>
      </w:r>
      <w:r w:rsidRPr="00DE5647">
        <w:rPr>
          <w:rFonts w:asciiTheme="minorHAnsi" w:hAnsiTheme="minorHAnsi" w:cstheme="minorHAnsi"/>
          <w:sz w:val="22"/>
          <w:lang w:val="en-GB"/>
        </w:rPr>
        <w:t xml:space="preserve"> and nearing completion.</w:t>
      </w:r>
    </w:p>
    <w:p w14:paraId="1247F704" w14:textId="239E3A66" w:rsidR="00DE5647" w:rsidRPr="00603A1D" w:rsidRDefault="00DE5647" w:rsidP="009136E5">
      <w:pPr>
        <w:pStyle w:val="ListParagraph"/>
        <w:numPr>
          <w:ilvl w:val="0"/>
          <w:numId w:val="68"/>
        </w:numPr>
        <w:spacing w:before="0" w:after="0"/>
        <w:jc w:val="both"/>
        <w:rPr>
          <w:rFonts w:asciiTheme="minorHAnsi" w:hAnsiTheme="minorHAnsi" w:cstheme="minorHAnsi"/>
          <w:sz w:val="22"/>
          <w:lang w:val="en-GB"/>
        </w:rPr>
      </w:pPr>
      <w:r w:rsidRPr="00603A1D">
        <w:rPr>
          <w:rFonts w:asciiTheme="minorHAnsi" w:hAnsiTheme="minorHAnsi" w:cstheme="minorHAnsi"/>
          <w:sz w:val="22"/>
          <w:lang w:val="en-GB"/>
        </w:rPr>
        <w:t xml:space="preserve">Training contents and methodology has been updated and new tools (e.g. e-training modules) have been developed. </w:t>
      </w:r>
    </w:p>
    <w:p w14:paraId="3EE1D52D" w14:textId="212C00A5" w:rsidR="00DE5647" w:rsidRPr="00DE5647" w:rsidRDefault="00DE5647" w:rsidP="009136E5">
      <w:pPr>
        <w:pStyle w:val="ListParagraph"/>
        <w:numPr>
          <w:ilvl w:val="0"/>
          <w:numId w:val="68"/>
        </w:numPr>
        <w:spacing w:before="0" w:after="0"/>
        <w:jc w:val="both"/>
        <w:rPr>
          <w:rFonts w:asciiTheme="minorHAnsi" w:hAnsiTheme="minorHAnsi" w:cstheme="minorHAnsi"/>
          <w:sz w:val="22"/>
          <w:lang w:val="en-GB"/>
        </w:rPr>
      </w:pPr>
      <w:r w:rsidRPr="00DE5647">
        <w:rPr>
          <w:rFonts w:asciiTheme="minorHAnsi" w:hAnsiTheme="minorHAnsi" w:cstheme="minorHAnsi"/>
          <w:sz w:val="22"/>
          <w:lang w:val="en-GB"/>
        </w:rPr>
        <w:t>A performance-based incentive system has been designed and approved to help address the implementation gaps in performance of frontline workers. (</w:t>
      </w:r>
      <w:r w:rsidR="007A162C" w:rsidRPr="00DE5647">
        <w:rPr>
          <w:rFonts w:asciiTheme="minorHAnsi" w:hAnsiTheme="minorHAnsi" w:cstheme="minorHAnsi"/>
          <w:sz w:val="22"/>
          <w:lang w:val="en-GB"/>
        </w:rPr>
        <w:t>E.g</w:t>
      </w:r>
      <w:r w:rsidRPr="00DE5647">
        <w:rPr>
          <w:rFonts w:asciiTheme="minorHAnsi" w:hAnsiTheme="minorHAnsi" w:cstheme="minorHAnsi"/>
          <w:sz w:val="22"/>
          <w:lang w:val="en-GB"/>
        </w:rPr>
        <w:t xml:space="preserve">. of service delivery teams). </w:t>
      </w:r>
    </w:p>
    <w:p w14:paraId="7578DC69" w14:textId="77777777" w:rsidR="007137CC" w:rsidRPr="00C45A90" w:rsidRDefault="007137CC" w:rsidP="00C45A90">
      <w:pPr>
        <w:jc w:val="both"/>
        <w:rPr>
          <w:rFonts w:asciiTheme="minorHAnsi" w:hAnsiTheme="minorHAnsi" w:cstheme="minorHAnsi"/>
          <w:b/>
          <w:color w:val="C86A07" w:themeColor="accent2" w:themeShade="BF"/>
          <w:sz w:val="28"/>
          <w:lang w:val="en"/>
        </w:rPr>
      </w:pPr>
      <w:r w:rsidRPr="00C45A90">
        <w:rPr>
          <w:rFonts w:asciiTheme="minorHAnsi" w:hAnsiTheme="minorHAnsi" w:cstheme="minorHAnsi"/>
          <w:b/>
          <w:color w:val="C86A07" w:themeColor="accent2" w:themeShade="BF"/>
          <w:sz w:val="28"/>
          <w:lang w:val="en"/>
        </w:rPr>
        <w:t>CHALLENGES REMAIN</w:t>
      </w:r>
    </w:p>
    <w:p w14:paraId="6BE6F318" w14:textId="576E6A9A" w:rsidR="001721D0" w:rsidRDefault="00A655B9" w:rsidP="009136E5">
      <w:pPr>
        <w:pStyle w:val="ListParagraph"/>
        <w:numPr>
          <w:ilvl w:val="0"/>
          <w:numId w:val="69"/>
        </w:numPr>
        <w:spacing w:before="0" w:after="0"/>
        <w:jc w:val="both"/>
        <w:rPr>
          <w:rFonts w:asciiTheme="minorHAnsi" w:eastAsia="Times New Roman" w:hAnsiTheme="minorHAnsi" w:cstheme="minorHAnsi"/>
          <w:sz w:val="22"/>
        </w:rPr>
      </w:pPr>
      <w:r w:rsidRPr="00DE5647">
        <w:rPr>
          <w:rFonts w:asciiTheme="minorHAnsi" w:eastAsia="Times New Roman" w:hAnsiTheme="minorHAnsi" w:cstheme="minorHAnsi"/>
          <w:sz w:val="22"/>
        </w:rPr>
        <w:t>High vacancy rates</w:t>
      </w:r>
      <w:r w:rsidR="001721D0">
        <w:rPr>
          <w:rFonts w:asciiTheme="minorHAnsi" w:eastAsia="Times New Roman" w:hAnsiTheme="minorHAnsi" w:cstheme="minorHAnsi"/>
          <w:sz w:val="22"/>
        </w:rPr>
        <w:t xml:space="preserve"> (Figure 1</w:t>
      </w:r>
      <w:r w:rsidR="004D3907">
        <w:rPr>
          <w:rFonts w:asciiTheme="minorHAnsi" w:eastAsia="Times New Roman" w:hAnsiTheme="minorHAnsi" w:cstheme="minorHAnsi"/>
          <w:sz w:val="22"/>
        </w:rPr>
        <w:t>9</w:t>
      </w:r>
      <w:r w:rsidR="001721D0">
        <w:rPr>
          <w:rFonts w:asciiTheme="minorHAnsi" w:eastAsia="Times New Roman" w:hAnsiTheme="minorHAnsi" w:cstheme="minorHAnsi"/>
          <w:sz w:val="22"/>
        </w:rPr>
        <w:t>)</w:t>
      </w:r>
      <w:r w:rsidRPr="00DE5647">
        <w:rPr>
          <w:rFonts w:asciiTheme="minorHAnsi" w:eastAsia="Times New Roman" w:hAnsiTheme="minorHAnsi" w:cstheme="minorHAnsi"/>
          <w:sz w:val="22"/>
        </w:rPr>
        <w:t xml:space="preserve"> of key positions at all levels, including the general health system and </w:t>
      </w:r>
      <w:r w:rsidR="007B135B" w:rsidRPr="00DE5647">
        <w:rPr>
          <w:rFonts w:asciiTheme="minorHAnsi" w:eastAsia="Times New Roman" w:hAnsiTheme="minorHAnsi" w:cstheme="minorHAnsi"/>
          <w:sz w:val="22"/>
        </w:rPr>
        <w:t>NTEP</w:t>
      </w:r>
      <w:r w:rsidR="005F18A4">
        <w:rPr>
          <w:rFonts w:asciiTheme="minorHAnsi" w:eastAsia="Times New Roman" w:hAnsiTheme="minorHAnsi" w:cstheme="minorHAnsi"/>
          <w:sz w:val="22"/>
        </w:rPr>
        <w:t xml:space="preserve">. </w:t>
      </w:r>
      <w:r w:rsidR="00EE37DF">
        <w:rPr>
          <w:rFonts w:asciiTheme="minorHAnsi" w:eastAsia="Times New Roman" w:hAnsiTheme="minorHAnsi" w:cstheme="minorHAnsi"/>
          <w:sz w:val="22"/>
        </w:rPr>
        <w:t xml:space="preserve"> </w:t>
      </w:r>
      <w:r w:rsidR="001721D0">
        <w:rPr>
          <w:rFonts w:asciiTheme="minorHAnsi" w:eastAsia="Times New Roman" w:hAnsiTheme="minorHAnsi" w:cstheme="minorHAnsi"/>
          <w:sz w:val="22"/>
        </w:rPr>
        <w:t xml:space="preserve"> </w:t>
      </w:r>
    </w:p>
    <w:p w14:paraId="1FF8DDF4" w14:textId="65294099" w:rsidR="00D02C5D" w:rsidRPr="001721D0" w:rsidRDefault="001721D0" w:rsidP="00603A1D">
      <w:pPr>
        <w:spacing w:before="0" w:after="0"/>
        <w:rPr>
          <w:rFonts w:asciiTheme="minorHAnsi" w:eastAsia="Times New Roman" w:hAnsiTheme="minorHAnsi" w:cstheme="minorHAnsi"/>
          <w:sz w:val="22"/>
        </w:rPr>
      </w:pPr>
      <w:r>
        <w:rPr>
          <w:rFonts w:asciiTheme="minorHAnsi" w:hAnsiTheme="minorHAnsi" w:cstheme="minorHAnsi"/>
          <w:b/>
          <w:sz w:val="18"/>
        </w:rPr>
        <w:tab/>
      </w:r>
      <w:r w:rsidR="00D02C5D" w:rsidRPr="001721D0">
        <w:rPr>
          <w:rFonts w:asciiTheme="minorHAnsi" w:hAnsiTheme="minorHAnsi" w:cstheme="minorHAnsi"/>
          <w:b/>
          <w:sz w:val="18"/>
        </w:rPr>
        <w:t xml:space="preserve">Figure </w:t>
      </w:r>
      <w:r w:rsidRPr="001721D0">
        <w:rPr>
          <w:rFonts w:asciiTheme="minorHAnsi" w:hAnsiTheme="minorHAnsi" w:cstheme="minorHAnsi"/>
          <w:b/>
          <w:sz w:val="18"/>
        </w:rPr>
        <w:t>1</w:t>
      </w:r>
      <w:r w:rsidR="00463972">
        <w:rPr>
          <w:rFonts w:asciiTheme="minorHAnsi" w:hAnsiTheme="minorHAnsi" w:cstheme="minorHAnsi"/>
          <w:b/>
          <w:sz w:val="18"/>
        </w:rPr>
        <w:t>9</w:t>
      </w:r>
      <w:r w:rsidR="00D02C5D" w:rsidRPr="001721D0">
        <w:rPr>
          <w:rFonts w:asciiTheme="minorHAnsi" w:hAnsiTheme="minorHAnsi" w:cstheme="minorHAnsi"/>
          <w:b/>
          <w:sz w:val="18"/>
        </w:rPr>
        <w:t xml:space="preserve">: </w:t>
      </w:r>
      <w:r w:rsidR="00EE37DF" w:rsidRPr="001721D0">
        <w:rPr>
          <w:rFonts w:asciiTheme="minorHAnsi" w:hAnsiTheme="minorHAnsi" w:cstheme="minorHAnsi"/>
          <w:b/>
          <w:sz w:val="18"/>
        </w:rPr>
        <w:t>V</w:t>
      </w:r>
      <w:r w:rsidR="00D02C5D" w:rsidRPr="001721D0">
        <w:rPr>
          <w:rFonts w:asciiTheme="minorHAnsi" w:hAnsiTheme="minorHAnsi" w:cstheme="minorHAnsi"/>
          <w:b/>
          <w:sz w:val="18"/>
        </w:rPr>
        <w:t>acancy rate (%) for state-level positions.</w:t>
      </w:r>
    </w:p>
    <w:p w14:paraId="0BF0BECB" w14:textId="6F7461DF" w:rsidR="00EE37DF" w:rsidRDefault="000A3818" w:rsidP="005A0FA2">
      <w:pPr>
        <w:spacing w:before="0" w:after="0"/>
        <w:jc w:val="center"/>
        <w:rPr>
          <w:rFonts w:asciiTheme="minorHAnsi" w:hAnsiTheme="minorHAnsi" w:cstheme="minorHAnsi"/>
          <w:b/>
          <w:sz w:val="18"/>
        </w:rPr>
      </w:pPr>
      <w:r w:rsidRPr="000A3818">
        <w:rPr>
          <w:noProof/>
          <w:lang w:val="en-IN" w:eastAsia="en-IN"/>
        </w:rPr>
        <w:lastRenderedPageBreak/>
        <w:drawing>
          <wp:inline distT="0" distB="0" distL="0" distR="0" wp14:anchorId="5EDBA5BD" wp14:editId="4D9D17DF">
            <wp:extent cx="4632041" cy="233364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0370"/>
                    <a:stretch/>
                  </pic:blipFill>
                  <pic:spPr bwMode="auto">
                    <a:xfrm>
                      <a:off x="0" y="0"/>
                      <a:ext cx="4637258" cy="2336273"/>
                    </a:xfrm>
                    <a:prstGeom prst="rect">
                      <a:avLst/>
                    </a:prstGeom>
                    <a:ln>
                      <a:noFill/>
                    </a:ln>
                    <a:extLst>
                      <a:ext uri="{53640926-AAD7-44D8-BBD7-CCE9431645EC}">
                        <a14:shadowObscured xmlns:a14="http://schemas.microsoft.com/office/drawing/2010/main"/>
                      </a:ext>
                    </a:extLst>
                  </pic:spPr>
                </pic:pic>
              </a:graphicData>
            </a:graphic>
          </wp:inline>
        </w:drawing>
      </w:r>
    </w:p>
    <w:p w14:paraId="167DB4B8" w14:textId="24C44813" w:rsidR="00D02C5D" w:rsidRPr="00EE37DF" w:rsidRDefault="00463972" w:rsidP="00E60E25">
      <w:pPr>
        <w:spacing w:before="0" w:after="0"/>
        <w:jc w:val="both"/>
        <w:rPr>
          <w:rFonts w:asciiTheme="minorHAnsi" w:hAnsiTheme="minorHAnsi" w:cstheme="minorHAnsi"/>
          <w:b/>
          <w:sz w:val="18"/>
        </w:rPr>
      </w:pPr>
      <w:r>
        <w:rPr>
          <w:rFonts w:asciiTheme="minorHAnsi" w:hAnsiTheme="minorHAnsi" w:cstheme="minorHAnsi"/>
          <w:b/>
          <w:sz w:val="18"/>
        </w:rPr>
        <w:t>Figure 20</w:t>
      </w:r>
      <w:r w:rsidR="00D02C5D" w:rsidRPr="00EE37DF">
        <w:rPr>
          <w:rFonts w:asciiTheme="minorHAnsi" w:hAnsiTheme="minorHAnsi" w:cstheme="minorHAnsi"/>
          <w:b/>
          <w:sz w:val="18"/>
        </w:rPr>
        <w:t xml:space="preserve">: The graph </w:t>
      </w:r>
      <w:r w:rsidR="00500969">
        <w:rPr>
          <w:rFonts w:asciiTheme="minorHAnsi" w:hAnsiTheme="minorHAnsi" w:cstheme="minorHAnsi"/>
          <w:b/>
          <w:sz w:val="18"/>
        </w:rPr>
        <w:t>below</w:t>
      </w:r>
      <w:r w:rsidR="00D02C5D" w:rsidRPr="00EE37DF">
        <w:rPr>
          <w:rFonts w:asciiTheme="minorHAnsi" w:hAnsiTheme="minorHAnsi" w:cstheme="minorHAnsi"/>
          <w:b/>
          <w:sz w:val="18"/>
        </w:rPr>
        <w:t xml:space="preserve"> shows the number of approved positions for the culture and drug sensitivity testing (CDST) labs and the number of actual filled positions at the CDST labs.</w:t>
      </w:r>
    </w:p>
    <w:p w14:paraId="3475CBD1" w14:textId="1E14FA79" w:rsidR="00D02C5D" w:rsidRPr="00DE5647" w:rsidRDefault="00500969" w:rsidP="00E60E25">
      <w:pPr>
        <w:spacing w:before="0" w:after="0"/>
        <w:jc w:val="both"/>
        <w:rPr>
          <w:rFonts w:asciiTheme="minorHAnsi" w:hAnsiTheme="minorHAnsi" w:cstheme="minorHAnsi"/>
          <w:sz w:val="22"/>
        </w:rPr>
      </w:pPr>
      <w:r w:rsidRPr="00500969">
        <w:rPr>
          <w:noProof/>
          <w:lang w:val="en-IN" w:eastAsia="en-IN"/>
        </w:rPr>
        <w:drawing>
          <wp:inline distT="0" distB="0" distL="0" distR="0" wp14:anchorId="25D9B54C" wp14:editId="1EA99477">
            <wp:extent cx="3569335" cy="163382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03474" cy="1649447"/>
                    </a:xfrm>
                    <a:prstGeom prst="rect">
                      <a:avLst/>
                    </a:prstGeom>
                  </pic:spPr>
                </pic:pic>
              </a:graphicData>
            </a:graphic>
          </wp:inline>
        </w:drawing>
      </w:r>
    </w:p>
    <w:p w14:paraId="2474B891" w14:textId="20FB9481" w:rsidR="00D02C5D" w:rsidRDefault="00D02C5D" w:rsidP="00E60E25">
      <w:pPr>
        <w:jc w:val="both"/>
        <w:rPr>
          <w:rFonts w:asciiTheme="minorHAnsi" w:eastAsia="Times New Roman" w:hAnsiTheme="minorHAnsi" w:cstheme="minorHAnsi"/>
          <w:b/>
          <w:sz w:val="18"/>
        </w:rPr>
      </w:pPr>
      <w:r w:rsidRPr="00EE37DF">
        <w:rPr>
          <w:rFonts w:asciiTheme="minorHAnsi" w:eastAsia="Times New Roman" w:hAnsiTheme="minorHAnsi" w:cstheme="minorHAnsi"/>
          <w:b/>
          <w:sz w:val="18"/>
        </w:rPr>
        <w:t xml:space="preserve">Figure </w:t>
      </w:r>
      <w:r w:rsidR="00463972">
        <w:rPr>
          <w:rFonts w:asciiTheme="minorHAnsi" w:eastAsia="Times New Roman" w:hAnsiTheme="minorHAnsi" w:cstheme="minorHAnsi"/>
          <w:b/>
          <w:sz w:val="18"/>
        </w:rPr>
        <w:t>21</w:t>
      </w:r>
      <w:r w:rsidRPr="00EE37DF">
        <w:rPr>
          <w:rFonts w:asciiTheme="minorHAnsi" w:eastAsia="Times New Roman" w:hAnsiTheme="minorHAnsi" w:cstheme="minorHAnsi"/>
          <w:b/>
          <w:sz w:val="18"/>
        </w:rPr>
        <w:t xml:space="preserve">: The graph </w:t>
      </w:r>
      <w:r w:rsidR="00500969">
        <w:rPr>
          <w:rFonts w:asciiTheme="minorHAnsi" w:eastAsia="Times New Roman" w:hAnsiTheme="minorHAnsi" w:cstheme="minorHAnsi"/>
          <w:b/>
          <w:sz w:val="18"/>
        </w:rPr>
        <w:t>below</w:t>
      </w:r>
      <w:r w:rsidRPr="00EE37DF">
        <w:rPr>
          <w:rFonts w:asciiTheme="minorHAnsi" w:eastAsia="Times New Roman" w:hAnsiTheme="minorHAnsi" w:cstheme="minorHAnsi"/>
          <w:b/>
          <w:sz w:val="18"/>
        </w:rPr>
        <w:t xml:space="preserve"> shows the number of approved positions for district-level accountants and the number of actual district-level accountant positions filled.</w:t>
      </w:r>
      <w:r w:rsidR="00EE37DF">
        <w:rPr>
          <w:rFonts w:asciiTheme="minorHAnsi" w:eastAsia="Times New Roman" w:hAnsiTheme="minorHAnsi" w:cstheme="minorHAnsi"/>
          <w:b/>
          <w:sz w:val="18"/>
        </w:rPr>
        <w:t xml:space="preserve"> </w:t>
      </w:r>
    </w:p>
    <w:p w14:paraId="51C56DA6" w14:textId="6E84E98A" w:rsidR="00EE37DF" w:rsidRDefault="00500969" w:rsidP="00E60E25">
      <w:pPr>
        <w:jc w:val="both"/>
        <w:rPr>
          <w:rFonts w:asciiTheme="minorHAnsi" w:eastAsia="Times New Roman" w:hAnsiTheme="minorHAnsi" w:cstheme="minorHAnsi"/>
          <w:b/>
          <w:sz w:val="18"/>
        </w:rPr>
      </w:pPr>
      <w:r w:rsidRPr="00500969">
        <w:rPr>
          <w:noProof/>
          <w:lang w:val="en-IN" w:eastAsia="en-IN"/>
        </w:rPr>
        <w:drawing>
          <wp:inline distT="0" distB="0" distL="0" distR="0" wp14:anchorId="7C0055BB" wp14:editId="6AB15386">
            <wp:extent cx="3569677" cy="17031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74049" cy="1705265"/>
                    </a:xfrm>
                    <a:prstGeom prst="rect">
                      <a:avLst/>
                    </a:prstGeom>
                  </pic:spPr>
                </pic:pic>
              </a:graphicData>
            </a:graphic>
          </wp:inline>
        </w:drawing>
      </w:r>
    </w:p>
    <w:p w14:paraId="2A812882" w14:textId="702A2511" w:rsidR="00D02C5D" w:rsidRPr="00DE5647" w:rsidRDefault="00D02C5D" w:rsidP="009136E5">
      <w:pPr>
        <w:pStyle w:val="ListParagraph"/>
        <w:numPr>
          <w:ilvl w:val="0"/>
          <w:numId w:val="69"/>
        </w:numPr>
        <w:spacing w:before="0" w:after="0"/>
        <w:jc w:val="both"/>
        <w:rPr>
          <w:rFonts w:asciiTheme="minorHAnsi" w:eastAsia="Times New Roman" w:hAnsiTheme="minorHAnsi" w:cstheme="minorHAnsi"/>
          <w:sz w:val="22"/>
        </w:rPr>
      </w:pPr>
      <w:r w:rsidRPr="00DE5647">
        <w:rPr>
          <w:rFonts w:asciiTheme="minorHAnsi" w:eastAsia="Times New Roman" w:hAnsiTheme="minorHAnsi" w:cstheme="minorHAnsi"/>
          <w:sz w:val="22"/>
        </w:rPr>
        <w:t>The Terms of Reference (TOR) for staff at the state, district and sub-district level are not representative of the expanded, ambitious scope of the NSP.</w:t>
      </w:r>
    </w:p>
    <w:p w14:paraId="37FBD07A" w14:textId="77777777" w:rsidR="00D02C5D" w:rsidRPr="00DE5647" w:rsidRDefault="00D02C5D" w:rsidP="009136E5">
      <w:pPr>
        <w:pStyle w:val="ListParagraph"/>
        <w:numPr>
          <w:ilvl w:val="0"/>
          <w:numId w:val="69"/>
        </w:numPr>
        <w:spacing w:before="0" w:after="0"/>
        <w:jc w:val="both"/>
        <w:rPr>
          <w:rFonts w:asciiTheme="minorHAnsi" w:eastAsia="Times New Roman" w:hAnsiTheme="minorHAnsi" w:cstheme="minorHAnsi"/>
          <w:sz w:val="22"/>
        </w:rPr>
      </w:pPr>
      <w:r w:rsidRPr="00DE5647">
        <w:rPr>
          <w:rFonts w:asciiTheme="minorHAnsi" w:eastAsia="Times New Roman" w:hAnsiTheme="minorHAnsi" w:cstheme="minorHAnsi"/>
          <w:sz w:val="22"/>
        </w:rPr>
        <w:t>State level decision on salary scales leads to inequity among states.  Further, these scales are often ill-aligned with market rates leading to lack of interested, qualified applicants</w:t>
      </w:r>
    </w:p>
    <w:p w14:paraId="5279BC93" w14:textId="77777777" w:rsidR="00D02C5D" w:rsidRPr="00DE5647" w:rsidRDefault="00D02C5D" w:rsidP="009136E5">
      <w:pPr>
        <w:pStyle w:val="ListParagraph"/>
        <w:numPr>
          <w:ilvl w:val="0"/>
          <w:numId w:val="69"/>
        </w:numPr>
        <w:spacing w:before="0" w:after="0"/>
        <w:jc w:val="both"/>
        <w:rPr>
          <w:rFonts w:asciiTheme="minorHAnsi" w:eastAsia="Times New Roman" w:hAnsiTheme="minorHAnsi" w:cstheme="minorHAnsi"/>
          <w:sz w:val="22"/>
        </w:rPr>
      </w:pPr>
      <w:r w:rsidRPr="00DE5647">
        <w:rPr>
          <w:rFonts w:asciiTheme="minorHAnsi" w:eastAsia="Times New Roman" w:hAnsiTheme="minorHAnsi" w:cstheme="minorHAnsi"/>
          <w:sz w:val="22"/>
        </w:rPr>
        <w:t xml:space="preserve">While some strides have been made in ensuring that adequate training of personnel, gaps persist.  For example, a needs assessment has not been completed at all levels and e-training modules are not yet operational. </w:t>
      </w:r>
    </w:p>
    <w:p w14:paraId="7CA658C6" w14:textId="1838ECFC" w:rsidR="00D02C5D" w:rsidRPr="00F66EA8" w:rsidRDefault="00D02C5D" w:rsidP="009136E5">
      <w:pPr>
        <w:pStyle w:val="ListParagraph"/>
        <w:numPr>
          <w:ilvl w:val="0"/>
          <w:numId w:val="69"/>
        </w:numPr>
        <w:spacing w:before="0" w:after="0"/>
        <w:jc w:val="both"/>
        <w:rPr>
          <w:rFonts w:asciiTheme="minorHAnsi" w:hAnsiTheme="minorHAnsi" w:cstheme="minorHAnsi"/>
          <w:sz w:val="22"/>
        </w:rPr>
      </w:pPr>
      <w:r w:rsidRPr="00F66EA8">
        <w:rPr>
          <w:rFonts w:asciiTheme="minorHAnsi" w:eastAsia="Times New Roman" w:hAnsiTheme="minorHAnsi" w:cstheme="minorHAnsi"/>
          <w:sz w:val="22"/>
        </w:rPr>
        <w:t>A marked lack of capacity at the State Tuberculosis Training and Demonstration Center (STDC) perpetuates weak state and district/sub-district level capacity to support the increasing</w:t>
      </w:r>
      <w:r w:rsidR="00F66EA8" w:rsidRPr="00F66EA8">
        <w:rPr>
          <w:rFonts w:asciiTheme="minorHAnsi" w:eastAsia="Times New Roman" w:hAnsiTheme="minorHAnsi" w:cstheme="minorHAnsi"/>
          <w:sz w:val="22"/>
        </w:rPr>
        <w:t xml:space="preserve"> </w:t>
      </w:r>
      <w:r w:rsidRPr="00F66EA8">
        <w:rPr>
          <w:rFonts w:asciiTheme="minorHAnsi" w:eastAsia="Times New Roman" w:hAnsiTheme="minorHAnsi" w:cstheme="minorHAnsi"/>
          <w:sz w:val="22"/>
        </w:rPr>
        <w:t xml:space="preserve">programmatic demands of the </w:t>
      </w:r>
      <w:r w:rsidR="007B135B" w:rsidRPr="00F66EA8">
        <w:rPr>
          <w:rFonts w:asciiTheme="minorHAnsi" w:eastAsia="Times New Roman" w:hAnsiTheme="minorHAnsi" w:cstheme="minorHAnsi"/>
          <w:sz w:val="22"/>
        </w:rPr>
        <w:t>NTEP</w:t>
      </w:r>
    </w:p>
    <w:p w14:paraId="2C6DA588" w14:textId="77777777" w:rsidR="001721D0" w:rsidRDefault="001721D0" w:rsidP="00C45A90">
      <w:pPr>
        <w:jc w:val="both"/>
        <w:rPr>
          <w:rFonts w:asciiTheme="minorHAnsi" w:hAnsiTheme="minorHAnsi" w:cstheme="minorHAnsi"/>
          <w:b/>
          <w:color w:val="C86A07" w:themeColor="accent2" w:themeShade="BF"/>
          <w:sz w:val="28"/>
          <w:lang w:val="en"/>
        </w:rPr>
      </w:pPr>
    </w:p>
    <w:p w14:paraId="4331CB08" w14:textId="3E698C5A" w:rsidR="00EB1896" w:rsidRPr="00C45A90" w:rsidRDefault="00EB1896" w:rsidP="00C45A90">
      <w:pPr>
        <w:jc w:val="both"/>
        <w:rPr>
          <w:rFonts w:asciiTheme="minorHAnsi" w:hAnsiTheme="minorHAnsi" w:cstheme="minorHAnsi"/>
          <w:b/>
          <w:color w:val="C86A07" w:themeColor="accent2" w:themeShade="BF"/>
          <w:sz w:val="28"/>
          <w:lang w:val="en"/>
        </w:rPr>
      </w:pPr>
      <w:r w:rsidRPr="00C45A90">
        <w:rPr>
          <w:rFonts w:asciiTheme="minorHAnsi" w:hAnsiTheme="minorHAnsi" w:cstheme="minorHAnsi"/>
          <w:b/>
          <w:color w:val="C86A07" w:themeColor="accent2" w:themeShade="BF"/>
          <w:sz w:val="28"/>
          <w:lang w:val="en"/>
        </w:rPr>
        <w:lastRenderedPageBreak/>
        <w:t>THE WAY FORWARD</w:t>
      </w:r>
    </w:p>
    <w:p w14:paraId="44C6981A" w14:textId="5A38FD05" w:rsidR="00FF1844" w:rsidRDefault="006B7923" w:rsidP="006B7923">
      <w:pPr>
        <w:spacing w:before="0"/>
        <w:jc w:val="both"/>
        <w:rPr>
          <w:rFonts w:asciiTheme="minorHAnsi" w:hAnsiTheme="minorHAnsi" w:cstheme="minorHAnsi"/>
          <w:sz w:val="22"/>
        </w:rPr>
      </w:pPr>
      <w:r w:rsidRPr="0056659C">
        <w:rPr>
          <w:rFonts w:asciiTheme="minorHAnsi" w:hAnsiTheme="minorHAnsi" w:cstheme="minorHAnsi"/>
          <w:b/>
          <w:sz w:val="22"/>
        </w:rPr>
        <w:t>1.2.1</w:t>
      </w:r>
      <w:r>
        <w:rPr>
          <w:rFonts w:asciiTheme="minorHAnsi" w:hAnsiTheme="minorHAnsi" w:cstheme="minorHAnsi"/>
          <w:sz w:val="22"/>
        </w:rPr>
        <w:t xml:space="preserve"> </w:t>
      </w:r>
      <w:r w:rsidR="00E73E11">
        <w:rPr>
          <w:rFonts w:asciiTheme="minorHAnsi" w:hAnsiTheme="minorHAnsi" w:cstheme="minorHAnsi"/>
          <w:sz w:val="22"/>
        </w:rPr>
        <w:t xml:space="preserve">Execution of the </w:t>
      </w:r>
      <w:r w:rsidR="00FF1844" w:rsidRPr="00E73E11">
        <w:rPr>
          <w:rFonts w:asciiTheme="minorHAnsi" w:hAnsiTheme="minorHAnsi" w:cstheme="minorHAnsi"/>
          <w:b/>
          <w:sz w:val="22"/>
        </w:rPr>
        <w:t xml:space="preserve">National </w:t>
      </w:r>
      <w:r w:rsidR="00194BD7">
        <w:rPr>
          <w:rFonts w:asciiTheme="minorHAnsi" w:hAnsiTheme="minorHAnsi" w:cstheme="minorHAnsi"/>
          <w:b/>
          <w:sz w:val="22"/>
        </w:rPr>
        <w:t xml:space="preserve">NTEP </w:t>
      </w:r>
      <w:r w:rsidR="00FF1844" w:rsidRPr="00E73E11">
        <w:rPr>
          <w:rFonts w:asciiTheme="minorHAnsi" w:hAnsiTheme="minorHAnsi" w:cstheme="minorHAnsi"/>
          <w:b/>
          <w:sz w:val="22"/>
        </w:rPr>
        <w:t>HR plan</w:t>
      </w:r>
      <w:r w:rsidR="00FF1844">
        <w:rPr>
          <w:rFonts w:asciiTheme="minorHAnsi" w:hAnsiTheme="minorHAnsi" w:cstheme="minorHAnsi"/>
          <w:sz w:val="22"/>
        </w:rPr>
        <w:t xml:space="preserve"> </w:t>
      </w:r>
      <w:r w:rsidR="00E73E11">
        <w:rPr>
          <w:rFonts w:asciiTheme="minorHAnsi" w:hAnsiTheme="minorHAnsi" w:cstheme="minorHAnsi"/>
          <w:sz w:val="22"/>
        </w:rPr>
        <w:t xml:space="preserve">with </w:t>
      </w:r>
      <w:r w:rsidR="00576067">
        <w:rPr>
          <w:rFonts w:asciiTheme="minorHAnsi" w:hAnsiTheme="minorHAnsi" w:cstheme="minorHAnsi"/>
          <w:sz w:val="22"/>
        </w:rPr>
        <w:t xml:space="preserve">the aim to </w:t>
      </w:r>
      <w:r w:rsidR="00D41959">
        <w:rPr>
          <w:rFonts w:asciiTheme="minorHAnsi" w:hAnsiTheme="minorHAnsi" w:cstheme="minorHAnsi"/>
          <w:sz w:val="22"/>
        </w:rPr>
        <w:t xml:space="preserve">harness the full potential of human resources in the NTEP </w:t>
      </w:r>
      <w:r w:rsidR="000A68E0">
        <w:rPr>
          <w:rFonts w:asciiTheme="minorHAnsi" w:hAnsiTheme="minorHAnsi" w:cstheme="minorHAnsi"/>
          <w:sz w:val="22"/>
        </w:rPr>
        <w:t>structure</w:t>
      </w:r>
      <w:r w:rsidR="00D41959">
        <w:rPr>
          <w:rFonts w:asciiTheme="minorHAnsi" w:hAnsiTheme="minorHAnsi" w:cstheme="minorHAnsi"/>
          <w:sz w:val="22"/>
        </w:rPr>
        <w:t xml:space="preserve">. </w:t>
      </w:r>
      <w:r w:rsidR="00EB3C73">
        <w:rPr>
          <w:rFonts w:asciiTheme="minorHAnsi" w:hAnsiTheme="minorHAnsi" w:cstheme="minorHAnsi"/>
          <w:sz w:val="22"/>
        </w:rPr>
        <w:t>The proposed organograms</w:t>
      </w:r>
      <w:r w:rsidR="000302D0">
        <w:rPr>
          <w:rFonts w:asciiTheme="minorHAnsi" w:hAnsiTheme="minorHAnsi" w:cstheme="minorHAnsi"/>
          <w:sz w:val="22"/>
        </w:rPr>
        <w:t xml:space="preserve"> </w:t>
      </w:r>
      <w:r w:rsidR="00EB3C73">
        <w:rPr>
          <w:rFonts w:asciiTheme="minorHAnsi" w:hAnsiTheme="minorHAnsi" w:cstheme="minorHAnsi"/>
          <w:sz w:val="22"/>
        </w:rPr>
        <w:t>at various levels are as follows:</w:t>
      </w:r>
    </w:p>
    <w:p w14:paraId="0FDE75AE" w14:textId="655BC72D" w:rsidR="00EB3C73" w:rsidRPr="00EB3C73" w:rsidRDefault="00463972" w:rsidP="00194BD7">
      <w:pPr>
        <w:shd w:val="clear" w:color="auto" w:fill="17365D" w:themeFill="text2" w:themeFillShade="BF"/>
        <w:spacing w:before="0"/>
        <w:jc w:val="both"/>
        <w:rPr>
          <w:rFonts w:asciiTheme="minorHAnsi" w:hAnsiTheme="minorHAnsi" w:cstheme="minorHAnsi"/>
          <w:b/>
          <w:sz w:val="22"/>
        </w:rPr>
      </w:pPr>
      <w:r>
        <w:rPr>
          <w:rFonts w:asciiTheme="minorHAnsi" w:hAnsiTheme="minorHAnsi" w:cstheme="minorHAnsi"/>
          <w:b/>
          <w:sz w:val="22"/>
        </w:rPr>
        <w:t xml:space="preserve">Figure 22: </w:t>
      </w:r>
      <w:r w:rsidR="00D80B87">
        <w:rPr>
          <w:rFonts w:asciiTheme="minorHAnsi" w:hAnsiTheme="minorHAnsi" w:cstheme="minorHAnsi"/>
          <w:b/>
          <w:sz w:val="22"/>
        </w:rPr>
        <w:t>N</w:t>
      </w:r>
      <w:r w:rsidR="00EB3C73" w:rsidRPr="00EB3C73">
        <w:rPr>
          <w:rFonts w:asciiTheme="minorHAnsi" w:hAnsiTheme="minorHAnsi" w:cstheme="minorHAnsi"/>
          <w:b/>
          <w:sz w:val="22"/>
        </w:rPr>
        <w:t>ational level</w:t>
      </w:r>
      <w:r w:rsidR="00D80B87">
        <w:rPr>
          <w:rFonts w:asciiTheme="minorHAnsi" w:hAnsiTheme="minorHAnsi" w:cstheme="minorHAnsi"/>
          <w:b/>
          <w:sz w:val="22"/>
        </w:rPr>
        <w:t xml:space="preserve"> NTEP organogram</w:t>
      </w:r>
      <w:r w:rsidR="00EB3C73" w:rsidRPr="00EB3C73">
        <w:rPr>
          <w:rFonts w:asciiTheme="minorHAnsi" w:hAnsiTheme="minorHAnsi" w:cstheme="minorHAnsi"/>
          <w:b/>
          <w:sz w:val="22"/>
        </w:rPr>
        <w:t>:</w:t>
      </w:r>
    </w:p>
    <w:p w14:paraId="728F6DCB" w14:textId="6E8FEF03" w:rsidR="00194BD7" w:rsidRDefault="003076B9" w:rsidP="00576067">
      <w:pPr>
        <w:spacing w:before="0" w:after="0"/>
        <w:jc w:val="both"/>
        <w:rPr>
          <w:rFonts w:asciiTheme="minorHAnsi" w:hAnsiTheme="minorHAnsi" w:cstheme="minorHAnsi"/>
          <w:b/>
          <w:sz w:val="22"/>
        </w:rPr>
      </w:pPr>
      <w:r w:rsidRPr="003076B9">
        <w:rPr>
          <w:noProof/>
          <w:lang w:val="en-IN" w:eastAsia="en-IN"/>
        </w:rPr>
        <w:drawing>
          <wp:inline distT="0" distB="0" distL="0" distR="0" wp14:anchorId="22D13729" wp14:editId="2FDE21A9">
            <wp:extent cx="5732145" cy="3536315"/>
            <wp:effectExtent l="0" t="0" r="190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3536315"/>
                    </a:xfrm>
                    <a:prstGeom prst="rect">
                      <a:avLst/>
                    </a:prstGeom>
                  </pic:spPr>
                </pic:pic>
              </a:graphicData>
            </a:graphic>
          </wp:inline>
        </w:drawing>
      </w:r>
    </w:p>
    <w:p w14:paraId="12F7A696" w14:textId="77777777" w:rsidR="00194BD7" w:rsidRDefault="00194BD7" w:rsidP="00576067">
      <w:pPr>
        <w:spacing w:before="0" w:after="0"/>
        <w:jc w:val="both"/>
        <w:rPr>
          <w:rFonts w:asciiTheme="minorHAnsi" w:hAnsiTheme="minorHAnsi" w:cstheme="minorHAnsi"/>
          <w:b/>
          <w:sz w:val="22"/>
        </w:rPr>
      </w:pPr>
    </w:p>
    <w:p w14:paraId="58FC05BB" w14:textId="6BDA4DEB" w:rsidR="00EB3C73" w:rsidRPr="00576067" w:rsidRDefault="00463972" w:rsidP="001254FA">
      <w:pPr>
        <w:shd w:val="clear" w:color="auto" w:fill="17365D" w:themeFill="text2" w:themeFillShade="BF"/>
        <w:spacing w:before="0" w:after="0"/>
        <w:jc w:val="both"/>
        <w:rPr>
          <w:rFonts w:asciiTheme="minorHAnsi" w:hAnsiTheme="minorHAnsi" w:cstheme="minorHAnsi"/>
          <w:sz w:val="22"/>
        </w:rPr>
      </w:pPr>
      <w:r>
        <w:rPr>
          <w:rFonts w:asciiTheme="minorHAnsi" w:hAnsiTheme="minorHAnsi" w:cstheme="minorHAnsi"/>
          <w:b/>
          <w:sz w:val="22"/>
        </w:rPr>
        <w:t xml:space="preserve">Figure 23: </w:t>
      </w:r>
      <w:r w:rsidR="00EB3C73" w:rsidRPr="00EB3C73">
        <w:rPr>
          <w:rFonts w:asciiTheme="minorHAnsi" w:hAnsiTheme="minorHAnsi" w:cstheme="minorHAnsi"/>
          <w:b/>
          <w:sz w:val="22"/>
        </w:rPr>
        <w:t xml:space="preserve">National Level Consultants </w:t>
      </w:r>
    </w:p>
    <w:p w14:paraId="50A20465" w14:textId="48374C6D" w:rsidR="00194BD7" w:rsidRDefault="00EB3C73" w:rsidP="001254FA">
      <w:pPr>
        <w:spacing w:before="0" w:after="0"/>
        <w:jc w:val="both"/>
        <w:rPr>
          <w:rFonts w:asciiTheme="minorHAnsi" w:hAnsiTheme="minorHAnsi" w:cstheme="minorHAnsi"/>
          <w:b/>
          <w:bCs/>
          <w:sz w:val="22"/>
        </w:rPr>
      </w:pPr>
      <w:r w:rsidRPr="00EB3C73">
        <w:rPr>
          <w:noProof/>
          <w:lang w:val="en-IN" w:eastAsia="en-IN"/>
        </w:rPr>
        <w:drawing>
          <wp:inline distT="0" distB="0" distL="0" distR="0" wp14:anchorId="42E91676" wp14:editId="77BE0C09">
            <wp:extent cx="5732145" cy="211264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2145" cy="2112645"/>
                    </a:xfrm>
                    <a:prstGeom prst="rect">
                      <a:avLst/>
                    </a:prstGeom>
                  </pic:spPr>
                </pic:pic>
              </a:graphicData>
            </a:graphic>
          </wp:inline>
        </w:drawing>
      </w:r>
    </w:p>
    <w:p w14:paraId="48CBE808" w14:textId="5480213E" w:rsidR="00EB3C73" w:rsidRPr="00194BD7" w:rsidRDefault="00463972" w:rsidP="001254FA">
      <w:pPr>
        <w:shd w:val="clear" w:color="auto" w:fill="17365D" w:themeFill="text2" w:themeFillShade="BF"/>
        <w:spacing w:before="0" w:after="0"/>
        <w:jc w:val="both"/>
        <w:rPr>
          <w:rFonts w:asciiTheme="minorHAnsi" w:hAnsiTheme="minorHAnsi" w:cstheme="minorHAnsi"/>
          <w:b/>
          <w:bCs/>
          <w:sz w:val="22"/>
        </w:rPr>
      </w:pPr>
      <w:r>
        <w:rPr>
          <w:rFonts w:asciiTheme="minorHAnsi" w:hAnsiTheme="minorHAnsi" w:cstheme="minorHAnsi"/>
          <w:b/>
          <w:sz w:val="22"/>
        </w:rPr>
        <w:t xml:space="preserve">Figure 24: </w:t>
      </w:r>
      <w:r w:rsidR="00EB3C73" w:rsidRPr="00194BD7">
        <w:rPr>
          <w:rFonts w:asciiTheme="minorHAnsi" w:hAnsiTheme="minorHAnsi" w:cstheme="minorHAnsi"/>
          <w:b/>
          <w:bCs/>
          <w:sz w:val="22"/>
        </w:rPr>
        <w:t>National TSU</w:t>
      </w:r>
    </w:p>
    <w:p w14:paraId="3556DAA5" w14:textId="013A74DC" w:rsidR="00EB3C73" w:rsidRDefault="00D80B87" w:rsidP="006B7923">
      <w:pPr>
        <w:spacing w:before="0"/>
        <w:jc w:val="both"/>
        <w:rPr>
          <w:rFonts w:asciiTheme="minorHAnsi" w:hAnsiTheme="minorHAnsi" w:cstheme="minorHAnsi"/>
          <w:sz w:val="22"/>
        </w:rPr>
      </w:pPr>
      <w:r w:rsidRPr="00D80B87">
        <w:rPr>
          <w:noProof/>
          <w:lang w:val="en-IN" w:eastAsia="en-IN"/>
        </w:rPr>
        <w:drawing>
          <wp:inline distT="0" distB="0" distL="0" distR="0" wp14:anchorId="3AA1C9C7" wp14:editId="50E0A596">
            <wp:extent cx="5732145" cy="1480820"/>
            <wp:effectExtent l="0" t="0" r="190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2145" cy="1480820"/>
                    </a:xfrm>
                    <a:prstGeom prst="rect">
                      <a:avLst/>
                    </a:prstGeom>
                  </pic:spPr>
                </pic:pic>
              </a:graphicData>
            </a:graphic>
          </wp:inline>
        </w:drawing>
      </w:r>
    </w:p>
    <w:p w14:paraId="600EC567" w14:textId="449E794B" w:rsidR="00EB3C73" w:rsidRDefault="00463972" w:rsidP="00194BD7">
      <w:pPr>
        <w:shd w:val="clear" w:color="auto" w:fill="17365D" w:themeFill="text2" w:themeFillShade="BF"/>
        <w:spacing w:before="0"/>
        <w:jc w:val="both"/>
        <w:rPr>
          <w:rFonts w:asciiTheme="minorHAnsi" w:hAnsiTheme="minorHAnsi" w:cstheme="minorHAnsi"/>
          <w:sz w:val="22"/>
        </w:rPr>
      </w:pPr>
      <w:r>
        <w:rPr>
          <w:rFonts w:asciiTheme="minorHAnsi" w:hAnsiTheme="minorHAnsi" w:cstheme="minorHAnsi"/>
          <w:b/>
          <w:sz w:val="22"/>
        </w:rPr>
        <w:lastRenderedPageBreak/>
        <w:t xml:space="preserve">Figure 25: </w:t>
      </w:r>
      <w:r w:rsidR="00D80B87" w:rsidRPr="00D80B87">
        <w:rPr>
          <w:rFonts w:asciiTheme="minorHAnsi" w:hAnsiTheme="minorHAnsi" w:cstheme="minorHAnsi"/>
          <w:b/>
          <w:bCs/>
          <w:sz w:val="22"/>
        </w:rPr>
        <w:t>State level NTEP Organogram</w:t>
      </w:r>
    </w:p>
    <w:p w14:paraId="08020FF5" w14:textId="3618552F" w:rsidR="00783758" w:rsidRDefault="001B4CE5" w:rsidP="006B7923">
      <w:pPr>
        <w:spacing w:before="0"/>
        <w:jc w:val="both"/>
        <w:rPr>
          <w:rFonts w:asciiTheme="minorHAnsi" w:hAnsiTheme="minorHAnsi" w:cstheme="minorHAnsi"/>
          <w:sz w:val="22"/>
        </w:rPr>
      </w:pPr>
      <w:r w:rsidRPr="001B4CE5">
        <w:rPr>
          <w:noProof/>
          <w:lang w:val="en-IN" w:eastAsia="en-IN"/>
        </w:rPr>
        <w:drawing>
          <wp:inline distT="0" distB="0" distL="0" distR="0" wp14:anchorId="5E88AE3C" wp14:editId="553D501F">
            <wp:extent cx="5732145" cy="301117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2145" cy="3011170"/>
                    </a:xfrm>
                    <a:prstGeom prst="rect">
                      <a:avLst/>
                    </a:prstGeom>
                  </pic:spPr>
                </pic:pic>
              </a:graphicData>
            </a:graphic>
          </wp:inline>
        </w:drawing>
      </w:r>
    </w:p>
    <w:p w14:paraId="53A781B4" w14:textId="35D8D565" w:rsidR="001B4CE5" w:rsidRDefault="00463972" w:rsidP="00194BD7">
      <w:pPr>
        <w:shd w:val="clear" w:color="auto" w:fill="17365D" w:themeFill="text2" w:themeFillShade="BF"/>
        <w:spacing w:before="0"/>
        <w:jc w:val="both"/>
        <w:rPr>
          <w:rFonts w:asciiTheme="minorHAnsi" w:hAnsiTheme="minorHAnsi" w:cstheme="minorHAnsi"/>
          <w:b/>
          <w:sz w:val="22"/>
        </w:rPr>
      </w:pPr>
      <w:r>
        <w:rPr>
          <w:rFonts w:asciiTheme="minorHAnsi" w:hAnsiTheme="minorHAnsi" w:cstheme="minorHAnsi"/>
          <w:b/>
          <w:sz w:val="22"/>
        </w:rPr>
        <w:t xml:space="preserve">Figure 26: </w:t>
      </w:r>
      <w:r w:rsidR="001B4CE5">
        <w:rPr>
          <w:rFonts w:asciiTheme="minorHAnsi" w:hAnsiTheme="minorHAnsi" w:cstheme="minorHAnsi"/>
          <w:b/>
          <w:sz w:val="22"/>
        </w:rPr>
        <w:t>State TSU organogram</w:t>
      </w:r>
    </w:p>
    <w:p w14:paraId="304D0CAC" w14:textId="5956A23F" w:rsidR="001B4CE5" w:rsidRDefault="00BC5941" w:rsidP="00E73E11">
      <w:pPr>
        <w:spacing w:before="0"/>
        <w:jc w:val="both"/>
        <w:rPr>
          <w:rFonts w:asciiTheme="minorHAnsi" w:hAnsiTheme="minorHAnsi" w:cstheme="minorHAnsi"/>
          <w:b/>
          <w:sz w:val="22"/>
        </w:rPr>
      </w:pPr>
      <w:r w:rsidRPr="00BC5941">
        <w:rPr>
          <w:noProof/>
          <w:lang w:val="en-IN" w:eastAsia="en-IN"/>
        </w:rPr>
        <w:drawing>
          <wp:inline distT="0" distB="0" distL="0" distR="0" wp14:anchorId="6B9B228D" wp14:editId="2C378CEE">
            <wp:extent cx="5730672" cy="1784350"/>
            <wp:effectExtent l="0" t="0" r="381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261" b="12602"/>
                    <a:stretch/>
                  </pic:blipFill>
                  <pic:spPr bwMode="auto">
                    <a:xfrm>
                      <a:off x="0" y="0"/>
                      <a:ext cx="5732145" cy="1784809"/>
                    </a:xfrm>
                    <a:prstGeom prst="rect">
                      <a:avLst/>
                    </a:prstGeom>
                    <a:ln>
                      <a:noFill/>
                    </a:ln>
                    <a:extLst>
                      <a:ext uri="{53640926-AAD7-44D8-BBD7-CCE9431645EC}">
                        <a14:shadowObscured xmlns:a14="http://schemas.microsoft.com/office/drawing/2010/main"/>
                      </a:ext>
                    </a:extLst>
                  </pic:spPr>
                </pic:pic>
              </a:graphicData>
            </a:graphic>
          </wp:inline>
        </w:drawing>
      </w:r>
    </w:p>
    <w:p w14:paraId="33EC78CB" w14:textId="6D20647E" w:rsidR="001B4CE5" w:rsidRDefault="001852EA" w:rsidP="00194BD7">
      <w:pPr>
        <w:shd w:val="clear" w:color="auto" w:fill="17365D" w:themeFill="text2" w:themeFillShade="BF"/>
        <w:spacing w:before="0"/>
        <w:jc w:val="both"/>
        <w:rPr>
          <w:rFonts w:asciiTheme="minorHAnsi" w:hAnsiTheme="minorHAnsi" w:cstheme="minorHAnsi"/>
          <w:sz w:val="22"/>
        </w:rPr>
      </w:pPr>
      <w:r>
        <w:rPr>
          <w:rFonts w:asciiTheme="minorHAnsi" w:hAnsiTheme="minorHAnsi" w:cstheme="minorHAnsi"/>
          <w:b/>
          <w:bCs/>
          <w:sz w:val="22"/>
        </w:rPr>
        <w:t xml:space="preserve">Figure 27: </w:t>
      </w:r>
      <w:r w:rsidR="001B4CE5">
        <w:rPr>
          <w:rFonts w:asciiTheme="minorHAnsi" w:hAnsiTheme="minorHAnsi" w:cstheme="minorHAnsi"/>
          <w:b/>
          <w:bCs/>
          <w:sz w:val="22"/>
        </w:rPr>
        <w:t>District</w:t>
      </w:r>
      <w:r w:rsidR="001B4CE5" w:rsidRPr="00D80B87">
        <w:rPr>
          <w:rFonts w:asciiTheme="minorHAnsi" w:hAnsiTheme="minorHAnsi" w:cstheme="minorHAnsi"/>
          <w:b/>
          <w:bCs/>
          <w:sz w:val="22"/>
        </w:rPr>
        <w:t xml:space="preserve"> level NTEP Organogram</w:t>
      </w:r>
    </w:p>
    <w:p w14:paraId="7AC5CBE9" w14:textId="156E70E5" w:rsidR="001B4CE5" w:rsidRDefault="001B4CE5" w:rsidP="00E73E11">
      <w:pPr>
        <w:spacing w:before="0"/>
        <w:jc w:val="both"/>
        <w:rPr>
          <w:rFonts w:asciiTheme="minorHAnsi" w:hAnsiTheme="minorHAnsi" w:cstheme="minorHAnsi"/>
          <w:b/>
          <w:sz w:val="22"/>
        </w:rPr>
      </w:pPr>
      <w:r w:rsidRPr="001B4CE5">
        <w:rPr>
          <w:noProof/>
          <w:lang w:val="en-IN" w:eastAsia="en-IN"/>
        </w:rPr>
        <w:drawing>
          <wp:inline distT="0" distB="0" distL="0" distR="0" wp14:anchorId="48EDCCDE" wp14:editId="6A264DDE">
            <wp:extent cx="4633546" cy="281595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47635" cy="2824518"/>
                    </a:xfrm>
                    <a:prstGeom prst="rect">
                      <a:avLst/>
                    </a:prstGeom>
                  </pic:spPr>
                </pic:pic>
              </a:graphicData>
            </a:graphic>
          </wp:inline>
        </w:drawing>
      </w:r>
    </w:p>
    <w:p w14:paraId="4D0E4CE6" w14:textId="5F1E02D4" w:rsidR="00E73E11" w:rsidRDefault="00E73E11" w:rsidP="00E73E11">
      <w:pPr>
        <w:spacing w:before="0"/>
        <w:jc w:val="both"/>
        <w:rPr>
          <w:rFonts w:asciiTheme="minorHAnsi" w:hAnsiTheme="minorHAnsi" w:cstheme="minorHAnsi"/>
          <w:sz w:val="22"/>
        </w:rPr>
      </w:pPr>
      <w:r w:rsidRPr="0056659C">
        <w:rPr>
          <w:rFonts w:asciiTheme="minorHAnsi" w:hAnsiTheme="minorHAnsi" w:cstheme="minorHAnsi"/>
          <w:b/>
          <w:sz w:val="22"/>
        </w:rPr>
        <w:lastRenderedPageBreak/>
        <w:t>1.2.2</w:t>
      </w:r>
      <w:r>
        <w:rPr>
          <w:rFonts w:asciiTheme="minorHAnsi" w:hAnsiTheme="minorHAnsi" w:cstheme="minorHAnsi"/>
          <w:sz w:val="22"/>
        </w:rPr>
        <w:t xml:space="preserve"> Update the terms of reference f</w:t>
      </w:r>
      <w:r w:rsidRPr="00E73E11">
        <w:rPr>
          <w:rFonts w:asciiTheme="minorHAnsi" w:hAnsiTheme="minorHAnsi" w:cstheme="minorHAnsi"/>
          <w:sz w:val="22"/>
        </w:rPr>
        <w:t xml:space="preserve">or each cadre of </w:t>
      </w:r>
      <w:r>
        <w:rPr>
          <w:rFonts w:asciiTheme="minorHAnsi" w:hAnsiTheme="minorHAnsi" w:cstheme="minorHAnsi"/>
          <w:sz w:val="22"/>
        </w:rPr>
        <w:t xml:space="preserve">contractual </w:t>
      </w:r>
      <w:r w:rsidR="00F150C0">
        <w:rPr>
          <w:rFonts w:asciiTheme="minorHAnsi" w:hAnsiTheme="minorHAnsi" w:cstheme="minorHAnsi"/>
          <w:sz w:val="22"/>
        </w:rPr>
        <w:t xml:space="preserve">staff </w:t>
      </w:r>
      <w:r>
        <w:rPr>
          <w:rFonts w:asciiTheme="minorHAnsi" w:hAnsiTheme="minorHAnsi" w:cstheme="minorHAnsi"/>
          <w:sz w:val="22"/>
        </w:rPr>
        <w:t xml:space="preserve">to ensure placing the right person </w:t>
      </w:r>
      <w:r w:rsidRPr="00E73E11">
        <w:rPr>
          <w:rFonts w:asciiTheme="minorHAnsi" w:hAnsiTheme="minorHAnsi" w:cstheme="minorHAnsi"/>
          <w:sz w:val="22"/>
        </w:rPr>
        <w:t>for the services.</w:t>
      </w:r>
      <w:r>
        <w:rPr>
          <w:rFonts w:asciiTheme="minorHAnsi" w:hAnsiTheme="minorHAnsi" w:cstheme="minorHAnsi"/>
          <w:sz w:val="22"/>
        </w:rPr>
        <w:t xml:space="preserve"> The TORs </w:t>
      </w:r>
      <w:r w:rsidR="00F150C0">
        <w:rPr>
          <w:rFonts w:asciiTheme="minorHAnsi" w:hAnsiTheme="minorHAnsi" w:cstheme="minorHAnsi"/>
          <w:sz w:val="22"/>
        </w:rPr>
        <w:t xml:space="preserve">are detailed </w:t>
      </w:r>
      <w:r>
        <w:rPr>
          <w:rFonts w:asciiTheme="minorHAnsi" w:hAnsiTheme="minorHAnsi" w:cstheme="minorHAnsi"/>
          <w:sz w:val="22"/>
        </w:rPr>
        <w:t xml:space="preserve">in the </w:t>
      </w:r>
      <w:r w:rsidRPr="00E73E11">
        <w:rPr>
          <w:rFonts w:asciiTheme="minorHAnsi" w:hAnsiTheme="minorHAnsi" w:cstheme="minorHAnsi"/>
          <w:b/>
          <w:sz w:val="22"/>
        </w:rPr>
        <w:t>National HR plan</w:t>
      </w:r>
      <w:r w:rsidR="00F150C0">
        <w:rPr>
          <w:rFonts w:asciiTheme="minorHAnsi" w:hAnsiTheme="minorHAnsi" w:cstheme="minorHAnsi"/>
          <w:b/>
          <w:sz w:val="22"/>
        </w:rPr>
        <w:t>.</w:t>
      </w:r>
      <w:r>
        <w:rPr>
          <w:rFonts w:asciiTheme="minorHAnsi" w:hAnsiTheme="minorHAnsi" w:cstheme="minorHAnsi"/>
          <w:sz w:val="22"/>
        </w:rPr>
        <w:t xml:space="preserve"> </w:t>
      </w:r>
    </w:p>
    <w:p w14:paraId="1BF1D24E" w14:textId="6A5A8B86" w:rsidR="003123F4" w:rsidRPr="006B7923" w:rsidRDefault="00E73E11" w:rsidP="00E73E11">
      <w:pPr>
        <w:spacing w:before="0"/>
        <w:jc w:val="both"/>
        <w:rPr>
          <w:rFonts w:asciiTheme="minorHAnsi" w:hAnsiTheme="minorHAnsi" w:cstheme="minorHAnsi"/>
          <w:sz w:val="22"/>
        </w:rPr>
      </w:pPr>
      <w:r w:rsidRPr="00EC01A6">
        <w:rPr>
          <w:rFonts w:asciiTheme="minorHAnsi" w:hAnsiTheme="minorHAnsi" w:cstheme="minorHAnsi"/>
          <w:b/>
          <w:sz w:val="22"/>
        </w:rPr>
        <w:t>1.2.3</w:t>
      </w:r>
      <w:r>
        <w:rPr>
          <w:rFonts w:asciiTheme="minorHAnsi" w:hAnsiTheme="minorHAnsi" w:cstheme="minorHAnsi"/>
          <w:sz w:val="22"/>
        </w:rPr>
        <w:t xml:space="preserve"> Empanel </w:t>
      </w:r>
      <w:r w:rsidR="00F150C0" w:rsidRPr="00F150C0">
        <w:rPr>
          <w:rFonts w:asciiTheme="minorHAnsi" w:hAnsiTheme="minorHAnsi" w:cstheme="minorHAnsi"/>
          <w:b/>
          <w:sz w:val="22"/>
        </w:rPr>
        <w:t>Human Resource Recruitment Agencies</w:t>
      </w:r>
      <w:r w:rsidR="00F150C0">
        <w:rPr>
          <w:rFonts w:asciiTheme="minorHAnsi" w:hAnsiTheme="minorHAnsi" w:cstheme="minorHAnsi"/>
          <w:sz w:val="22"/>
        </w:rPr>
        <w:t xml:space="preserve"> to ensure a </w:t>
      </w:r>
      <w:r w:rsidR="00F150C0" w:rsidRPr="00F150C0">
        <w:rPr>
          <w:rFonts w:asciiTheme="minorHAnsi" w:hAnsiTheme="minorHAnsi" w:cstheme="minorHAnsi"/>
          <w:sz w:val="22"/>
        </w:rPr>
        <w:t>process of transparent, credible and open recruitment</w:t>
      </w:r>
      <w:r w:rsidR="00F150C0">
        <w:rPr>
          <w:rFonts w:asciiTheme="minorHAnsi" w:hAnsiTheme="minorHAnsi" w:cstheme="minorHAnsi"/>
          <w:sz w:val="22"/>
        </w:rPr>
        <w:t xml:space="preserve">. </w:t>
      </w:r>
      <w:r w:rsidR="00F150C0" w:rsidRPr="00F150C0">
        <w:rPr>
          <w:rFonts w:asciiTheme="minorHAnsi" w:hAnsiTheme="minorHAnsi" w:cstheme="minorHAnsi"/>
          <w:sz w:val="22"/>
        </w:rPr>
        <w:t>The empanelment of such agencies offers States/UTs to access agencies that will provide an approved, standardized process for advertisement, skill and knowledge assessments, interviews, and final selection. (Reference: D.O. No. Z</w:t>
      </w:r>
      <w:r w:rsidR="00F150C0">
        <w:rPr>
          <w:rFonts w:asciiTheme="minorHAnsi" w:hAnsiTheme="minorHAnsi" w:cstheme="minorHAnsi"/>
          <w:sz w:val="22"/>
        </w:rPr>
        <w:t xml:space="preserve"> </w:t>
      </w:r>
      <w:r w:rsidR="00F150C0" w:rsidRPr="00F150C0">
        <w:rPr>
          <w:rFonts w:asciiTheme="minorHAnsi" w:hAnsiTheme="minorHAnsi" w:cstheme="minorHAnsi"/>
          <w:sz w:val="22"/>
        </w:rPr>
        <w:t>-18015/10/2015 – NHM – II, dated 8th February 2017)</w:t>
      </w:r>
    </w:p>
    <w:p w14:paraId="5DA79996" w14:textId="52E8BB20" w:rsidR="00F150C0" w:rsidRPr="00EC01A6" w:rsidRDefault="006B7923" w:rsidP="00F150C0">
      <w:pPr>
        <w:spacing w:before="0" w:after="0"/>
        <w:jc w:val="both"/>
        <w:rPr>
          <w:rFonts w:asciiTheme="minorHAnsi" w:hAnsiTheme="minorHAnsi" w:cstheme="minorHAnsi"/>
          <w:b/>
          <w:sz w:val="22"/>
        </w:rPr>
      </w:pPr>
      <w:r w:rsidRPr="00EC01A6">
        <w:rPr>
          <w:rFonts w:asciiTheme="minorHAnsi" w:hAnsiTheme="minorHAnsi" w:cstheme="minorHAnsi"/>
          <w:b/>
          <w:sz w:val="22"/>
        </w:rPr>
        <w:t>1.2.</w:t>
      </w:r>
      <w:r w:rsidR="00E73E11" w:rsidRPr="00EC01A6">
        <w:rPr>
          <w:rFonts w:asciiTheme="minorHAnsi" w:hAnsiTheme="minorHAnsi" w:cstheme="minorHAnsi"/>
          <w:b/>
          <w:sz w:val="22"/>
        </w:rPr>
        <w:t>4</w:t>
      </w:r>
      <w:r w:rsidRPr="00EC01A6">
        <w:rPr>
          <w:rFonts w:asciiTheme="minorHAnsi" w:hAnsiTheme="minorHAnsi" w:cstheme="minorHAnsi"/>
          <w:b/>
          <w:sz w:val="22"/>
        </w:rPr>
        <w:t xml:space="preserve"> </w:t>
      </w:r>
      <w:r w:rsidR="00F150C0" w:rsidRPr="00EC01A6">
        <w:rPr>
          <w:rFonts w:asciiTheme="minorHAnsi" w:hAnsiTheme="minorHAnsi" w:cstheme="minorHAnsi"/>
          <w:b/>
          <w:sz w:val="22"/>
        </w:rPr>
        <w:t xml:space="preserve">Leverage Health System: </w:t>
      </w:r>
      <w:r w:rsidR="00725B7C" w:rsidRPr="00725B7C">
        <w:rPr>
          <w:rFonts w:asciiTheme="minorHAnsi" w:hAnsiTheme="minorHAnsi" w:cstheme="minorHAnsi"/>
          <w:b/>
          <w:sz w:val="22"/>
        </w:rPr>
        <w:t>In the long term, this program has the potential to create a health workforce which will not only be responsive to the needs of the TB program but also for the entire health system.</w:t>
      </w:r>
    </w:p>
    <w:p w14:paraId="6165BF2D" w14:textId="074658BA" w:rsidR="001C4D04" w:rsidRDefault="00F150C0" w:rsidP="00F150C0">
      <w:pPr>
        <w:spacing w:before="0" w:after="0"/>
        <w:ind w:left="360"/>
        <w:jc w:val="both"/>
        <w:rPr>
          <w:rFonts w:asciiTheme="minorHAnsi" w:hAnsiTheme="minorHAnsi" w:cstheme="minorHAnsi"/>
          <w:sz w:val="22"/>
        </w:rPr>
      </w:pPr>
      <w:r w:rsidRPr="00EC01A6">
        <w:rPr>
          <w:rFonts w:asciiTheme="minorHAnsi" w:hAnsiTheme="minorHAnsi" w:cstheme="minorHAnsi"/>
          <w:b/>
          <w:sz w:val="22"/>
        </w:rPr>
        <w:t>1.2.4.1</w:t>
      </w:r>
      <w:r>
        <w:rPr>
          <w:rFonts w:asciiTheme="minorHAnsi" w:hAnsiTheme="minorHAnsi" w:cstheme="minorHAnsi"/>
          <w:sz w:val="22"/>
        </w:rPr>
        <w:t xml:space="preserve"> </w:t>
      </w:r>
      <w:r w:rsidRPr="00F150C0">
        <w:rPr>
          <w:rFonts w:asciiTheme="minorHAnsi" w:hAnsiTheme="minorHAnsi" w:cstheme="minorHAnsi"/>
          <w:sz w:val="22"/>
        </w:rPr>
        <w:t xml:space="preserve">Every health care provider in the system will be trained on latest NTEP guideline and developments. This include both service delivery and programmatic management. </w:t>
      </w:r>
      <w:r w:rsidR="001C4D04" w:rsidRPr="006B7923">
        <w:rPr>
          <w:rFonts w:asciiTheme="minorHAnsi" w:hAnsiTheme="minorHAnsi" w:cstheme="minorHAnsi"/>
          <w:sz w:val="22"/>
        </w:rPr>
        <w:t xml:space="preserve"> </w:t>
      </w:r>
    </w:p>
    <w:p w14:paraId="2E95CD6A" w14:textId="7A6189B5" w:rsidR="00F150C0" w:rsidRDefault="00F150C0" w:rsidP="00F150C0">
      <w:pPr>
        <w:spacing w:before="0" w:after="0"/>
        <w:ind w:left="360"/>
        <w:jc w:val="both"/>
        <w:rPr>
          <w:rFonts w:asciiTheme="minorHAnsi" w:hAnsiTheme="minorHAnsi" w:cstheme="minorHAnsi"/>
          <w:sz w:val="22"/>
        </w:rPr>
      </w:pPr>
      <w:r w:rsidRPr="00EC01A6">
        <w:rPr>
          <w:rFonts w:asciiTheme="minorHAnsi" w:hAnsiTheme="minorHAnsi" w:cstheme="minorHAnsi"/>
          <w:b/>
          <w:sz w:val="22"/>
        </w:rPr>
        <w:t>1.2.4.2</w:t>
      </w:r>
      <w:r>
        <w:rPr>
          <w:rFonts w:asciiTheme="minorHAnsi" w:hAnsiTheme="minorHAnsi" w:cstheme="minorHAnsi"/>
          <w:sz w:val="22"/>
        </w:rPr>
        <w:t xml:space="preserve"> Prepare a</w:t>
      </w:r>
      <w:r w:rsidRPr="00F150C0">
        <w:rPr>
          <w:rFonts w:asciiTheme="minorHAnsi" w:hAnsiTheme="minorHAnsi" w:cstheme="minorHAnsi"/>
          <w:sz w:val="22"/>
        </w:rPr>
        <w:t xml:space="preserve"> dedicated training curriculum, operational guidelines for TB services at health and wellness center will be prepared by the NTEP. CHOs will be engaged for public health action, contact investigation, preventive treatment expansion, </w:t>
      </w:r>
      <w:r>
        <w:rPr>
          <w:rFonts w:asciiTheme="minorHAnsi" w:hAnsiTheme="minorHAnsi" w:cstheme="minorHAnsi"/>
          <w:sz w:val="22"/>
        </w:rPr>
        <w:t>ACF</w:t>
      </w:r>
      <w:r w:rsidRPr="00F150C0">
        <w:rPr>
          <w:rFonts w:asciiTheme="minorHAnsi" w:hAnsiTheme="minorHAnsi" w:cstheme="minorHAnsi"/>
          <w:sz w:val="22"/>
        </w:rPr>
        <w:t xml:space="preserve"> and referral linkages establishment. TB related indicators have been incorporated in the performance based incentives of the CHOs.</w:t>
      </w:r>
      <w:r>
        <w:rPr>
          <w:rFonts w:asciiTheme="minorHAnsi" w:hAnsiTheme="minorHAnsi" w:cstheme="minorHAnsi"/>
          <w:sz w:val="22"/>
        </w:rPr>
        <w:t xml:space="preserve"> </w:t>
      </w:r>
    </w:p>
    <w:p w14:paraId="0AECCD82" w14:textId="625729D4" w:rsidR="00F150C0" w:rsidRDefault="00F150C0" w:rsidP="00EC01A6">
      <w:pPr>
        <w:spacing w:before="0"/>
        <w:ind w:left="360"/>
        <w:jc w:val="both"/>
        <w:rPr>
          <w:rFonts w:asciiTheme="minorHAnsi" w:hAnsiTheme="minorHAnsi" w:cstheme="minorHAnsi"/>
          <w:sz w:val="22"/>
        </w:rPr>
      </w:pPr>
      <w:r w:rsidRPr="00EC01A6">
        <w:rPr>
          <w:rFonts w:asciiTheme="minorHAnsi" w:hAnsiTheme="minorHAnsi" w:cstheme="minorHAnsi"/>
          <w:b/>
          <w:sz w:val="22"/>
        </w:rPr>
        <w:t>1.2.4.3</w:t>
      </w:r>
      <w:r>
        <w:rPr>
          <w:rFonts w:asciiTheme="minorHAnsi" w:hAnsiTheme="minorHAnsi" w:cstheme="minorHAnsi"/>
          <w:sz w:val="22"/>
        </w:rPr>
        <w:t xml:space="preserve"> Advocate with NHM</w:t>
      </w:r>
      <w:r w:rsidRPr="00F150C0">
        <w:rPr>
          <w:rFonts w:asciiTheme="minorHAnsi" w:hAnsiTheme="minorHAnsi" w:cstheme="minorHAnsi"/>
          <w:sz w:val="22"/>
        </w:rPr>
        <w:t xml:space="preserve"> to </w:t>
      </w:r>
      <w:r w:rsidR="0028791C" w:rsidRPr="0028791C">
        <w:rPr>
          <w:rFonts w:asciiTheme="minorHAnsi" w:hAnsiTheme="minorHAnsi" w:cstheme="minorHAnsi"/>
          <w:sz w:val="22"/>
        </w:rPr>
        <w:t>re-vitalize MPW-M cadre</w:t>
      </w:r>
      <w:r w:rsidR="0028791C">
        <w:rPr>
          <w:rFonts w:asciiTheme="minorHAnsi" w:hAnsiTheme="minorHAnsi" w:cstheme="minorHAnsi"/>
          <w:sz w:val="22"/>
        </w:rPr>
        <w:t xml:space="preserve">, </w:t>
      </w:r>
      <w:r w:rsidRPr="00F150C0">
        <w:rPr>
          <w:rFonts w:asciiTheme="minorHAnsi" w:hAnsiTheme="minorHAnsi" w:cstheme="minorHAnsi"/>
          <w:sz w:val="22"/>
        </w:rPr>
        <w:t>ensure</w:t>
      </w:r>
      <w:r w:rsidR="0028791C">
        <w:rPr>
          <w:rFonts w:asciiTheme="minorHAnsi" w:hAnsiTheme="minorHAnsi" w:cstheme="minorHAnsi"/>
          <w:sz w:val="22"/>
        </w:rPr>
        <w:t xml:space="preserve"> their presence </w:t>
      </w:r>
      <w:r w:rsidRPr="00F150C0">
        <w:rPr>
          <w:rFonts w:asciiTheme="minorHAnsi" w:hAnsiTheme="minorHAnsi" w:cstheme="minorHAnsi"/>
          <w:sz w:val="22"/>
        </w:rPr>
        <w:t>at every sub health center and increase their engagement for tracking, contact investigations, preventive treatment expansion in the community.</w:t>
      </w:r>
    </w:p>
    <w:p w14:paraId="17641830" w14:textId="068538AC" w:rsidR="001C4D04" w:rsidRPr="0056659C" w:rsidRDefault="006B7923" w:rsidP="0056659C">
      <w:pPr>
        <w:spacing w:before="0" w:after="0"/>
        <w:jc w:val="both"/>
        <w:rPr>
          <w:rFonts w:asciiTheme="minorHAnsi" w:hAnsiTheme="minorHAnsi" w:cstheme="minorHAnsi"/>
          <w:b/>
          <w:sz w:val="22"/>
        </w:rPr>
      </w:pPr>
      <w:r w:rsidRPr="0056659C">
        <w:rPr>
          <w:rFonts w:asciiTheme="minorHAnsi" w:hAnsiTheme="minorHAnsi" w:cstheme="minorHAnsi"/>
          <w:b/>
          <w:sz w:val="22"/>
        </w:rPr>
        <w:t>1.2.</w:t>
      </w:r>
      <w:r w:rsidR="00E73E11">
        <w:rPr>
          <w:rFonts w:asciiTheme="minorHAnsi" w:hAnsiTheme="minorHAnsi" w:cstheme="minorHAnsi"/>
          <w:b/>
          <w:sz w:val="22"/>
        </w:rPr>
        <w:t>5</w:t>
      </w:r>
      <w:r w:rsidRPr="0056659C">
        <w:rPr>
          <w:rFonts w:asciiTheme="minorHAnsi" w:hAnsiTheme="minorHAnsi" w:cstheme="minorHAnsi"/>
          <w:b/>
          <w:sz w:val="22"/>
        </w:rPr>
        <w:t xml:space="preserve"> </w:t>
      </w:r>
      <w:r w:rsidR="001C4D04" w:rsidRPr="0056659C">
        <w:rPr>
          <w:rFonts w:asciiTheme="minorHAnsi" w:hAnsiTheme="minorHAnsi" w:cstheme="minorHAnsi"/>
          <w:b/>
          <w:sz w:val="22"/>
        </w:rPr>
        <w:t>Training:</w:t>
      </w:r>
      <w:r w:rsidR="002011A9">
        <w:rPr>
          <w:rFonts w:asciiTheme="minorHAnsi" w:hAnsiTheme="minorHAnsi" w:cstheme="minorHAnsi"/>
          <w:b/>
          <w:sz w:val="22"/>
        </w:rPr>
        <w:t xml:space="preserve"> </w:t>
      </w:r>
    </w:p>
    <w:p w14:paraId="7600A00F" w14:textId="635BEB6C" w:rsidR="001C4D04" w:rsidRPr="006B7923" w:rsidRDefault="00BE1290" w:rsidP="00F150C0">
      <w:pPr>
        <w:spacing w:before="0" w:after="0"/>
        <w:ind w:left="360"/>
        <w:jc w:val="both"/>
        <w:rPr>
          <w:rFonts w:asciiTheme="minorHAnsi" w:hAnsiTheme="minorHAnsi" w:cstheme="minorHAnsi"/>
          <w:sz w:val="22"/>
        </w:rPr>
      </w:pPr>
      <w:r>
        <w:rPr>
          <w:rFonts w:asciiTheme="minorHAnsi" w:hAnsiTheme="minorHAnsi" w:cstheme="minorHAnsi"/>
          <w:sz w:val="22"/>
        </w:rPr>
        <w:t xml:space="preserve">1.2.3.1 </w:t>
      </w:r>
      <w:r w:rsidR="001C4D04" w:rsidRPr="006B7923">
        <w:rPr>
          <w:rFonts w:asciiTheme="minorHAnsi" w:hAnsiTheme="minorHAnsi" w:cstheme="minorHAnsi"/>
          <w:sz w:val="22"/>
        </w:rPr>
        <w:t>CTD and states to undertake a training need assessment at all levels.</w:t>
      </w:r>
    </w:p>
    <w:p w14:paraId="11094940" w14:textId="1EB32A2D" w:rsidR="001C4D04" w:rsidRPr="006B7923" w:rsidRDefault="00BE1290" w:rsidP="0056659C">
      <w:pPr>
        <w:spacing w:before="0" w:after="0"/>
        <w:ind w:left="360"/>
        <w:jc w:val="both"/>
        <w:rPr>
          <w:rFonts w:asciiTheme="minorHAnsi" w:hAnsiTheme="minorHAnsi" w:cstheme="minorHAnsi"/>
          <w:sz w:val="22"/>
        </w:rPr>
      </w:pPr>
      <w:r>
        <w:rPr>
          <w:rFonts w:asciiTheme="minorHAnsi" w:hAnsiTheme="minorHAnsi" w:cstheme="minorHAnsi"/>
          <w:sz w:val="22"/>
        </w:rPr>
        <w:t xml:space="preserve">1.2.3.2 </w:t>
      </w:r>
      <w:r w:rsidR="001C4D04" w:rsidRPr="006B7923">
        <w:rPr>
          <w:rFonts w:asciiTheme="minorHAnsi" w:hAnsiTheme="minorHAnsi" w:cstheme="minorHAnsi"/>
          <w:sz w:val="22"/>
        </w:rPr>
        <w:t>Monitoring and reporting on implementation of approved training plans at state level by STDCs and CTD on a bi-annual basis.</w:t>
      </w:r>
    </w:p>
    <w:p w14:paraId="2C4BE203" w14:textId="5A65BADE" w:rsidR="001C4D04" w:rsidRDefault="00BE1290" w:rsidP="0056659C">
      <w:pPr>
        <w:spacing w:before="0" w:after="0"/>
        <w:ind w:left="360"/>
        <w:jc w:val="both"/>
        <w:rPr>
          <w:rFonts w:asciiTheme="minorHAnsi" w:hAnsiTheme="minorHAnsi" w:cstheme="minorHAnsi"/>
          <w:sz w:val="22"/>
        </w:rPr>
      </w:pPr>
      <w:r>
        <w:rPr>
          <w:rFonts w:asciiTheme="minorHAnsi" w:hAnsiTheme="minorHAnsi" w:cstheme="minorHAnsi"/>
          <w:sz w:val="22"/>
        </w:rPr>
        <w:t xml:space="preserve">1.2.3.3 </w:t>
      </w:r>
      <w:r w:rsidR="001C4D04" w:rsidRPr="006B7923">
        <w:rPr>
          <w:rFonts w:asciiTheme="minorHAnsi" w:hAnsiTheme="minorHAnsi" w:cstheme="minorHAnsi"/>
          <w:sz w:val="22"/>
        </w:rPr>
        <w:t xml:space="preserve">Outsource training </w:t>
      </w:r>
    </w:p>
    <w:p w14:paraId="0BBEAB2C" w14:textId="10964F9F" w:rsidR="00BE1290" w:rsidRDefault="00BE1290" w:rsidP="002011A9">
      <w:pPr>
        <w:spacing w:before="0" w:after="0"/>
        <w:ind w:left="360"/>
        <w:jc w:val="both"/>
        <w:rPr>
          <w:rFonts w:asciiTheme="minorHAnsi" w:hAnsiTheme="minorHAnsi" w:cstheme="minorHAnsi"/>
          <w:sz w:val="22"/>
        </w:rPr>
      </w:pPr>
      <w:r>
        <w:rPr>
          <w:rFonts w:asciiTheme="minorHAnsi" w:hAnsiTheme="minorHAnsi" w:cstheme="minorHAnsi"/>
          <w:sz w:val="22"/>
        </w:rPr>
        <w:t>1.2.3.4 E</w:t>
      </w:r>
      <w:r w:rsidRPr="00BE1290">
        <w:rPr>
          <w:rFonts w:asciiTheme="minorHAnsi" w:hAnsiTheme="minorHAnsi" w:cstheme="minorHAnsi"/>
          <w:sz w:val="22"/>
        </w:rPr>
        <w:t>-learning mode:</w:t>
      </w:r>
      <w:r w:rsidR="00EC01A6">
        <w:rPr>
          <w:rFonts w:asciiTheme="minorHAnsi" w:hAnsiTheme="minorHAnsi" w:cstheme="minorHAnsi"/>
          <w:sz w:val="22"/>
        </w:rPr>
        <w:t xml:space="preserve"> </w:t>
      </w:r>
      <w:r w:rsidR="00EC01A6" w:rsidRPr="00EC01A6">
        <w:rPr>
          <w:rFonts w:asciiTheme="minorHAnsi" w:hAnsiTheme="minorHAnsi" w:cstheme="minorHAnsi"/>
          <w:sz w:val="22"/>
        </w:rPr>
        <w:t>NTEP has prepared e</w:t>
      </w:r>
      <w:r w:rsidR="00EC01A6">
        <w:rPr>
          <w:rFonts w:asciiTheme="minorHAnsi" w:hAnsiTheme="minorHAnsi" w:cstheme="minorHAnsi"/>
          <w:sz w:val="22"/>
        </w:rPr>
        <w:t>-lear</w:t>
      </w:r>
      <w:r w:rsidR="00EC01A6" w:rsidRPr="00EC01A6">
        <w:rPr>
          <w:rFonts w:asciiTheme="minorHAnsi" w:hAnsiTheme="minorHAnsi" w:cstheme="minorHAnsi"/>
          <w:sz w:val="22"/>
        </w:rPr>
        <w:t>ning modules for medical officers and dist</w:t>
      </w:r>
      <w:r w:rsidR="00EC01A6">
        <w:rPr>
          <w:rFonts w:asciiTheme="minorHAnsi" w:hAnsiTheme="minorHAnsi" w:cstheme="minorHAnsi"/>
          <w:sz w:val="22"/>
        </w:rPr>
        <w:t>rict programme managers and an E-l</w:t>
      </w:r>
      <w:r w:rsidR="00EC01A6" w:rsidRPr="00EC01A6">
        <w:rPr>
          <w:rFonts w:asciiTheme="minorHAnsi" w:hAnsiTheme="minorHAnsi" w:cstheme="minorHAnsi"/>
          <w:sz w:val="22"/>
        </w:rPr>
        <w:t xml:space="preserve">earning platform </w:t>
      </w:r>
      <w:r w:rsidR="00EC01A6">
        <w:rPr>
          <w:rFonts w:asciiTheme="minorHAnsi" w:hAnsiTheme="minorHAnsi" w:cstheme="minorHAnsi"/>
          <w:sz w:val="22"/>
        </w:rPr>
        <w:t>is</w:t>
      </w:r>
      <w:r w:rsidR="00EC01A6" w:rsidRPr="00EC01A6">
        <w:rPr>
          <w:rFonts w:asciiTheme="minorHAnsi" w:hAnsiTheme="minorHAnsi" w:cstheme="minorHAnsi"/>
          <w:sz w:val="22"/>
        </w:rPr>
        <w:t xml:space="preserve"> established to deliver the content to the targeted staff.</w:t>
      </w:r>
      <w:r w:rsidR="00EC01A6">
        <w:rPr>
          <w:rFonts w:asciiTheme="minorHAnsi" w:hAnsiTheme="minorHAnsi" w:cstheme="minorHAnsi"/>
          <w:sz w:val="22"/>
        </w:rPr>
        <w:t xml:space="preserve"> NTEP needs to expedite the training of these cadres.</w:t>
      </w:r>
      <w:r w:rsidR="002011A9">
        <w:rPr>
          <w:rFonts w:asciiTheme="minorHAnsi" w:hAnsiTheme="minorHAnsi" w:cstheme="minorHAnsi"/>
          <w:sz w:val="22"/>
        </w:rPr>
        <w:t xml:space="preserve"> </w:t>
      </w:r>
    </w:p>
    <w:p w14:paraId="69CDA094" w14:textId="33B7316D" w:rsidR="002011A9" w:rsidRPr="006B7923" w:rsidRDefault="002011A9" w:rsidP="00EC01A6">
      <w:pPr>
        <w:spacing w:before="0"/>
        <w:ind w:left="360"/>
        <w:jc w:val="both"/>
        <w:rPr>
          <w:rFonts w:asciiTheme="minorHAnsi" w:hAnsiTheme="minorHAnsi" w:cstheme="minorHAnsi"/>
          <w:sz w:val="22"/>
        </w:rPr>
      </w:pPr>
      <w:r>
        <w:rPr>
          <w:rFonts w:asciiTheme="minorHAnsi" w:hAnsiTheme="minorHAnsi" w:cstheme="minorHAnsi"/>
          <w:sz w:val="22"/>
        </w:rPr>
        <w:t xml:space="preserve">1.2.3.5 In-service training: </w:t>
      </w:r>
      <w:r w:rsidRPr="002011A9">
        <w:rPr>
          <w:rFonts w:asciiTheme="minorHAnsi" w:hAnsiTheme="minorHAnsi" w:cstheme="minorHAnsi"/>
          <w:sz w:val="22"/>
        </w:rPr>
        <w:t>A growing body of literature suggests that in-service training programs are likely to be more impactful if their approach aims towards holistic continuous professional development of the health workforce</w:t>
      </w:r>
      <w:r w:rsidR="00C32F51">
        <w:rPr>
          <w:rFonts w:asciiTheme="minorHAnsi" w:hAnsiTheme="minorHAnsi" w:cstheme="minorHAnsi"/>
          <w:sz w:val="22"/>
        </w:rPr>
        <w:t>. Hence i</w:t>
      </w:r>
      <w:r w:rsidRPr="002011A9">
        <w:rPr>
          <w:rFonts w:asciiTheme="minorHAnsi" w:hAnsiTheme="minorHAnsi" w:cstheme="minorHAnsi"/>
          <w:sz w:val="22"/>
        </w:rPr>
        <w:t>n-service training</w:t>
      </w:r>
      <w:r w:rsidR="00C32F51">
        <w:rPr>
          <w:rFonts w:asciiTheme="minorHAnsi" w:hAnsiTheme="minorHAnsi" w:cstheme="minorHAnsi"/>
          <w:sz w:val="22"/>
        </w:rPr>
        <w:t xml:space="preserve"> programmes will be carefully crafted and implemented</w:t>
      </w:r>
      <w:r w:rsidRPr="002011A9">
        <w:rPr>
          <w:rFonts w:asciiTheme="minorHAnsi" w:hAnsiTheme="minorHAnsi" w:cstheme="minorHAnsi"/>
          <w:sz w:val="22"/>
        </w:rPr>
        <w:t xml:space="preserve">. </w:t>
      </w:r>
      <w:r w:rsidR="00C32F51">
        <w:rPr>
          <w:rFonts w:asciiTheme="minorHAnsi" w:hAnsiTheme="minorHAnsi" w:cstheme="minorHAnsi"/>
          <w:sz w:val="22"/>
        </w:rPr>
        <w:t>The designing and conduct of these</w:t>
      </w:r>
      <w:r w:rsidRPr="002011A9">
        <w:rPr>
          <w:rFonts w:asciiTheme="minorHAnsi" w:hAnsiTheme="minorHAnsi" w:cstheme="minorHAnsi"/>
          <w:sz w:val="22"/>
        </w:rPr>
        <w:t xml:space="preserve"> training</w:t>
      </w:r>
      <w:r w:rsidR="00C32F51">
        <w:rPr>
          <w:rFonts w:asciiTheme="minorHAnsi" w:hAnsiTheme="minorHAnsi" w:cstheme="minorHAnsi"/>
          <w:sz w:val="22"/>
        </w:rPr>
        <w:t>s will be done</w:t>
      </w:r>
      <w:r w:rsidRPr="002011A9">
        <w:rPr>
          <w:rFonts w:asciiTheme="minorHAnsi" w:hAnsiTheme="minorHAnsi" w:cstheme="minorHAnsi"/>
          <w:sz w:val="22"/>
        </w:rPr>
        <w:t xml:space="preserve"> using adult learning techniques </w:t>
      </w:r>
      <w:r w:rsidR="00C32F51">
        <w:rPr>
          <w:rFonts w:asciiTheme="minorHAnsi" w:hAnsiTheme="minorHAnsi" w:cstheme="minorHAnsi"/>
          <w:sz w:val="22"/>
        </w:rPr>
        <w:t xml:space="preserve">given that these </w:t>
      </w:r>
      <w:r w:rsidRPr="002011A9">
        <w:rPr>
          <w:rFonts w:asciiTheme="minorHAnsi" w:hAnsiTheme="minorHAnsi" w:cstheme="minorHAnsi"/>
          <w:sz w:val="22"/>
        </w:rPr>
        <w:t xml:space="preserve">are likely to be more effective.  </w:t>
      </w:r>
    </w:p>
    <w:p w14:paraId="57078107" w14:textId="72ACBC2D" w:rsidR="00EC01A6" w:rsidRDefault="006B7923" w:rsidP="009B4FD1">
      <w:pPr>
        <w:spacing w:before="0"/>
        <w:jc w:val="both"/>
        <w:rPr>
          <w:rFonts w:asciiTheme="minorHAnsi" w:hAnsiTheme="minorHAnsi" w:cstheme="minorHAnsi"/>
          <w:sz w:val="22"/>
        </w:rPr>
      </w:pPr>
      <w:r w:rsidRPr="00EC01A6">
        <w:rPr>
          <w:rFonts w:asciiTheme="minorHAnsi" w:hAnsiTheme="minorHAnsi" w:cstheme="minorHAnsi"/>
          <w:b/>
          <w:sz w:val="22"/>
        </w:rPr>
        <w:t xml:space="preserve">1.2.5 </w:t>
      </w:r>
      <w:r w:rsidR="00EC01A6" w:rsidRPr="00EC01A6">
        <w:rPr>
          <w:rFonts w:asciiTheme="minorHAnsi" w:hAnsiTheme="minorHAnsi" w:cstheme="minorHAnsi"/>
          <w:b/>
          <w:sz w:val="22"/>
        </w:rPr>
        <w:t>HR policies</w:t>
      </w:r>
      <w:r w:rsidR="009B4FD1">
        <w:rPr>
          <w:rFonts w:asciiTheme="minorHAnsi" w:hAnsiTheme="minorHAnsi" w:cstheme="minorHAnsi"/>
          <w:b/>
          <w:sz w:val="22"/>
        </w:rPr>
        <w:t>:</w:t>
      </w:r>
      <w:r w:rsidR="00EC01A6">
        <w:rPr>
          <w:rFonts w:asciiTheme="minorHAnsi" w:hAnsiTheme="minorHAnsi" w:cstheme="minorHAnsi"/>
          <w:sz w:val="22"/>
        </w:rPr>
        <w:t xml:space="preserve"> </w:t>
      </w:r>
      <w:r w:rsidR="0085672F">
        <w:rPr>
          <w:rFonts w:asciiTheme="minorHAnsi" w:hAnsiTheme="minorHAnsi" w:cstheme="minorHAnsi"/>
          <w:sz w:val="22"/>
        </w:rPr>
        <w:t>Execu</w:t>
      </w:r>
      <w:r w:rsidR="009B4FD1">
        <w:rPr>
          <w:rFonts w:asciiTheme="minorHAnsi" w:hAnsiTheme="minorHAnsi" w:cstheme="minorHAnsi"/>
          <w:sz w:val="22"/>
        </w:rPr>
        <w:t>t</w:t>
      </w:r>
      <w:r w:rsidR="0085672F">
        <w:rPr>
          <w:rFonts w:asciiTheme="minorHAnsi" w:hAnsiTheme="minorHAnsi" w:cstheme="minorHAnsi"/>
          <w:sz w:val="22"/>
        </w:rPr>
        <w:t>e the c</w:t>
      </w:r>
      <w:r w:rsidR="00EC01A6">
        <w:rPr>
          <w:rFonts w:asciiTheme="minorHAnsi" w:hAnsiTheme="minorHAnsi" w:cstheme="minorHAnsi"/>
          <w:sz w:val="22"/>
        </w:rPr>
        <w:t>ompensation package</w:t>
      </w:r>
      <w:r w:rsidR="009B4FD1">
        <w:rPr>
          <w:rFonts w:asciiTheme="minorHAnsi" w:hAnsiTheme="minorHAnsi" w:cstheme="minorHAnsi"/>
          <w:sz w:val="22"/>
        </w:rPr>
        <w:t>, loyalty bonus, annual increment, performance based incentives and TA/DA as</w:t>
      </w:r>
      <w:r w:rsidR="0085672F">
        <w:rPr>
          <w:rFonts w:asciiTheme="minorHAnsi" w:hAnsiTheme="minorHAnsi" w:cstheme="minorHAnsi"/>
          <w:sz w:val="22"/>
        </w:rPr>
        <w:t xml:space="preserve"> defined in the National HR </w:t>
      </w:r>
      <w:r w:rsidR="009B4FD1">
        <w:rPr>
          <w:rFonts w:asciiTheme="minorHAnsi" w:hAnsiTheme="minorHAnsi" w:cstheme="minorHAnsi"/>
          <w:sz w:val="22"/>
        </w:rPr>
        <w:t>plan</w:t>
      </w:r>
    </w:p>
    <w:p w14:paraId="75BA3FE6" w14:textId="77777777" w:rsidR="009B4FD1" w:rsidRDefault="009B4FD1" w:rsidP="009B4FD1">
      <w:pPr>
        <w:spacing w:before="0"/>
        <w:jc w:val="both"/>
        <w:rPr>
          <w:rFonts w:asciiTheme="minorHAnsi" w:hAnsiTheme="minorHAnsi" w:cstheme="minorHAnsi"/>
          <w:b/>
          <w:sz w:val="22"/>
        </w:rPr>
      </w:pPr>
      <w:r w:rsidRPr="005A0988">
        <w:rPr>
          <w:rFonts w:asciiTheme="minorHAnsi" w:hAnsiTheme="minorHAnsi" w:cstheme="minorHAnsi"/>
          <w:b/>
          <w:sz w:val="22"/>
        </w:rPr>
        <w:t>1.2.6</w:t>
      </w:r>
      <w:r>
        <w:rPr>
          <w:rFonts w:asciiTheme="minorHAnsi" w:hAnsiTheme="minorHAnsi" w:cstheme="minorHAnsi"/>
          <w:sz w:val="22"/>
        </w:rPr>
        <w:t xml:space="preserve"> </w:t>
      </w:r>
      <w:r w:rsidRPr="009B4FD1">
        <w:rPr>
          <w:rFonts w:asciiTheme="minorHAnsi" w:hAnsiTheme="minorHAnsi" w:cstheme="minorHAnsi"/>
          <w:b/>
          <w:sz w:val="22"/>
        </w:rPr>
        <w:t>Ensure Quality Improvement</w:t>
      </w:r>
      <w:r>
        <w:rPr>
          <w:rFonts w:asciiTheme="minorHAnsi" w:hAnsiTheme="minorHAnsi" w:cstheme="minorHAnsi"/>
          <w:b/>
          <w:sz w:val="22"/>
        </w:rPr>
        <w:t xml:space="preserve"> by monitoring HR placement, Training, and expenditure on trainings.</w:t>
      </w:r>
    </w:p>
    <w:p w14:paraId="67BC0F0B" w14:textId="7ED7540A" w:rsidR="009B4FD1" w:rsidRDefault="009B4FD1" w:rsidP="009B4FD1">
      <w:pPr>
        <w:spacing w:before="0"/>
        <w:jc w:val="both"/>
        <w:rPr>
          <w:rFonts w:asciiTheme="minorHAnsi" w:hAnsiTheme="minorHAnsi" w:cstheme="minorHAnsi"/>
          <w:b/>
          <w:sz w:val="22"/>
        </w:rPr>
      </w:pPr>
      <w:r>
        <w:rPr>
          <w:rFonts w:asciiTheme="minorHAnsi" w:hAnsiTheme="minorHAnsi" w:cstheme="minorHAnsi"/>
          <w:b/>
          <w:sz w:val="22"/>
        </w:rPr>
        <w:t>1.2.7 Health worker surveillance: Screen all</w:t>
      </w:r>
      <w:r w:rsidRPr="009B4FD1">
        <w:rPr>
          <w:rFonts w:asciiTheme="minorHAnsi" w:hAnsiTheme="minorHAnsi" w:cstheme="minorHAnsi"/>
          <w:b/>
          <w:sz w:val="22"/>
        </w:rPr>
        <w:t xml:space="preserve"> health workers working in TB at the time of placement and subsequently every year</w:t>
      </w:r>
      <w:r>
        <w:rPr>
          <w:rFonts w:asciiTheme="minorHAnsi" w:hAnsiTheme="minorHAnsi" w:cstheme="minorHAnsi"/>
          <w:b/>
          <w:sz w:val="22"/>
        </w:rPr>
        <w:t xml:space="preserve"> as per the </w:t>
      </w:r>
      <w:r w:rsidRPr="009B4FD1">
        <w:rPr>
          <w:rFonts w:asciiTheme="minorHAnsi" w:hAnsiTheme="minorHAnsi" w:cstheme="minorHAnsi"/>
          <w:b/>
          <w:sz w:val="22"/>
        </w:rPr>
        <w:t>guidance document</w:t>
      </w:r>
      <w:r>
        <w:rPr>
          <w:rFonts w:asciiTheme="minorHAnsi" w:hAnsiTheme="minorHAnsi" w:cstheme="minorHAnsi"/>
          <w:b/>
          <w:sz w:val="22"/>
        </w:rPr>
        <w:t xml:space="preserve"> by CTD. </w:t>
      </w:r>
    </w:p>
    <w:p w14:paraId="633A3A7C" w14:textId="138DE274" w:rsidR="009B4FD1" w:rsidRDefault="009B4FD1" w:rsidP="009B4FD1">
      <w:pPr>
        <w:spacing w:before="0" w:after="0"/>
        <w:jc w:val="both"/>
        <w:rPr>
          <w:rFonts w:asciiTheme="minorHAnsi" w:hAnsiTheme="minorHAnsi" w:cstheme="minorHAnsi"/>
          <w:sz w:val="22"/>
        </w:rPr>
      </w:pPr>
      <w:r>
        <w:rPr>
          <w:rFonts w:asciiTheme="minorHAnsi" w:hAnsiTheme="minorHAnsi" w:cstheme="minorHAnsi"/>
          <w:b/>
          <w:sz w:val="22"/>
        </w:rPr>
        <w:t xml:space="preserve">1.2.8 </w:t>
      </w:r>
      <w:r w:rsidRPr="006B7923">
        <w:rPr>
          <w:rFonts w:asciiTheme="minorHAnsi" w:hAnsiTheme="minorHAnsi" w:cstheme="minorHAnsi"/>
          <w:sz w:val="22"/>
        </w:rPr>
        <w:t xml:space="preserve">Create and fill key positions in line with the scope of new NSP activities as also </w:t>
      </w:r>
      <w:r w:rsidRPr="0056659C">
        <w:rPr>
          <w:rFonts w:asciiTheme="minorHAnsi" w:hAnsiTheme="minorHAnsi" w:cstheme="minorHAnsi"/>
          <w:b/>
          <w:sz w:val="22"/>
        </w:rPr>
        <w:t>prioritize filling of key positions</w:t>
      </w:r>
      <w:r w:rsidRPr="006B7923">
        <w:rPr>
          <w:rFonts w:asciiTheme="minorHAnsi" w:hAnsiTheme="minorHAnsi" w:cstheme="minorHAnsi"/>
          <w:sz w:val="22"/>
        </w:rPr>
        <w:t xml:space="preserve"> at all levels (DR-TB Coordinator, Labs, Accountants, State Logistics and Procurement, PPM Coordinator)</w:t>
      </w:r>
      <w:r w:rsidR="0028791C">
        <w:rPr>
          <w:rFonts w:asciiTheme="minorHAnsi" w:hAnsiTheme="minorHAnsi" w:cstheme="minorHAnsi"/>
          <w:sz w:val="22"/>
        </w:rPr>
        <w:t xml:space="preserve"> </w:t>
      </w:r>
    </w:p>
    <w:p w14:paraId="71126BC8" w14:textId="77777777" w:rsidR="0028791C" w:rsidRPr="0028791C" w:rsidRDefault="0028791C" w:rsidP="0028791C">
      <w:pPr>
        <w:spacing w:before="0" w:after="0"/>
        <w:jc w:val="both"/>
        <w:rPr>
          <w:rFonts w:asciiTheme="minorHAnsi" w:hAnsiTheme="minorHAnsi" w:cstheme="minorHAnsi"/>
          <w:b/>
          <w:sz w:val="22"/>
        </w:rPr>
      </w:pPr>
      <w:r w:rsidRPr="0028791C">
        <w:rPr>
          <w:rFonts w:asciiTheme="minorHAnsi" w:hAnsiTheme="minorHAnsi" w:cstheme="minorHAnsi"/>
          <w:b/>
          <w:sz w:val="22"/>
        </w:rPr>
        <w:t xml:space="preserve">1.2.9 </w:t>
      </w:r>
      <w:r w:rsidRPr="0028791C">
        <w:rPr>
          <w:rFonts w:asciiTheme="minorHAnsi" w:hAnsiTheme="minorHAnsi" w:cstheme="minorHAnsi"/>
          <w:sz w:val="22"/>
        </w:rPr>
        <w:t xml:space="preserve">Develop </w:t>
      </w:r>
      <w:r w:rsidRPr="0028791C">
        <w:rPr>
          <w:rFonts w:asciiTheme="minorHAnsi" w:hAnsiTheme="minorHAnsi" w:cstheme="minorHAnsi"/>
          <w:b/>
          <w:sz w:val="22"/>
        </w:rPr>
        <w:t xml:space="preserve">grievance redressal mechanisms </w:t>
      </w:r>
      <w:r w:rsidRPr="0028791C">
        <w:rPr>
          <w:rFonts w:asciiTheme="minorHAnsi" w:hAnsiTheme="minorHAnsi" w:cstheme="minorHAnsi"/>
          <w:sz w:val="22"/>
        </w:rPr>
        <w:t>for care providers</w:t>
      </w:r>
    </w:p>
    <w:p w14:paraId="059DD8AC" w14:textId="6ABDC905" w:rsidR="0028791C" w:rsidRPr="0028791C" w:rsidRDefault="0028791C" w:rsidP="0028791C">
      <w:pPr>
        <w:spacing w:before="0" w:after="0"/>
        <w:jc w:val="both"/>
        <w:rPr>
          <w:rFonts w:asciiTheme="minorHAnsi" w:hAnsiTheme="minorHAnsi" w:cstheme="minorHAnsi"/>
          <w:sz w:val="22"/>
        </w:rPr>
      </w:pPr>
      <w:r w:rsidRPr="0028791C">
        <w:rPr>
          <w:rFonts w:asciiTheme="minorHAnsi" w:hAnsiTheme="minorHAnsi" w:cstheme="minorHAnsi"/>
          <w:b/>
          <w:sz w:val="22"/>
        </w:rPr>
        <w:t xml:space="preserve">1.2.10 </w:t>
      </w:r>
      <w:r w:rsidRPr="0028791C">
        <w:rPr>
          <w:rFonts w:asciiTheme="minorHAnsi" w:hAnsiTheme="minorHAnsi" w:cstheme="minorHAnsi"/>
          <w:sz w:val="22"/>
        </w:rPr>
        <w:t>Initiate a</w:t>
      </w:r>
      <w:r w:rsidRPr="0028791C">
        <w:rPr>
          <w:rFonts w:asciiTheme="minorHAnsi" w:hAnsiTheme="minorHAnsi" w:cstheme="minorHAnsi"/>
          <w:b/>
          <w:sz w:val="22"/>
        </w:rPr>
        <w:t xml:space="preserve"> national fellowship program and immersive experiential learning programs </w:t>
      </w:r>
      <w:r w:rsidRPr="0028791C">
        <w:rPr>
          <w:rFonts w:asciiTheme="minorHAnsi" w:hAnsiTheme="minorHAnsi" w:cstheme="minorHAnsi"/>
          <w:sz w:val="22"/>
        </w:rPr>
        <w:t>for postgraduates from eminent medical, management, pure and social sciences institutions to create a multi-skilled pipeline for NTEP.</w:t>
      </w:r>
    </w:p>
    <w:p w14:paraId="522B5F00" w14:textId="77777777" w:rsidR="0085672F" w:rsidRDefault="0085672F" w:rsidP="00EC01A6">
      <w:pPr>
        <w:spacing w:before="0" w:after="0"/>
        <w:ind w:left="360"/>
        <w:jc w:val="both"/>
        <w:rPr>
          <w:rFonts w:asciiTheme="minorHAnsi" w:hAnsiTheme="minorHAnsi" w:cstheme="minorHAnsi"/>
          <w:sz w:val="22"/>
        </w:rPr>
      </w:pPr>
    </w:p>
    <w:p w14:paraId="2900684C" w14:textId="4CAC85A5" w:rsidR="00692F3A" w:rsidRDefault="00692F3A">
      <w:pPr>
        <w:spacing w:before="0" w:after="0"/>
        <w:rPr>
          <w:rFonts w:asciiTheme="minorHAnsi" w:hAnsiTheme="minorHAnsi" w:cstheme="minorHAnsi"/>
          <w:sz w:val="22"/>
        </w:rPr>
      </w:pPr>
      <w:r>
        <w:rPr>
          <w:rFonts w:asciiTheme="minorHAnsi" w:hAnsiTheme="minorHAnsi" w:cstheme="minorHAnsi"/>
          <w:sz w:val="22"/>
        </w:rPr>
        <w:br w:type="page"/>
      </w:r>
    </w:p>
    <w:p w14:paraId="58B531FE" w14:textId="74135354" w:rsidR="00061D34" w:rsidRDefault="00061D34" w:rsidP="00061D34">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B65B0C">
        <w:rPr>
          <w:rFonts w:asciiTheme="minorHAnsi" w:hAnsiTheme="minorHAnsi" w:cstheme="minorHAnsi"/>
          <w:b/>
          <w:snapToGrid w:val="0"/>
          <w:color w:val="auto"/>
          <w:sz w:val="36"/>
        </w:rPr>
        <w:t>10</w:t>
      </w:r>
      <w:r w:rsidRPr="00734B6A">
        <w:rPr>
          <w:rFonts w:asciiTheme="minorHAnsi" w:hAnsiTheme="minorHAnsi" w:cstheme="minorHAnsi"/>
          <w:b/>
          <w:snapToGrid w:val="0"/>
          <w:color w:val="auto"/>
          <w:sz w:val="36"/>
        </w:rPr>
        <w:t xml:space="preserve"> </w:t>
      </w:r>
    </w:p>
    <w:p w14:paraId="75A2D24C" w14:textId="51D46AA6" w:rsidR="006B7923" w:rsidRPr="006B7923" w:rsidRDefault="006B7923" w:rsidP="00B528EA">
      <w:pPr>
        <w:shd w:val="clear" w:color="auto" w:fill="17365D" w:themeFill="text2" w:themeFillShade="BF"/>
        <w:spacing w:before="0" w:after="0"/>
        <w:jc w:val="right"/>
        <w:rPr>
          <w:b/>
          <w:sz w:val="28"/>
        </w:rPr>
      </w:pPr>
      <w:r>
        <w:rPr>
          <w:b/>
          <w:sz w:val="28"/>
        </w:rPr>
        <w:t>NSP STRATEGIC AREA 1.3</w:t>
      </w:r>
    </w:p>
    <w:p w14:paraId="3A4BD396" w14:textId="4C326C7E" w:rsidR="00061D34" w:rsidRPr="00734B6A" w:rsidRDefault="00A04207" w:rsidP="00A04207">
      <w:pPr>
        <w:pStyle w:val="Heading1"/>
        <w:tabs>
          <w:tab w:val="num" w:pos="5670"/>
        </w:tabs>
        <w:ind w:left="2880" w:hanging="1800"/>
        <w:rPr>
          <w:rFonts w:asciiTheme="minorHAnsi" w:hAnsiTheme="minorHAnsi" w:cstheme="minorHAnsi"/>
          <w:b/>
          <w:snapToGrid w:val="0"/>
          <w:color w:val="auto"/>
        </w:rPr>
      </w:pPr>
      <w:r>
        <w:rPr>
          <w:rFonts w:asciiTheme="minorHAnsi" w:hAnsiTheme="minorHAnsi" w:cstheme="minorHAnsi"/>
          <w:b/>
          <w:snapToGrid w:val="0"/>
          <w:color w:val="auto"/>
        </w:rPr>
        <w:t xml:space="preserve">   </w:t>
      </w:r>
      <w:r w:rsidR="00061D34">
        <w:rPr>
          <w:rFonts w:asciiTheme="minorHAnsi" w:hAnsiTheme="minorHAnsi" w:cstheme="minorHAnsi"/>
          <w:b/>
          <w:snapToGrid w:val="0"/>
          <w:color w:val="auto"/>
        </w:rPr>
        <w:t xml:space="preserve">Governance </w:t>
      </w:r>
      <w:r>
        <w:rPr>
          <w:rFonts w:asciiTheme="minorHAnsi" w:hAnsiTheme="minorHAnsi" w:cstheme="minorHAnsi"/>
          <w:b/>
          <w:snapToGrid w:val="0"/>
          <w:color w:val="auto"/>
        </w:rPr>
        <w:t xml:space="preserve">and management of </w:t>
      </w:r>
      <w:r w:rsidR="00061D34">
        <w:rPr>
          <w:rFonts w:asciiTheme="minorHAnsi" w:hAnsiTheme="minorHAnsi" w:cstheme="minorHAnsi"/>
          <w:b/>
          <w:snapToGrid w:val="0"/>
          <w:color w:val="auto"/>
        </w:rPr>
        <w:t>NTEP</w:t>
      </w:r>
    </w:p>
    <w:p w14:paraId="622E3AA6" w14:textId="13C951FE" w:rsidR="0075389F" w:rsidRPr="00C45A90" w:rsidRDefault="00B65B0C"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10</w:t>
      </w:r>
      <w:r w:rsidR="0033007D">
        <w:rPr>
          <w:rFonts w:asciiTheme="minorHAnsi" w:hAnsiTheme="minorHAnsi" w:cstheme="minorHAnsi"/>
          <w:b/>
          <w:color w:val="C86A07" w:themeColor="accent2" w:themeShade="BF"/>
          <w:sz w:val="28"/>
          <w:lang w:val="en"/>
        </w:rPr>
        <w:t xml:space="preserve">.1 </w:t>
      </w:r>
      <w:r w:rsidR="0075389F" w:rsidRPr="00C45A90">
        <w:rPr>
          <w:rFonts w:asciiTheme="minorHAnsi" w:hAnsiTheme="minorHAnsi" w:cstheme="minorHAnsi"/>
          <w:b/>
          <w:color w:val="C86A07" w:themeColor="accent2" w:themeShade="BF"/>
          <w:sz w:val="28"/>
          <w:lang w:val="en"/>
        </w:rPr>
        <w:t>INTRODUCTION</w:t>
      </w:r>
    </w:p>
    <w:p w14:paraId="0E439E90" w14:textId="7ABE3A17" w:rsidR="000A68E0" w:rsidRDefault="00595104" w:rsidP="00373F41">
      <w:pPr>
        <w:spacing w:before="0" w:after="0"/>
        <w:jc w:val="both"/>
        <w:rPr>
          <w:rFonts w:ascii="Calibri" w:hAnsi="Calibri" w:cs="Calibri"/>
          <w:kern w:val="24"/>
          <w:sz w:val="22"/>
          <w:lang w:val="en" w:eastAsia="en-IN"/>
        </w:rPr>
      </w:pPr>
      <w:r>
        <w:rPr>
          <w:rFonts w:ascii="Calibri" w:hAnsi="Calibri" w:cs="Calibri"/>
          <w:kern w:val="24"/>
          <w:sz w:val="22"/>
          <w:lang w:val="en" w:eastAsia="en-IN"/>
        </w:rPr>
        <w:t>Good g</w:t>
      </w:r>
      <w:r w:rsidR="00A04207" w:rsidRPr="00A04207">
        <w:rPr>
          <w:rFonts w:ascii="Calibri" w:hAnsi="Calibri" w:cs="Calibri"/>
          <w:kern w:val="24"/>
          <w:sz w:val="22"/>
          <w:lang w:val="en" w:eastAsia="en-IN"/>
        </w:rPr>
        <w:t xml:space="preserve">overnance and effective management are critical to the performance of </w:t>
      </w:r>
      <w:r w:rsidR="00A04207">
        <w:rPr>
          <w:rFonts w:ascii="Calibri" w:hAnsi="Calibri" w:cs="Calibri"/>
          <w:kern w:val="24"/>
          <w:sz w:val="22"/>
          <w:lang w:val="en" w:eastAsia="en-IN"/>
        </w:rPr>
        <w:t>NTEP</w:t>
      </w:r>
      <w:r w:rsidR="00A04207" w:rsidRPr="00A04207">
        <w:rPr>
          <w:rFonts w:ascii="Calibri" w:hAnsi="Calibri" w:cs="Calibri"/>
          <w:kern w:val="24"/>
          <w:sz w:val="22"/>
          <w:lang w:val="en" w:eastAsia="en-IN"/>
        </w:rPr>
        <w:t>.</w:t>
      </w:r>
      <w:r w:rsidR="00A04207">
        <w:rPr>
          <w:rFonts w:ascii="Calibri" w:hAnsi="Calibri" w:cs="Calibri"/>
          <w:kern w:val="24"/>
          <w:sz w:val="22"/>
          <w:lang w:val="en" w:eastAsia="en-IN"/>
        </w:rPr>
        <w:t xml:space="preserve"> </w:t>
      </w:r>
      <w:r w:rsidR="003D06A8" w:rsidRPr="009971FC">
        <w:rPr>
          <w:rFonts w:ascii="Calibri" w:hAnsi="Calibri" w:cs="Calibri"/>
          <w:kern w:val="24"/>
          <w:sz w:val="22"/>
          <w:lang w:val="en" w:eastAsia="en-IN"/>
        </w:rPr>
        <w:t>The NSP</w:t>
      </w:r>
      <w:r w:rsidR="005D3E3C">
        <w:rPr>
          <w:rFonts w:ascii="Calibri" w:hAnsi="Calibri" w:cs="Calibri"/>
          <w:kern w:val="24"/>
          <w:sz w:val="22"/>
          <w:lang w:val="en" w:eastAsia="en-IN"/>
        </w:rPr>
        <w:t xml:space="preserve"> 2017 2025</w:t>
      </w:r>
      <w:r w:rsidR="003D06A8" w:rsidRPr="009971FC">
        <w:rPr>
          <w:rFonts w:ascii="Calibri" w:hAnsi="Calibri" w:cs="Calibri"/>
          <w:kern w:val="24"/>
          <w:sz w:val="22"/>
          <w:lang w:val="en" w:eastAsia="en-IN"/>
        </w:rPr>
        <w:t xml:space="preserve"> clearly outlines key governance interventions and structures that need to be in place to end TB by 2025.</w:t>
      </w:r>
      <w:r w:rsidR="009971FC" w:rsidRPr="009971FC">
        <w:rPr>
          <w:rFonts w:ascii="Calibri" w:hAnsi="Calibri" w:cs="Calibri"/>
          <w:kern w:val="24"/>
          <w:sz w:val="22"/>
          <w:lang w:val="en" w:eastAsia="en-IN"/>
        </w:rPr>
        <w:t xml:space="preserve"> </w:t>
      </w:r>
      <w:r w:rsidR="005D3E3C">
        <w:rPr>
          <w:rFonts w:ascii="Calibri" w:hAnsi="Calibri" w:cs="Calibri"/>
          <w:kern w:val="24"/>
          <w:sz w:val="22"/>
          <w:lang w:val="en" w:eastAsia="en-IN"/>
        </w:rPr>
        <w:t>However</w:t>
      </w:r>
      <w:r w:rsidR="002D0AEC">
        <w:rPr>
          <w:rFonts w:ascii="Calibri" w:hAnsi="Calibri" w:cs="Calibri"/>
          <w:kern w:val="24"/>
          <w:sz w:val="22"/>
          <w:lang w:val="en" w:eastAsia="en-IN"/>
        </w:rPr>
        <w:t>,</w:t>
      </w:r>
      <w:r w:rsidR="005D3E3C">
        <w:rPr>
          <w:rFonts w:ascii="Calibri" w:hAnsi="Calibri" w:cs="Calibri"/>
          <w:kern w:val="24"/>
          <w:sz w:val="22"/>
          <w:lang w:val="en" w:eastAsia="en-IN"/>
        </w:rPr>
        <w:t xml:space="preserve"> the planned expansion and restructuring of the NTEP has not happened. Hence</w:t>
      </w:r>
      <w:r w:rsidR="00EB1899">
        <w:rPr>
          <w:rFonts w:ascii="Calibri" w:hAnsi="Calibri" w:cs="Calibri"/>
          <w:kern w:val="24"/>
          <w:sz w:val="22"/>
          <w:lang w:val="en" w:eastAsia="en-IN"/>
        </w:rPr>
        <w:t xml:space="preserve"> for</w:t>
      </w:r>
      <w:r w:rsidR="005D3E3C">
        <w:rPr>
          <w:rFonts w:ascii="Calibri" w:hAnsi="Calibri" w:cs="Calibri"/>
          <w:kern w:val="24"/>
          <w:sz w:val="22"/>
          <w:lang w:val="en" w:eastAsia="en-IN"/>
        </w:rPr>
        <w:t xml:space="preserve"> </w:t>
      </w:r>
      <w:r w:rsidR="00EB1899">
        <w:rPr>
          <w:rFonts w:ascii="Calibri" w:hAnsi="Calibri" w:cs="Calibri"/>
          <w:kern w:val="24"/>
          <w:sz w:val="22"/>
          <w:lang w:val="en" w:eastAsia="en-IN"/>
        </w:rPr>
        <w:t xml:space="preserve">moving closer to the goals of END TB, </w:t>
      </w:r>
      <w:r w:rsidR="005D3E3C">
        <w:rPr>
          <w:rFonts w:ascii="Calibri" w:hAnsi="Calibri" w:cs="Calibri"/>
          <w:kern w:val="24"/>
          <w:sz w:val="22"/>
          <w:lang w:val="en" w:eastAsia="en-IN"/>
        </w:rPr>
        <w:t xml:space="preserve">the current NSP </w:t>
      </w:r>
      <w:r w:rsidR="00E20F7B">
        <w:rPr>
          <w:rFonts w:ascii="Calibri" w:hAnsi="Calibri" w:cs="Calibri"/>
          <w:kern w:val="24"/>
          <w:sz w:val="22"/>
          <w:lang w:val="en" w:eastAsia="en-IN"/>
        </w:rPr>
        <w:t>2020-</w:t>
      </w:r>
      <w:r w:rsidR="00760275">
        <w:rPr>
          <w:rFonts w:ascii="Calibri" w:hAnsi="Calibri" w:cs="Calibri"/>
          <w:kern w:val="24"/>
          <w:sz w:val="22"/>
          <w:lang w:val="en" w:eastAsia="en-IN"/>
        </w:rPr>
        <w:t>25 rededicates</w:t>
      </w:r>
      <w:r w:rsidR="005D3E3C">
        <w:rPr>
          <w:rFonts w:ascii="Calibri" w:hAnsi="Calibri" w:cs="Calibri"/>
          <w:kern w:val="24"/>
          <w:sz w:val="22"/>
          <w:lang w:val="en" w:eastAsia="en-IN"/>
        </w:rPr>
        <w:t xml:space="preserve"> it efforts </w:t>
      </w:r>
      <w:r w:rsidR="00EB1899">
        <w:rPr>
          <w:rFonts w:ascii="Calibri" w:hAnsi="Calibri" w:cs="Calibri"/>
          <w:kern w:val="24"/>
          <w:sz w:val="22"/>
          <w:lang w:val="en" w:eastAsia="en-IN"/>
        </w:rPr>
        <w:t>at</w:t>
      </w:r>
      <w:r w:rsidR="005D3E3C">
        <w:rPr>
          <w:rFonts w:ascii="Calibri" w:hAnsi="Calibri" w:cs="Calibri"/>
          <w:kern w:val="24"/>
          <w:sz w:val="22"/>
          <w:lang w:val="en" w:eastAsia="en-IN"/>
        </w:rPr>
        <w:t xml:space="preserve"> creating</w:t>
      </w:r>
      <w:r w:rsidR="00EB1899">
        <w:rPr>
          <w:rFonts w:ascii="Calibri" w:hAnsi="Calibri" w:cs="Calibri"/>
          <w:kern w:val="24"/>
          <w:sz w:val="22"/>
          <w:lang w:val="en" w:eastAsia="en-IN"/>
        </w:rPr>
        <w:t xml:space="preserve"> the </w:t>
      </w:r>
      <w:r w:rsidR="00EB1899" w:rsidRPr="00EB1899">
        <w:rPr>
          <w:rFonts w:ascii="Calibri" w:hAnsi="Calibri" w:cs="Calibri"/>
          <w:kern w:val="24"/>
          <w:sz w:val="22"/>
          <w:lang w:val="en" w:eastAsia="en-IN"/>
        </w:rPr>
        <w:t>strategic policy framework</w:t>
      </w:r>
      <w:r w:rsidR="00EB1899">
        <w:rPr>
          <w:rFonts w:ascii="Calibri" w:hAnsi="Calibri" w:cs="Calibri"/>
          <w:kern w:val="24"/>
          <w:sz w:val="22"/>
          <w:lang w:val="en" w:eastAsia="en-IN"/>
        </w:rPr>
        <w:t xml:space="preserve"> and platforms to provide </w:t>
      </w:r>
      <w:r w:rsidR="00EB1899" w:rsidRPr="00EB1899">
        <w:rPr>
          <w:rFonts w:ascii="Calibri" w:hAnsi="Calibri" w:cs="Calibri"/>
          <w:kern w:val="24"/>
          <w:sz w:val="22"/>
          <w:lang w:val="en" w:eastAsia="en-IN"/>
        </w:rPr>
        <w:t>effective oversight, coalition</w:t>
      </w:r>
      <w:r w:rsidR="00EB1899">
        <w:rPr>
          <w:rFonts w:ascii="Calibri" w:hAnsi="Calibri" w:cs="Calibri"/>
          <w:kern w:val="24"/>
          <w:sz w:val="22"/>
          <w:lang w:val="en" w:eastAsia="en-IN"/>
        </w:rPr>
        <w:t xml:space="preserve"> </w:t>
      </w:r>
      <w:r w:rsidR="00EB1899" w:rsidRPr="00EB1899">
        <w:rPr>
          <w:rFonts w:ascii="Calibri" w:hAnsi="Calibri" w:cs="Calibri"/>
          <w:kern w:val="24"/>
          <w:sz w:val="22"/>
          <w:lang w:val="en" w:eastAsia="en-IN"/>
        </w:rPr>
        <w:t>building, regulation, attention to sy</w:t>
      </w:r>
      <w:r w:rsidR="009A5E90">
        <w:rPr>
          <w:rFonts w:ascii="Calibri" w:hAnsi="Calibri" w:cs="Calibri"/>
          <w:kern w:val="24"/>
          <w:sz w:val="22"/>
          <w:lang w:val="en" w:eastAsia="en-IN"/>
        </w:rPr>
        <w:t>stem-design and accountability. In particular, elimination efforts will be provided the necessary impetus by the framing of a new policy on</w:t>
      </w:r>
      <w:r w:rsidR="000A68E0">
        <w:rPr>
          <w:rFonts w:ascii="Calibri" w:hAnsi="Calibri" w:cs="Calibri"/>
          <w:kern w:val="24"/>
          <w:sz w:val="22"/>
          <w:lang w:val="en" w:eastAsia="en-IN"/>
        </w:rPr>
        <w:t xml:space="preserve"> sub-national</w:t>
      </w:r>
      <w:r w:rsidR="009A5E90">
        <w:rPr>
          <w:rFonts w:ascii="Calibri" w:hAnsi="Calibri" w:cs="Calibri"/>
          <w:kern w:val="24"/>
          <w:sz w:val="22"/>
          <w:lang w:val="en" w:eastAsia="en-IN"/>
        </w:rPr>
        <w:t xml:space="preserve"> </w:t>
      </w:r>
      <w:r w:rsidR="009A5E90" w:rsidRPr="009A5E90">
        <w:rPr>
          <w:rFonts w:ascii="Calibri" w:hAnsi="Calibri" w:cs="Calibri"/>
          <w:b/>
          <w:kern w:val="24"/>
          <w:sz w:val="22"/>
          <w:lang w:val="en" w:eastAsia="en-IN"/>
        </w:rPr>
        <w:t>certification of “Disease Free” status</w:t>
      </w:r>
      <w:r w:rsidR="009A5E90">
        <w:rPr>
          <w:rFonts w:ascii="Calibri" w:hAnsi="Calibri" w:cs="Calibri"/>
          <w:b/>
          <w:kern w:val="24"/>
          <w:sz w:val="22"/>
          <w:lang w:val="en" w:eastAsia="en-IN"/>
        </w:rPr>
        <w:t xml:space="preserve"> </w:t>
      </w:r>
      <w:r w:rsidR="00760275">
        <w:rPr>
          <w:rFonts w:ascii="Calibri" w:hAnsi="Calibri" w:cs="Calibri"/>
          <w:b/>
          <w:kern w:val="24"/>
          <w:sz w:val="22"/>
          <w:lang w:val="en" w:eastAsia="en-IN"/>
        </w:rPr>
        <w:t>TB with</w:t>
      </w:r>
      <w:r w:rsidR="000A68E0">
        <w:rPr>
          <w:rFonts w:ascii="Calibri" w:hAnsi="Calibri" w:cs="Calibri"/>
          <w:b/>
          <w:kern w:val="24"/>
          <w:sz w:val="22"/>
          <w:lang w:val="en" w:eastAsia="en-IN"/>
        </w:rPr>
        <w:t xml:space="preserve"> benchmarks at every 20% reduction in incidence from the baseline of 2015.</w:t>
      </w:r>
      <w:r w:rsidR="000A68E0">
        <w:rPr>
          <w:rFonts w:ascii="Calibri" w:hAnsi="Calibri" w:cs="Calibri"/>
          <w:kern w:val="24"/>
          <w:sz w:val="22"/>
          <w:lang w:val="en" w:eastAsia="en-IN"/>
        </w:rPr>
        <w:t xml:space="preserve"> </w:t>
      </w:r>
    </w:p>
    <w:p w14:paraId="4E9117F9" w14:textId="5326BB20" w:rsidR="00A5306D" w:rsidRDefault="00A5306D" w:rsidP="00373F41">
      <w:pPr>
        <w:spacing w:before="0" w:after="0"/>
        <w:jc w:val="both"/>
        <w:rPr>
          <w:rFonts w:ascii="Calibri" w:hAnsi="Calibri" w:cs="Calibri"/>
          <w:kern w:val="24"/>
          <w:sz w:val="22"/>
          <w:lang w:val="en" w:eastAsia="en-IN"/>
        </w:rPr>
      </w:pPr>
      <w:r>
        <w:rPr>
          <w:rFonts w:ascii="Calibri" w:hAnsi="Calibri" w:cs="Calibri"/>
          <w:kern w:val="24"/>
          <w:sz w:val="22"/>
          <w:lang w:val="en" w:eastAsia="en-IN"/>
        </w:rPr>
        <w:t>Also, i</w:t>
      </w:r>
      <w:r w:rsidRPr="00A5306D">
        <w:rPr>
          <w:rFonts w:ascii="Calibri" w:hAnsi="Calibri" w:cs="Calibri"/>
          <w:kern w:val="24"/>
          <w:sz w:val="22"/>
          <w:lang w:val="en" w:eastAsia="en-IN"/>
        </w:rPr>
        <w:t>n spite of the significant achievements, it is realized that the power of existing interventions is not matched by the power of health systems to deliver them to those in greatest need, in a comprehensive way, and on an adequate scale. Although integration between the health systems and NTEP has been achieved in the provision of services, it is limited in other operational areas such as administration, financial management and monitoring and supervision. This has affected the quality of programme implementation because of the inadequate and sub optimally trained human resource, multiple administrative, financial and operational functions to be carried out by field level staff.</w:t>
      </w:r>
    </w:p>
    <w:p w14:paraId="374B498A" w14:textId="792AACE5" w:rsidR="00DD4576" w:rsidRPr="0033007D" w:rsidRDefault="00B65B0C" w:rsidP="00373F41">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10.</w:t>
      </w:r>
      <w:r w:rsidR="0033007D">
        <w:rPr>
          <w:rFonts w:asciiTheme="minorHAnsi" w:hAnsiTheme="minorHAnsi" w:cstheme="minorHAnsi"/>
          <w:b/>
          <w:color w:val="C86A07" w:themeColor="accent2" w:themeShade="BF"/>
          <w:sz w:val="28"/>
          <w:lang w:val="en"/>
        </w:rPr>
        <w:t xml:space="preserve">2 </w:t>
      </w:r>
      <w:r w:rsidR="00DD4576" w:rsidRPr="0033007D">
        <w:rPr>
          <w:rFonts w:asciiTheme="minorHAnsi" w:hAnsiTheme="minorHAnsi" w:cstheme="minorHAnsi"/>
          <w:b/>
          <w:color w:val="C86A07" w:themeColor="accent2" w:themeShade="BF"/>
          <w:sz w:val="28"/>
          <w:lang w:val="en"/>
        </w:rPr>
        <w:t>THE PROGRESS SO FAR:</w:t>
      </w:r>
    </w:p>
    <w:p w14:paraId="2BAA4E03" w14:textId="51B43A52" w:rsidR="008E0617" w:rsidRPr="00226FD6" w:rsidRDefault="00C23888" w:rsidP="009136E5">
      <w:pPr>
        <w:pStyle w:val="ListParagraph"/>
        <w:numPr>
          <w:ilvl w:val="0"/>
          <w:numId w:val="74"/>
        </w:numPr>
        <w:spacing w:before="0" w:after="0"/>
        <w:jc w:val="both"/>
        <w:rPr>
          <w:rFonts w:ascii="Calibri" w:hAnsi="Calibri" w:cs="Calibri"/>
          <w:b/>
          <w:kern w:val="24"/>
          <w:sz w:val="22"/>
          <w:lang w:val="en" w:eastAsia="en-IN"/>
        </w:rPr>
      </w:pPr>
      <w:r w:rsidRPr="00226FD6">
        <w:rPr>
          <w:rFonts w:ascii="Calibri" w:hAnsi="Calibri" w:cs="Calibri"/>
          <w:b/>
          <w:kern w:val="24"/>
          <w:sz w:val="22"/>
          <w:lang w:val="en" w:eastAsia="en-IN"/>
        </w:rPr>
        <w:t xml:space="preserve">Formulating policy and </w:t>
      </w:r>
      <w:r w:rsidR="00745A20" w:rsidRPr="00226FD6">
        <w:rPr>
          <w:rFonts w:ascii="Calibri" w:hAnsi="Calibri" w:cs="Calibri"/>
          <w:b/>
          <w:kern w:val="24"/>
          <w:sz w:val="22"/>
          <w:lang w:val="en" w:eastAsia="en-IN"/>
        </w:rPr>
        <w:t>guidelines</w:t>
      </w:r>
      <w:r w:rsidRPr="00226FD6">
        <w:rPr>
          <w:rFonts w:ascii="Calibri" w:hAnsi="Calibri" w:cs="Calibri"/>
          <w:b/>
          <w:kern w:val="24"/>
          <w:sz w:val="22"/>
          <w:lang w:val="en" w:eastAsia="en-IN"/>
        </w:rPr>
        <w:t xml:space="preserve">: </w:t>
      </w:r>
      <w:r w:rsidR="00226FD6">
        <w:rPr>
          <w:rFonts w:ascii="Calibri" w:hAnsi="Calibri" w:cs="Calibri"/>
          <w:b/>
          <w:kern w:val="24"/>
          <w:sz w:val="22"/>
          <w:lang w:val="en" w:eastAsia="en-IN"/>
        </w:rPr>
        <w:t>To m</w:t>
      </w:r>
      <w:r w:rsidR="00745A20" w:rsidRPr="00226FD6">
        <w:rPr>
          <w:rFonts w:ascii="Calibri" w:hAnsi="Calibri" w:cs="Calibri"/>
          <w:b/>
          <w:kern w:val="24"/>
          <w:sz w:val="22"/>
          <w:lang w:val="en" w:eastAsia="en-IN"/>
        </w:rPr>
        <w:t xml:space="preserve">atch the national and global commitments, NTEP has </w:t>
      </w:r>
      <w:r w:rsidR="00226FD6" w:rsidRPr="00226FD6">
        <w:rPr>
          <w:rFonts w:ascii="Calibri" w:hAnsi="Calibri" w:cs="Calibri"/>
          <w:b/>
          <w:kern w:val="24"/>
          <w:sz w:val="22"/>
          <w:lang w:val="en" w:eastAsia="en-IN"/>
        </w:rPr>
        <w:t xml:space="preserve">created an enabling policy, legislative and institutional environment for </w:t>
      </w:r>
      <w:r w:rsidR="00226FD6">
        <w:rPr>
          <w:rFonts w:ascii="Calibri" w:hAnsi="Calibri" w:cs="Calibri"/>
          <w:b/>
          <w:kern w:val="24"/>
          <w:sz w:val="22"/>
          <w:lang w:val="en" w:eastAsia="en-IN"/>
        </w:rPr>
        <w:t>TB elimination actions</w:t>
      </w:r>
      <w:r w:rsidR="00226FD6" w:rsidRPr="00226FD6">
        <w:rPr>
          <w:rFonts w:ascii="Calibri" w:hAnsi="Calibri" w:cs="Calibri"/>
          <w:b/>
          <w:kern w:val="24"/>
          <w:sz w:val="22"/>
          <w:lang w:val="en" w:eastAsia="en-IN"/>
        </w:rPr>
        <w:t xml:space="preserve"> aimed at furthering the realization of </w:t>
      </w:r>
      <w:r w:rsidR="00226FD6">
        <w:rPr>
          <w:rFonts w:ascii="Calibri" w:hAnsi="Calibri" w:cs="Calibri"/>
          <w:b/>
          <w:kern w:val="24"/>
          <w:sz w:val="22"/>
          <w:lang w:val="en" w:eastAsia="en-IN"/>
        </w:rPr>
        <w:t>programme goals</w:t>
      </w:r>
      <w:r w:rsidR="00226FD6" w:rsidRPr="00226FD6">
        <w:rPr>
          <w:rFonts w:ascii="Calibri" w:hAnsi="Calibri" w:cs="Calibri"/>
          <w:b/>
          <w:kern w:val="24"/>
          <w:sz w:val="22"/>
          <w:lang w:val="en" w:eastAsia="en-IN"/>
        </w:rPr>
        <w:t>.</w:t>
      </w:r>
      <w:r w:rsidR="00226FD6">
        <w:rPr>
          <w:rFonts w:ascii="Calibri" w:hAnsi="Calibri" w:cs="Calibri"/>
          <w:b/>
          <w:kern w:val="24"/>
          <w:sz w:val="22"/>
          <w:lang w:val="en" w:eastAsia="en-IN"/>
        </w:rPr>
        <w:t xml:space="preserve"> All of these guidelines</w:t>
      </w:r>
      <w:r w:rsidR="002A5612">
        <w:rPr>
          <w:rFonts w:ascii="Calibri" w:hAnsi="Calibri" w:cs="Calibri"/>
          <w:b/>
          <w:kern w:val="24"/>
          <w:sz w:val="22"/>
          <w:lang w:val="en" w:eastAsia="en-IN"/>
        </w:rPr>
        <w:t xml:space="preserve"> and changes to the earlier norms</w:t>
      </w:r>
      <w:r w:rsidR="00226FD6">
        <w:rPr>
          <w:rFonts w:ascii="Calibri" w:hAnsi="Calibri" w:cs="Calibri"/>
          <w:b/>
          <w:kern w:val="24"/>
          <w:sz w:val="22"/>
          <w:lang w:val="en" w:eastAsia="en-IN"/>
        </w:rPr>
        <w:t xml:space="preserve"> (mentioned below) are in various stages of </w:t>
      </w:r>
      <w:r w:rsidR="00D66514">
        <w:rPr>
          <w:rFonts w:ascii="Calibri" w:hAnsi="Calibri" w:cs="Calibri"/>
          <w:b/>
          <w:kern w:val="24"/>
          <w:sz w:val="22"/>
          <w:lang w:val="en" w:eastAsia="en-IN"/>
        </w:rPr>
        <w:t>application and will continue to support the NTEP interventions in the coming years</w:t>
      </w:r>
      <w:r w:rsidR="00226FD6">
        <w:rPr>
          <w:rFonts w:ascii="Calibri" w:hAnsi="Calibri" w:cs="Calibri"/>
          <w:b/>
          <w:kern w:val="24"/>
          <w:sz w:val="22"/>
          <w:lang w:val="en" w:eastAsia="en-IN"/>
        </w:rPr>
        <w:t xml:space="preserve">. </w:t>
      </w:r>
    </w:p>
    <w:p w14:paraId="6B4BA058" w14:textId="77777777" w:rsidR="000A68E0" w:rsidRPr="003D0394" w:rsidRDefault="000A68E0" w:rsidP="009136E5">
      <w:pPr>
        <w:numPr>
          <w:ilvl w:val="0"/>
          <w:numId w:val="95"/>
        </w:numPr>
        <w:shd w:val="clear" w:color="auto" w:fill="FFFFFF"/>
        <w:spacing w:before="0" w:after="0"/>
        <w:rPr>
          <w:rFonts w:ascii="Calibri" w:eastAsia="Times New Roman" w:hAnsi="Calibri" w:cs="Calibri"/>
          <w:color w:val="222222"/>
          <w:sz w:val="22"/>
          <w:lang w:val="en-IN" w:eastAsia="en-IN"/>
        </w:rPr>
      </w:pPr>
      <w:r>
        <w:rPr>
          <w:rFonts w:ascii="Calibri" w:eastAsia="Times New Roman" w:hAnsi="Calibri" w:cs="Calibri"/>
          <w:color w:val="222222"/>
          <w:sz w:val="22"/>
          <w:lang w:val="en-IN" w:eastAsia="en-IN"/>
        </w:rPr>
        <w:t>Population norms for establishing designated m</w:t>
      </w:r>
      <w:r w:rsidRPr="00745A20">
        <w:rPr>
          <w:rFonts w:ascii="Calibri" w:eastAsia="Times New Roman" w:hAnsi="Calibri" w:cs="Calibri"/>
          <w:color w:val="222222"/>
          <w:sz w:val="22"/>
          <w:lang w:val="en-IN" w:eastAsia="en-IN"/>
        </w:rPr>
        <w:t>icroscopy</w:t>
      </w:r>
      <w:r>
        <w:rPr>
          <w:rFonts w:ascii="Calibri" w:eastAsia="Times New Roman" w:hAnsi="Calibri" w:cs="Calibri"/>
          <w:color w:val="222222"/>
          <w:sz w:val="22"/>
          <w:lang w:val="en-IN" w:eastAsia="en-IN"/>
        </w:rPr>
        <w:t xml:space="preserve"> centers done away with. Microscopy services have</w:t>
      </w:r>
      <w:r w:rsidRPr="00745A20">
        <w:rPr>
          <w:rFonts w:ascii="Calibri" w:eastAsia="Times New Roman" w:hAnsi="Calibri" w:cs="Calibri"/>
          <w:color w:val="222222"/>
          <w:sz w:val="22"/>
          <w:lang w:val="en-IN" w:eastAsia="en-IN"/>
        </w:rPr>
        <w:t xml:space="preserve"> been expanded to Peripheral Health Institutes based on </w:t>
      </w:r>
      <w:r>
        <w:rPr>
          <w:rFonts w:ascii="Calibri" w:eastAsia="Times New Roman" w:hAnsi="Calibri" w:cs="Calibri"/>
          <w:color w:val="222222"/>
          <w:sz w:val="22"/>
          <w:lang w:val="en-IN" w:eastAsia="en-IN"/>
        </w:rPr>
        <w:t>availability of infrastructure and human resource</w:t>
      </w:r>
      <w:r w:rsidRPr="00745A20">
        <w:rPr>
          <w:rFonts w:ascii="Calibri" w:eastAsia="Times New Roman" w:hAnsi="Calibri" w:cs="Calibri"/>
          <w:color w:val="222222"/>
          <w:sz w:val="22"/>
          <w:lang w:val="en-IN" w:eastAsia="en-IN"/>
        </w:rPr>
        <w:t>, and not restricted to 1 DMC per 100,000 population norms</w:t>
      </w:r>
      <w:r>
        <w:rPr>
          <w:rFonts w:ascii="Calibri" w:eastAsia="Times New Roman" w:hAnsi="Calibri" w:cs="Calibri"/>
          <w:color w:val="222222"/>
          <w:sz w:val="22"/>
          <w:lang w:val="en-IN" w:eastAsia="en-IN"/>
        </w:rPr>
        <w:t xml:space="preserve">. This has resulted in </w:t>
      </w:r>
      <w:r>
        <w:rPr>
          <w:rFonts w:ascii="Calibri" w:hAnsi="Calibri" w:cs="Calibri"/>
          <w:iCs/>
          <w:sz w:val="22"/>
        </w:rPr>
        <w:t>scaling</w:t>
      </w:r>
      <w:r w:rsidRPr="007654E9">
        <w:rPr>
          <w:rFonts w:ascii="Calibri" w:hAnsi="Calibri" w:cs="Calibri"/>
          <w:iCs/>
          <w:sz w:val="22"/>
        </w:rPr>
        <w:t xml:space="preserve"> up </w:t>
      </w:r>
      <w:r>
        <w:rPr>
          <w:rFonts w:ascii="Calibri" w:hAnsi="Calibri" w:cs="Calibri"/>
          <w:iCs/>
          <w:sz w:val="22"/>
        </w:rPr>
        <w:t xml:space="preserve">of DMCs from 13657 in 2014 </w:t>
      </w:r>
      <w:r w:rsidRPr="007654E9">
        <w:rPr>
          <w:rFonts w:ascii="Calibri" w:hAnsi="Calibri" w:cs="Calibri"/>
          <w:iCs/>
          <w:sz w:val="22"/>
        </w:rPr>
        <w:t>to 20,356 across the country</w:t>
      </w:r>
      <w:r>
        <w:rPr>
          <w:rFonts w:ascii="Calibri" w:hAnsi="Calibri" w:cs="Calibri"/>
          <w:iCs/>
          <w:sz w:val="22"/>
        </w:rPr>
        <w:t xml:space="preserve"> currently.</w:t>
      </w:r>
    </w:p>
    <w:p w14:paraId="4F5340E3" w14:textId="077A7F35" w:rsidR="000A68E0" w:rsidRPr="003D0394" w:rsidRDefault="000A68E0" w:rsidP="009136E5">
      <w:pPr>
        <w:numPr>
          <w:ilvl w:val="0"/>
          <w:numId w:val="95"/>
        </w:numPr>
        <w:shd w:val="clear" w:color="auto" w:fill="FFFFFF"/>
        <w:spacing w:before="0" w:after="0"/>
        <w:rPr>
          <w:rFonts w:ascii="Calibri" w:eastAsia="Times New Roman" w:hAnsi="Calibri" w:cs="Calibri"/>
          <w:color w:val="222222"/>
          <w:sz w:val="22"/>
          <w:lang w:val="en-IN" w:eastAsia="en-IN"/>
        </w:rPr>
      </w:pPr>
      <w:r>
        <w:rPr>
          <w:rFonts w:ascii="Calibri" w:eastAsia="Times New Roman" w:hAnsi="Calibri" w:cs="Calibri"/>
          <w:color w:val="222222"/>
          <w:sz w:val="22"/>
          <w:lang w:val="en-IN" w:eastAsia="en-IN"/>
        </w:rPr>
        <w:t xml:space="preserve">Phasing out Sputum microscopy: </w:t>
      </w:r>
      <w:r w:rsidRPr="00745A20">
        <w:rPr>
          <w:rFonts w:ascii="Calibri" w:eastAsia="Times New Roman" w:hAnsi="Calibri" w:cs="Calibri"/>
          <w:color w:val="222222"/>
          <w:sz w:val="22"/>
          <w:lang w:val="en-IN" w:eastAsia="en-IN"/>
        </w:rPr>
        <w:t>Expansion of rapid molecular technology (CBNAAT) and introduction of newer technology (TrueNat)</w:t>
      </w:r>
      <w:r>
        <w:rPr>
          <w:rFonts w:ascii="Calibri" w:eastAsia="Times New Roman" w:hAnsi="Calibri" w:cs="Calibri"/>
          <w:color w:val="222222"/>
          <w:sz w:val="22"/>
          <w:lang w:val="en-IN" w:eastAsia="en-IN"/>
        </w:rPr>
        <w:t xml:space="preserve">. </w:t>
      </w:r>
      <w:r w:rsidRPr="007654E9">
        <w:rPr>
          <w:rFonts w:ascii="Calibri" w:hAnsi="Calibri" w:cs="Calibri"/>
          <w:iCs/>
          <w:sz w:val="22"/>
        </w:rPr>
        <w:t xml:space="preserve">507 additional CBNAAT machines had been installed and </w:t>
      </w:r>
      <w:r>
        <w:rPr>
          <w:rFonts w:ascii="Calibri" w:hAnsi="Calibri" w:cs="Calibri"/>
          <w:iCs/>
          <w:sz w:val="22"/>
        </w:rPr>
        <w:t xml:space="preserve">molecular diagnostic laboratories have been </w:t>
      </w:r>
      <w:r w:rsidRPr="007654E9">
        <w:rPr>
          <w:rFonts w:ascii="Calibri" w:hAnsi="Calibri" w:cs="Calibri"/>
          <w:iCs/>
          <w:sz w:val="22"/>
        </w:rPr>
        <w:t>scaled up from 1180 in 2018 to 3</w:t>
      </w:r>
      <w:r w:rsidR="00390E2D">
        <w:rPr>
          <w:rFonts w:ascii="Calibri" w:hAnsi="Calibri" w:cs="Calibri"/>
          <w:iCs/>
          <w:sz w:val="22"/>
        </w:rPr>
        <w:t>945</w:t>
      </w:r>
      <w:r w:rsidRPr="007654E9">
        <w:rPr>
          <w:rFonts w:ascii="Calibri" w:hAnsi="Calibri" w:cs="Calibri"/>
          <w:iCs/>
          <w:sz w:val="22"/>
        </w:rPr>
        <w:t xml:space="preserve"> currently</w:t>
      </w:r>
      <w:r w:rsidR="00390E2D">
        <w:rPr>
          <w:rFonts w:ascii="Calibri" w:hAnsi="Calibri" w:cs="Calibri"/>
          <w:iCs/>
          <w:sz w:val="22"/>
        </w:rPr>
        <w:t xml:space="preserve"> (by 2020)</w:t>
      </w:r>
      <w:r>
        <w:rPr>
          <w:rFonts w:ascii="Calibri" w:hAnsi="Calibri" w:cs="Calibri"/>
          <w:iCs/>
          <w:sz w:val="22"/>
        </w:rPr>
        <w:t xml:space="preserve">. </w:t>
      </w:r>
      <w:r w:rsidRPr="007654E9">
        <w:rPr>
          <w:rFonts w:ascii="Calibri" w:hAnsi="Calibri" w:cs="Calibri"/>
          <w:iCs/>
          <w:sz w:val="22"/>
        </w:rPr>
        <w:t>CBNAAT utilization has increased from 144 tests / machine / month in 2017 to 249 tests / machine / month in 2019</w:t>
      </w:r>
    </w:p>
    <w:p w14:paraId="47ED141D" w14:textId="77777777" w:rsidR="000A68E0" w:rsidRPr="00745A20" w:rsidRDefault="000A68E0" w:rsidP="009136E5">
      <w:pPr>
        <w:numPr>
          <w:ilvl w:val="0"/>
          <w:numId w:val="95"/>
        </w:numPr>
        <w:shd w:val="clear" w:color="auto" w:fill="FFFFFF"/>
        <w:spacing w:before="0" w:after="0"/>
        <w:rPr>
          <w:rFonts w:ascii="Calibri" w:eastAsia="Times New Roman" w:hAnsi="Calibri" w:cs="Calibri"/>
          <w:color w:val="222222"/>
          <w:sz w:val="22"/>
          <w:lang w:val="en-IN" w:eastAsia="en-IN"/>
        </w:rPr>
      </w:pPr>
      <w:r>
        <w:rPr>
          <w:rFonts w:ascii="Calibri" w:eastAsia="Times New Roman" w:hAnsi="Calibri" w:cs="Calibri"/>
          <w:color w:val="222222"/>
          <w:sz w:val="22"/>
          <w:lang w:val="en-IN" w:eastAsia="en-IN"/>
        </w:rPr>
        <w:t xml:space="preserve">Systematic </w:t>
      </w:r>
      <w:r w:rsidRPr="00745A20">
        <w:rPr>
          <w:rFonts w:ascii="Calibri" w:eastAsia="Times New Roman" w:hAnsi="Calibri" w:cs="Calibri"/>
          <w:color w:val="222222"/>
          <w:sz w:val="22"/>
          <w:lang w:val="en-IN" w:eastAsia="en-IN"/>
        </w:rPr>
        <w:t>Active TB Case Finding among high risk population</w:t>
      </w:r>
    </w:p>
    <w:p w14:paraId="6B1D9FF3" w14:textId="77777777" w:rsidR="00745A20" w:rsidRPr="00745A20" w:rsidRDefault="00745A20" w:rsidP="009136E5">
      <w:pPr>
        <w:numPr>
          <w:ilvl w:val="0"/>
          <w:numId w:val="95"/>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Universal Drug Susceptibility Testing – Rifampicin resistance testing for all TB patients</w:t>
      </w:r>
    </w:p>
    <w:p w14:paraId="6A8E13B4" w14:textId="77777777" w:rsidR="00745A20" w:rsidRPr="00745A20" w:rsidRDefault="00745A20" w:rsidP="009136E5">
      <w:pPr>
        <w:numPr>
          <w:ilvl w:val="0"/>
          <w:numId w:val="95"/>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lastRenderedPageBreak/>
        <w:t>INH drug susceptibility testing for all those patients tested for rifampicin and found as rifampicin sensitive and treatment of INH resistant TB</w:t>
      </w:r>
    </w:p>
    <w:p w14:paraId="6796C5EB" w14:textId="77777777" w:rsidR="00745A20" w:rsidRPr="00745A20" w:rsidRDefault="00745A20" w:rsidP="009136E5">
      <w:pPr>
        <w:numPr>
          <w:ilvl w:val="0"/>
          <w:numId w:val="95"/>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Newer drugs (Bedaquiline and Delamanid) containing regimen for treatment of drug resistant TB</w:t>
      </w:r>
    </w:p>
    <w:p w14:paraId="1E33A6EF" w14:textId="5F3B279F" w:rsidR="00745A20" w:rsidRPr="002230F2" w:rsidRDefault="00E56A09" w:rsidP="009136E5">
      <w:pPr>
        <w:numPr>
          <w:ilvl w:val="0"/>
          <w:numId w:val="95"/>
        </w:numPr>
        <w:shd w:val="clear" w:color="auto" w:fill="FFFFFF"/>
        <w:spacing w:before="0" w:after="0"/>
        <w:rPr>
          <w:rFonts w:ascii="Calibri" w:eastAsia="Times New Roman" w:hAnsi="Calibri" w:cs="Calibri"/>
          <w:color w:val="222222"/>
          <w:sz w:val="22"/>
          <w:lang w:val="en-IN" w:eastAsia="en-IN"/>
        </w:rPr>
      </w:pPr>
      <w:r w:rsidRPr="002230F2">
        <w:rPr>
          <w:rFonts w:ascii="Calibri" w:eastAsia="Times New Roman" w:hAnsi="Calibri" w:cs="Calibri"/>
          <w:b/>
          <w:bCs/>
          <w:color w:val="222222"/>
          <w:sz w:val="22"/>
          <w:lang w:val="en-IN" w:eastAsia="en-IN"/>
        </w:rPr>
        <w:t xml:space="preserve">Policy decision on discontinuation of regimen for previously treated TB patients: </w:t>
      </w:r>
      <w:r w:rsidRPr="002230F2">
        <w:rPr>
          <w:rFonts w:ascii="Calibri" w:eastAsia="Times New Roman" w:hAnsi="Calibri" w:cs="Calibri"/>
          <w:color w:val="222222"/>
          <w:sz w:val="22"/>
          <w:lang w:val="en-IN" w:eastAsia="en-IN"/>
        </w:rPr>
        <w:t>India envisages implementing injection free regimen for all TB patients. As per the recommendation of the National Technical Expert Group (NTEG) on Treatment of TB, the regimen for previously treated TB (erstwhile known as Category II), was discontinued under RNTCP and directives were issued to</w:t>
      </w:r>
      <w:r w:rsidR="002230F2" w:rsidRPr="002230F2">
        <w:rPr>
          <w:rFonts w:ascii="Calibri" w:eastAsia="Times New Roman" w:hAnsi="Calibri" w:cs="Calibri"/>
          <w:color w:val="222222"/>
          <w:sz w:val="22"/>
          <w:lang w:val="en-IN" w:eastAsia="en-IN"/>
        </w:rPr>
        <w:t xml:space="preserve"> </w:t>
      </w:r>
      <w:r w:rsidR="000A68E0">
        <w:rPr>
          <w:rFonts w:ascii="Calibri" w:eastAsia="Times New Roman" w:hAnsi="Calibri" w:cs="Calibri"/>
          <w:color w:val="222222"/>
          <w:sz w:val="22"/>
          <w:lang w:val="en-IN" w:eastAsia="en-IN"/>
        </w:rPr>
        <w:t>the S</w:t>
      </w:r>
      <w:r w:rsidRPr="002230F2">
        <w:rPr>
          <w:rFonts w:ascii="Calibri" w:eastAsia="Times New Roman" w:hAnsi="Calibri" w:cs="Calibri"/>
          <w:color w:val="222222"/>
          <w:sz w:val="22"/>
          <w:lang w:val="en-IN" w:eastAsia="en-IN"/>
        </w:rPr>
        <w:t xml:space="preserve">tates in Dec’18. </w:t>
      </w:r>
    </w:p>
    <w:p w14:paraId="3E97DB24" w14:textId="77777777" w:rsidR="00745A20" w:rsidRPr="00745A20" w:rsidRDefault="00745A20" w:rsidP="009136E5">
      <w:pPr>
        <w:numPr>
          <w:ilvl w:val="0"/>
          <w:numId w:val="95"/>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Injection free regimen has been introduced</w:t>
      </w:r>
    </w:p>
    <w:p w14:paraId="62BED662" w14:textId="77777777" w:rsidR="00745A20" w:rsidRPr="00745A20" w:rsidRDefault="00745A20" w:rsidP="009136E5">
      <w:pPr>
        <w:numPr>
          <w:ilvl w:val="1"/>
          <w:numId w:val="109"/>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Removal of previously treated TB treatment regimen</w:t>
      </w:r>
    </w:p>
    <w:p w14:paraId="4E33536E" w14:textId="77777777" w:rsidR="00745A20" w:rsidRPr="00745A20" w:rsidRDefault="00745A20" w:rsidP="009136E5">
      <w:pPr>
        <w:numPr>
          <w:ilvl w:val="1"/>
          <w:numId w:val="109"/>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Change of INH resistant TB treatment regimen to injection free regimen</w:t>
      </w:r>
    </w:p>
    <w:p w14:paraId="22147708" w14:textId="77777777" w:rsidR="00745A20" w:rsidRPr="00745A20" w:rsidRDefault="00745A20" w:rsidP="009136E5">
      <w:pPr>
        <w:numPr>
          <w:ilvl w:val="1"/>
          <w:numId w:val="109"/>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All oral longer regimen for treatment of drug resistant TB</w:t>
      </w:r>
    </w:p>
    <w:p w14:paraId="0627401B" w14:textId="751C09B3" w:rsidR="00745A20" w:rsidRPr="00745A20" w:rsidRDefault="00745A20" w:rsidP="009136E5">
      <w:pPr>
        <w:numPr>
          <w:ilvl w:val="0"/>
          <w:numId w:val="95"/>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Patient Provider Support Agency</w:t>
      </w:r>
      <w:r w:rsidR="000A68E0">
        <w:rPr>
          <w:rFonts w:ascii="Calibri" w:eastAsia="Times New Roman" w:hAnsi="Calibri" w:cs="Calibri"/>
          <w:color w:val="222222"/>
          <w:sz w:val="22"/>
          <w:lang w:val="en-IN" w:eastAsia="en-IN"/>
        </w:rPr>
        <w:t xml:space="preserve"> (PPSA)</w:t>
      </w:r>
      <w:r w:rsidRPr="00745A20">
        <w:rPr>
          <w:rFonts w:ascii="Calibri" w:eastAsia="Times New Roman" w:hAnsi="Calibri" w:cs="Calibri"/>
          <w:color w:val="222222"/>
          <w:sz w:val="22"/>
          <w:lang w:val="en-IN" w:eastAsia="en-IN"/>
        </w:rPr>
        <w:t xml:space="preserve"> approach expanded for private sector engagement nationwide through project JEET and further scaled up through domestic budgetary provisions</w:t>
      </w:r>
    </w:p>
    <w:p w14:paraId="2AD30940" w14:textId="77777777" w:rsidR="00745A20" w:rsidRPr="00745A20" w:rsidRDefault="00745A20" w:rsidP="009136E5">
      <w:pPr>
        <w:numPr>
          <w:ilvl w:val="0"/>
          <w:numId w:val="95"/>
        </w:numPr>
        <w:shd w:val="clear" w:color="auto" w:fill="FFFFFF"/>
        <w:spacing w:before="0" w:after="0"/>
        <w:rPr>
          <w:rFonts w:ascii="Calibri" w:eastAsia="Times New Roman" w:hAnsi="Calibri" w:cs="Calibri"/>
          <w:color w:val="222222"/>
          <w:sz w:val="22"/>
          <w:lang w:val="en-IN" w:eastAsia="en-IN"/>
        </w:rPr>
      </w:pPr>
      <w:r w:rsidRPr="002A5612">
        <w:rPr>
          <w:rFonts w:ascii="Calibri" w:eastAsia="Times New Roman" w:hAnsi="Calibri" w:cs="Calibri"/>
          <w:b/>
          <w:color w:val="222222"/>
          <w:sz w:val="22"/>
          <w:lang w:val="en-IN" w:eastAsia="en-IN"/>
        </w:rPr>
        <w:t>Mandatory TB notification</w:t>
      </w:r>
      <w:r w:rsidRPr="00745A20">
        <w:rPr>
          <w:rFonts w:ascii="Calibri" w:eastAsia="Times New Roman" w:hAnsi="Calibri" w:cs="Calibri"/>
          <w:color w:val="222222"/>
          <w:sz w:val="22"/>
          <w:lang w:val="en-IN" w:eastAsia="en-IN"/>
        </w:rPr>
        <w:t xml:space="preserve"> has been strengthened through </w:t>
      </w:r>
      <w:r w:rsidRPr="002A5612">
        <w:rPr>
          <w:rFonts w:ascii="Calibri" w:eastAsia="Times New Roman" w:hAnsi="Calibri" w:cs="Calibri"/>
          <w:b/>
          <w:color w:val="222222"/>
          <w:sz w:val="22"/>
          <w:lang w:val="en-IN" w:eastAsia="en-IN"/>
        </w:rPr>
        <w:t>Gazette notification</w:t>
      </w:r>
      <w:r w:rsidRPr="00745A20">
        <w:rPr>
          <w:rFonts w:ascii="Calibri" w:eastAsia="Times New Roman" w:hAnsi="Calibri" w:cs="Calibri"/>
          <w:color w:val="222222"/>
          <w:sz w:val="22"/>
          <w:lang w:val="en-IN" w:eastAsia="en-IN"/>
        </w:rPr>
        <w:t xml:space="preserve"> with expanding scope of notification of patients from chemists and penal provision</w:t>
      </w:r>
    </w:p>
    <w:p w14:paraId="7D16B3FD" w14:textId="77777777" w:rsidR="00745A20" w:rsidRPr="00745A20" w:rsidRDefault="00745A20" w:rsidP="009136E5">
      <w:pPr>
        <w:numPr>
          <w:ilvl w:val="0"/>
          <w:numId w:val="95"/>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Reinforcement of provisions of Schedule H1 of the Drugs and Cosmetic Act to involve chemist for notification</w:t>
      </w:r>
    </w:p>
    <w:p w14:paraId="6B03E5A5" w14:textId="77777777" w:rsidR="00745A20" w:rsidRPr="00745A20" w:rsidRDefault="00745A20" w:rsidP="009136E5">
      <w:pPr>
        <w:numPr>
          <w:ilvl w:val="0"/>
          <w:numId w:val="95"/>
        </w:numPr>
        <w:shd w:val="clear" w:color="auto" w:fill="FFFFFF"/>
        <w:spacing w:before="0" w:after="0"/>
        <w:rPr>
          <w:rFonts w:ascii="Calibri" w:eastAsia="Times New Roman" w:hAnsi="Calibri" w:cs="Calibri"/>
          <w:color w:val="222222"/>
          <w:sz w:val="22"/>
          <w:lang w:val="en-IN" w:eastAsia="en-IN"/>
        </w:rPr>
      </w:pPr>
      <w:r w:rsidRPr="002A5612">
        <w:rPr>
          <w:rFonts w:ascii="Calibri" w:eastAsia="Times New Roman" w:hAnsi="Calibri" w:cs="Calibri"/>
          <w:b/>
          <w:color w:val="222222"/>
          <w:sz w:val="22"/>
          <w:lang w:val="en-IN" w:eastAsia="en-IN"/>
        </w:rPr>
        <w:t>Direct Benefit Schemes</w:t>
      </w:r>
      <w:r w:rsidRPr="00745A20">
        <w:rPr>
          <w:rFonts w:ascii="Calibri" w:eastAsia="Times New Roman" w:hAnsi="Calibri" w:cs="Calibri"/>
          <w:color w:val="222222"/>
          <w:sz w:val="22"/>
          <w:lang w:val="en-IN" w:eastAsia="en-IN"/>
        </w:rPr>
        <w:t xml:space="preserve"> introduced         </w:t>
      </w:r>
    </w:p>
    <w:p w14:paraId="0F8DEB26" w14:textId="3F96869C" w:rsidR="00745A20" w:rsidRPr="00745A20" w:rsidRDefault="00745A20" w:rsidP="009136E5">
      <w:pPr>
        <w:numPr>
          <w:ilvl w:val="1"/>
          <w:numId w:val="96"/>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NIKSHAY P</w:t>
      </w:r>
      <w:r w:rsidR="002D0AEC">
        <w:rPr>
          <w:rFonts w:ascii="Calibri" w:eastAsia="Times New Roman" w:hAnsi="Calibri" w:cs="Calibri"/>
          <w:color w:val="222222"/>
          <w:sz w:val="22"/>
          <w:lang w:val="en-IN" w:eastAsia="en-IN"/>
        </w:rPr>
        <w:t>oshan Yojana – Every TB patient is</w:t>
      </w:r>
      <w:r w:rsidRPr="00745A20">
        <w:rPr>
          <w:rFonts w:ascii="Calibri" w:eastAsia="Times New Roman" w:hAnsi="Calibri" w:cs="Calibri"/>
          <w:color w:val="222222"/>
          <w:sz w:val="22"/>
          <w:lang w:val="en-IN" w:eastAsia="en-IN"/>
        </w:rPr>
        <w:t xml:space="preserve"> being provide</w:t>
      </w:r>
      <w:r w:rsidR="002D0AEC">
        <w:rPr>
          <w:rFonts w:ascii="Calibri" w:eastAsia="Times New Roman" w:hAnsi="Calibri" w:cs="Calibri"/>
          <w:color w:val="222222"/>
          <w:sz w:val="22"/>
          <w:lang w:val="en-IN" w:eastAsia="en-IN"/>
        </w:rPr>
        <w:t>d</w:t>
      </w:r>
      <w:r w:rsidRPr="00745A20">
        <w:rPr>
          <w:rFonts w:ascii="Calibri" w:eastAsia="Times New Roman" w:hAnsi="Calibri" w:cs="Calibri"/>
          <w:color w:val="222222"/>
          <w:sz w:val="22"/>
          <w:lang w:val="en-IN" w:eastAsia="en-IN"/>
        </w:rPr>
        <w:t xml:space="preserve"> nutrition support through Rs. 500 per month till completion of treatment</w:t>
      </w:r>
    </w:p>
    <w:p w14:paraId="5282BC30" w14:textId="77777777" w:rsidR="00745A20" w:rsidRPr="00745A20" w:rsidRDefault="00745A20" w:rsidP="009136E5">
      <w:pPr>
        <w:numPr>
          <w:ilvl w:val="1"/>
          <w:numId w:val="96"/>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Treatment Supporter – Honorarium for treatment support has been provided through DBT</w:t>
      </w:r>
    </w:p>
    <w:p w14:paraId="7C7A5DCB" w14:textId="77777777" w:rsidR="00745A20" w:rsidRPr="00745A20" w:rsidRDefault="00745A20" w:rsidP="009136E5">
      <w:pPr>
        <w:numPr>
          <w:ilvl w:val="1"/>
          <w:numId w:val="96"/>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Private Provider Incentives – Rs. 500 for notification and Rs. 500 for reporting of treatment outcome have been initiated for private practitioners</w:t>
      </w:r>
    </w:p>
    <w:p w14:paraId="7D6D2536" w14:textId="77777777" w:rsidR="00745A20" w:rsidRPr="00745A20" w:rsidRDefault="00745A20" w:rsidP="009136E5">
      <w:pPr>
        <w:numPr>
          <w:ilvl w:val="1"/>
          <w:numId w:val="96"/>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Informant Incentives – To encourage referral from private sector and community volunteers, Rs. 500 are being provided for each referral of patient who is diagnosed as TB in public sector</w:t>
      </w:r>
    </w:p>
    <w:p w14:paraId="5F397B2E" w14:textId="77777777" w:rsidR="00745A20" w:rsidRPr="00745A20" w:rsidRDefault="00745A20" w:rsidP="009136E5">
      <w:pPr>
        <w:numPr>
          <w:ilvl w:val="0"/>
          <w:numId w:val="96"/>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Community Engagement – TB survivors are sensitized and mentored to become TB advocate and eventually TB champion to contribute for service delivery in TB programme</w:t>
      </w:r>
    </w:p>
    <w:p w14:paraId="3B378993" w14:textId="77777777" w:rsidR="00745A20" w:rsidRPr="00745A20" w:rsidRDefault="00745A20" w:rsidP="009136E5">
      <w:pPr>
        <w:numPr>
          <w:ilvl w:val="1"/>
          <w:numId w:val="97"/>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State and District level TB Forums have been formed to provide platform for TB champions to execute their role</w:t>
      </w:r>
    </w:p>
    <w:p w14:paraId="5CA59B86" w14:textId="77777777" w:rsidR="00745A20" w:rsidRPr="00745A20" w:rsidRDefault="00745A20" w:rsidP="009136E5">
      <w:pPr>
        <w:numPr>
          <w:ilvl w:val="0"/>
          <w:numId w:val="97"/>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Multi-sectoral engagement</w:t>
      </w:r>
    </w:p>
    <w:p w14:paraId="584C5CB0" w14:textId="08821A2E" w:rsidR="00745A20" w:rsidRDefault="00745A20" w:rsidP="009136E5">
      <w:pPr>
        <w:numPr>
          <w:ilvl w:val="1"/>
          <w:numId w:val="98"/>
        </w:numPr>
        <w:shd w:val="clear" w:color="auto" w:fill="FFFFFF"/>
        <w:spacing w:before="0" w:after="0"/>
        <w:rPr>
          <w:rFonts w:ascii="Calibri" w:eastAsia="Times New Roman" w:hAnsi="Calibri" w:cs="Calibri"/>
          <w:color w:val="222222"/>
          <w:sz w:val="22"/>
          <w:lang w:val="en-IN" w:eastAsia="en-IN"/>
        </w:rPr>
      </w:pPr>
      <w:r w:rsidRPr="002A5612">
        <w:rPr>
          <w:rFonts w:ascii="Calibri" w:eastAsia="Times New Roman" w:hAnsi="Calibri" w:cs="Calibri"/>
          <w:b/>
          <w:color w:val="222222"/>
          <w:sz w:val="22"/>
          <w:lang w:val="en-IN" w:eastAsia="en-IN"/>
        </w:rPr>
        <w:t xml:space="preserve">MoU </w:t>
      </w:r>
      <w:r w:rsidR="002A5612" w:rsidRPr="002A5612">
        <w:rPr>
          <w:rFonts w:ascii="Calibri" w:eastAsia="Times New Roman" w:hAnsi="Calibri" w:cs="Calibri"/>
          <w:b/>
          <w:color w:val="222222"/>
          <w:sz w:val="22"/>
          <w:lang w:val="en-IN" w:eastAsia="en-IN"/>
        </w:rPr>
        <w:t>entered into</w:t>
      </w:r>
      <w:r w:rsidRPr="002A5612">
        <w:rPr>
          <w:rFonts w:ascii="Calibri" w:eastAsia="Times New Roman" w:hAnsi="Calibri" w:cs="Calibri"/>
          <w:b/>
          <w:color w:val="222222"/>
          <w:sz w:val="22"/>
          <w:lang w:val="en-IN" w:eastAsia="en-IN"/>
        </w:rPr>
        <w:t xml:space="preserve"> with Ministry</w:t>
      </w:r>
      <w:r w:rsidRPr="00745A20">
        <w:rPr>
          <w:rFonts w:ascii="Calibri" w:eastAsia="Times New Roman" w:hAnsi="Calibri" w:cs="Calibri"/>
          <w:color w:val="222222"/>
          <w:sz w:val="22"/>
          <w:lang w:val="en-IN" w:eastAsia="en-IN"/>
        </w:rPr>
        <w:t xml:space="preserve"> of AYUSH, Railway and Department of ECHS</w:t>
      </w:r>
      <w:r w:rsidR="006860AE">
        <w:rPr>
          <w:rFonts w:ascii="Calibri" w:eastAsia="Times New Roman" w:hAnsi="Calibri" w:cs="Calibri"/>
          <w:color w:val="222222"/>
          <w:sz w:val="22"/>
          <w:lang w:val="en-IN" w:eastAsia="en-IN"/>
        </w:rPr>
        <w:t xml:space="preserve"> </w:t>
      </w:r>
    </w:p>
    <w:p w14:paraId="048CB331" w14:textId="7C5238E3" w:rsidR="00745A20" w:rsidRPr="00745A20" w:rsidRDefault="00745A20" w:rsidP="009136E5">
      <w:pPr>
        <w:numPr>
          <w:ilvl w:val="1"/>
          <w:numId w:val="98"/>
        </w:numPr>
        <w:shd w:val="clear" w:color="auto" w:fill="FFFFFF"/>
        <w:spacing w:before="0" w:after="0"/>
        <w:rPr>
          <w:rFonts w:ascii="Calibri" w:eastAsia="Times New Roman" w:hAnsi="Calibri" w:cs="Calibri"/>
          <w:color w:val="222222"/>
          <w:sz w:val="22"/>
          <w:lang w:val="en-IN" w:eastAsia="en-IN"/>
        </w:rPr>
      </w:pPr>
      <w:r w:rsidRPr="002A5612">
        <w:rPr>
          <w:rFonts w:ascii="Calibri" w:eastAsia="Times New Roman" w:hAnsi="Calibri" w:cs="Calibri"/>
          <w:b/>
          <w:color w:val="222222"/>
          <w:sz w:val="22"/>
          <w:lang w:val="en-IN" w:eastAsia="en-IN"/>
        </w:rPr>
        <w:t xml:space="preserve">Policy Framework to address TB at </w:t>
      </w:r>
      <w:r w:rsidR="00D66514" w:rsidRPr="002A5612">
        <w:rPr>
          <w:rFonts w:ascii="Calibri" w:eastAsia="Times New Roman" w:hAnsi="Calibri" w:cs="Calibri"/>
          <w:b/>
          <w:color w:val="222222"/>
          <w:sz w:val="22"/>
          <w:lang w:val="en-IN" w:eastAsia="en-IN"/>
        </w:rPr>
        <w:t>place</w:t>
      </w:r>
      <w:r w:rsidRPr="002A5612">
        <w:rPr>
          <w:rFonts w:ascii="Calibri" w:eastAsia="Times New Roman" w:hAnsi="Calibri" w:cs="Calibri"/>
          <w:b/>
          <w:color w:val="222222"/>
          <w:sz w:val="22"/>
          <w:lang w:val="en-IN" w:eastAsia="en-IN"/>
        </w:rPr>
        <w:t xml:space="preserve"> of work</w:t>
      </w:r>
      <w:r w:rsidRPr="00745A20">
        <w:rPr>
          <w:rFonts w:ascii="Calibri" w:eastAsia="Times New Roman" w:hAnsi="Calibri" w:cs="Calibri"/>
          <w:color w:val="222222"/>
          <w:sz w:val="22"/>
          <w:lang w:val="en-IN" w:eastAsia="en-IN"/>
        </w:rPr>
        <w:t xml:space="preserve"> has been formed and issued by the Ministry of Labour and Employment</w:t>
      </w:r>
    </w:p>
    <w:p w14:paraId="24C31DD1" w14:textId="715BAC7E" w:rsidR="00745A20" w:rsidRDefault="00745A20" w:rsidP="009136E5">
      <w:pPr>
        <w:numPr>
          <w:ilvl w:val="1"/>
          <w:numId w:val="98"/>
        </w:numPr>
        <w:shd w:val="clear" w:color="auto" w:fill="FFFFFF"/>
        <w:spacing w:before="0" w:after="0"/>
        <w:rPr>
          <w:rFonts w:ascii="Calibri" w:eastAsia="Times New Roman" w:hAnsi="Calibri" w:cs="Calibri"/>
          <w:color w:val="222222"/>
          <w:sz w:val="22"/>
          <w:lang w:val="en-IN" w:eastAsia="en-IN"/>
        </w:rPr>
      </w:pPr>
      <w:r w:rsidRPr="002A5612">
        <w:rPr>
          <w:rFonts w:ascii="Calibri" w:eastAsia="Times New Roman" w:hAnsi="Calibri" w:cs="Calibri"/>
          <w:b/>
          <w:color w:val="222222"/>
          <w:sz w:val="22"/>
          <w:lang w:val="en-IN" w:eastAsia="en-IN"/>
        </w:rPr>
        <w:t>Multi-sectoral action framework</w:t>
      </w:r>
      <w:r w:rsidRPr="00745A20">
        <w:rPr>
          <w:rFonts w:ascii="Calibri" w:eastAsia="Times New Roman" w:hAnsi="Calibri" w:cs="Calibri"/>
          <w:color w:val="222222"/>
          <w:sz w:val="22"/>
          <w:lang w:val="en-IN" w:eastAsia="en-IN"/>
        </w:rPr>
        <w:t xml:space="preserve"> has been formed and at the national level, inter-ministerial collaboration committee has been established</w:t>
      </w:r>
      <w:r w:rsidR="00F554CD">
        <w:rPr>
          <w:rFonts w:ascii="Calibri" w:eastAsia="Times New Roman" w:hAnsi="Calibri" w:cs="Calibri"/>
          <w:color w:val="222222"/>
          <w:sz w:val="22"/>
          <w:lang w:val="en-IN" w:eastAsia="en-IN"/>
        </w:rPr>
        <w:t xml:space="preserve"> </w:t>
      </w:r>
    </w:p>
    <w:p w14:paraId="6264692B" w14:textId="5D4DFA6E" w:rsidR="00745A20" w:rsidRPr="002742CF" w:rsidRDefault="00745A20" w:rsidP="009136E5">
      <w:pPr>
        <w:numPr>
          <w:ilvl w:val="0"/>
          <w:numId w:val="99"/>
        </w:numPr>
        <w:shd w:val="clear" w:color="auto" w:fill="FFFFFF"/>
        <w:spacing w:before="0" w:after="0"/>
        <w:rPr>
          <w:rFonts w:ascii="Calibri" w:eastAsia="Times New Roman" w:hAnsi="Calibri" w:cs="Calibri"/>
          <w:color w:val="222222"/>
          <w:sz w:val="22"/>
          <w:lang w:val="en-IN" w:eastAsia="en-IN"/>
        </w:rPr>
      </w:pPr>
      <w:r w:rsidRPr="002742CF">
        <w:rPr>
          <w:rFonts w:ascii="Calibri" w:eastAsia="Times New Roman" w:hAnsi="Calibri" w:cs="Calibri"/>
          <w:color w:val="222222"/>
          <w:sz w:val="22"/>
          <w:lang w:val="en-IN" w:eastAsia="en-IN"/>
        </w:rPr>
        <w:t xml:space="preserve">NIKSHAY version 2.0 has been launched and used under NTEP with </w:t>
      </w:r>
      <w:r w:rsidR="002742CF" w:rsidRPr="002742CF">
        <w:rPr>
          <w:rFonts w:ascii="Calibri" w:eastAsia="Times New Roman" w:hAnsi="Calibri" w:cs="Calibri"/>
          <w:color w:val="222222"/>
          <w:sz w:val="22"/>
          <w:lang w:val="en-IN" w:eastAsia="en-IN"/>
        </w:rPr>
        <w:t xml:space="preserve">the </w:t>
      </w:r>
      <w:r w:rsidRPr="002742CF">
        <w:rPr>
          <w:rFonts w:ascii="Calibri" w:eastAsia="Times New Roman" w:hAnsi="Calibri" w:cs="Calibri"/>
          <w:color w:val="222222"/>
          <w:sz w:val="22"/>
          <w:lang w:val="en-IN" w:eastAsia="en-IN"/>
        </w:rPr>
        <w:t>features</w:t>
      </w:r>
      <w:r w:rsidR="002742CF" w:rsidRPr="002742CF">
        <w:rPr>
          <w:rFonts w:ascii="Calibri" w:eastAsia="Times New Roman" w:hAnsi="Calibri" w:cs="Calibri"/>
          <w:color w:val="222222"/>
          <w:sz w:val="22"/>
          <w:lang w:val="en-IN" w:eastAsia="en-IN"/>
        </w:rPr>
        <w:t xml:space="preserve"> of t</w:t>
      </w:r>
      <w:r w:rsidRPr="002742CF">
        <w:rPr>
          <w:rFonts w:ascii="Calibri" w:eastAsia="Times New Roman" w:hAnsi="Calibri" w:cs="Calibri"/>
          <w:color w:val="222222"/>
          <w:sz w:val="22"/>
          <w:lang w:val="en-IN" w:eastAsia="en-IN"/>
        </w:rPr>
        <w:t>ransaction</w:t>
      </w:r>
      <w:r w:rsidR="002D0AEC">
        <w:rPr>
          <w:rFonts w:ascii="Calibri" w:eastAsia="Times New Roman" w:hAnsi="Calibri" w:cs="Calibri"/>
          <w:color w:val="222222"/>
          <w:sz w:val="22"/>
          <w:lang w:val="en-IN" w:eastAsia="en-IN"/>
        </w:rPr>
        <w:t>-</w:t>
      </w:r>
      <w:r w:rsidRPr="002742CF">
        <w:rPr>
          <w:rFonts w:ascii="Calibri" w:eastAsia="Times New Roman" w:hAnsi="Calibri" w:cs="Calibri"/>
          <w:color w:val="222222"/>
          <w:sz w:val="22"/>
          <w:lang w:val="en-IN" w:eastAsia="en-IN"/>
        </w:rPr>
        <w:t>based information system</w:t>
      </w:r>
      <w:r w:rsidR="002742CF" w:rsidRPr="002742CF">
        <w:rPr>
          <w:rFonts w:ascii="Calibri" w:eastAsia="Times New Roman" w:hAnsi="Calibri" w:cs="Calibri"/>
          <w:color w:val="222222"/>
          <w:sz w:val="22"/>
          <w:lang w:val="en-IN" w:eastAsia="en-IN"/>
        </w:rPr>
        <w:t>, u</w:t>
      </w:r>
      <w:r w:rsidRPr="002742CF">
        <w:rPr>
          <w:rFonts w:ascii="Calibri" w:eastAsia="Times New Roman" w:hAnsi="Calibri" w:cs="Calibri"/>
          <w:color w:val="222222"/>
          <w:sz w:val="22"/>
          <w:lang w:val="en-IN" w:eastAsia="en-IN"/>
        </w:rPr>
        <w:t>niform public and private sector MIS</w:t>
      </w:r>
      <w:r w:rsidR="002742CF" w:rsidRPr="002742CF">
        <w:rPr>
          <w:rFonts w:ascii="Calibri" w:eastAsia="Times New Roman" w:hAnsi="Calibri" w:cs="Calibri"/>
          <w:color w:val="222222"/>
          <w:sz w:val="22"/>
          <w:lang w:val="en-IN" w:eastAsia="en-IN"/>
        </w:rPr>
        <w:t xml:space="preserve">, </w:t>
      </w:r>
      <w:r w:rsidRPr="002742CF">
        <w:rPr>
          <w:rFonts w:ascii="Calibri" w:eastAsia="Times New Roman" w:hAnsi="Calibri" w:cs="Calibri"/>
          <w:color w:val="222222"/>
          <w:sz w:val="22"/>
          <w:lang w:val="en-IN" w:eastAsia="en-IN"/>
        </w:rPr>
        <w:t>PHI level logins and users</w:t>
      </w:r>
      <w:r w:rsidR="002742CF" w:rsidRPr="002742CF">
        <w:rPr>
          <w:rFonts w:ascii="Calibri" w:eastAsia="Times New Roman" w:hAnsi="Calibri" w:cs="Calibri"/>
          <w:color w:val="222222"/>
          <w:sz w:val="22"/>
          <w:lang w:val="en-IN" w:eastAsia="en-IN"/>
        </w:rPr>
        <w:t>, p</w:t>
      </w:r>
      <w:r w:rsidRPr="002742CF">
        <w:rPr>
          <w:rFonts w:ascii="Calibri" w:eastAsia="Times New Roman" w:hAnsi="Calibri" w:cs="Calibri"/>
          <w:color w:val="222222"/>
          <w:sz w:val="22"/>
          <w:lang w:val="en-IN" w:eastAsia="en-IN"/>
        </w:rPr>
        <w:t>rivate sector agencies active users</w:t>
      </w:r>
      <w:r w:rsidR="002742CF" w:rsidRPr="002742CF">
        <w:rPr>
          <w:rFonts w:ascii="Calibri" w:eastAsia="Times New Roman" w:hAnsi="Calibri" w:cs="Calibri"/>
          <w:color w:val="222222"/>
          <w:sz w:val="22"/>
          <w:lang w:val="en-IN" w:eastAsia="en-IN"/>
        </w:rPr>
        <w:t xml:space="preserve">, and </w:t>
      </w:r>
      <w:r w:rsidR="002742CF">
        <w:rPr>
          <w:rFonts w:ascii="Calibri" w:eastAsia="Times New Roman" w:hAnsi="Calibri" w:cs="Calibri"/>
          <w:color w:val="222222"/>
          <w:sz w:val="22"/>
          <w:lang w:val="en-IN" w:eastAsia="en-IN"/>
        </w:rPr>
        <w:t>i</w:t>
      </w:r>
      <w:r w:rsidRPr="002742CF">
        <w:rPr>
          <w:rFonts w:ascii="Calibri" w:eastAsia="Times New Roman" w:hAnsi="Calibri" w:cs="Calibri"/>
          <w:color w:val="222222"/>
          <w:sz w:val="22"/>
          <w:lang w:val="en-IN" w:eastAsia="en-IN"/>
        </w:rPr>
        <w:t>ntegration with digital adherence technologies</w:t>
      </w:r>
    </w:p>
    <w:p w14:paraId="7087EA90" w14:textId="4A22955B" w:rsidR="00745A20" w:rsidRPr="00745A20" w:rsidRDefault="00745A20" w:rsidP="009136E5">
      <w:pPr>
        <w:numPr>
          <w:ilvl w:val="0"/>
          <w:numId w:val="99"/>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Norms and basis of costing has been changed</w:t>
      </w:r>
    </w:p>
    <w:p w14:paraId="293E89B4" w14:textId="77777777" w:rsidR="00745A20" w:rsidRPr="00745A20" w:rsidRDefault="00745A20" w:rsidP="009136E5">
      <w:pPr>
        <w:numPr>
          <w:ilvl w:val="1"/>
          <w:numId w:val="100"/>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Addition of laboratory staff for transition of FIND staff at C&amp;DST laboratories</w:t>
      </w:r>
    </w:p>
    <w:p w14:paraId="5F358DBD" w14:textId="77777777" w:rsidR="00745A20" w:rsidRPr="00745A20" w:rsidRDefault="00745A20" w:rsidP="009136E5">
      <w:pPr>
        <w:numPr>
          <w:ilvl w:val="1"/>
          <w:numId w:val="100"/>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STS are being provided as per the workload, beyond population / geographical norms</w:t>
      </w:r>
    </w:p>
    <w:p w14:paraId="248B7337" w14:textId="77777777" w:rsidR="00745A20" w:rsidRPr="00745A20" w:rsidRDefault="00745A20" w:rsidP="009136E5">
      <w:pPr>
        <w:numPr>
          <w:ilvl w:val="1"/>
          <w:numId w:val="100"/>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Two MOs at STDC for surveillance and training, District level pharmacist, counsellors are provided</w:t>
      </w:r>
    </w:p>
    <w:p w14:paraId="14CFB982" w14:textId="77777777" w:rsidR="00745A20" w:rsidRPr="00745A20" w:rsidRDefault="00745A20" w:rsidP="009136E5">
      <w:pPr>
        <w:numPr>
          <w:ilvl w:val="1"/>
          <w:numId w:val="100"/>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lastRenderedPageBreak/>
        <w:t>Performance based incentives have been designed for staff to encourage quality of work</w:t>
      </w:r>
    </w:p>
    <w:p w14:paraId="000C705F" w14:textId="77777777" w:rsidR="00745A20" w:rsidRPr="00745A20" w:rsidRDefault="00745A20" w:rsidP="009136E5">
      <w:pPr>
        <w:numPr>
          <w:ilvl w:val="1"/>
          <w:numId w:val="100"/>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Norms of activity costing are now based on previous experience or planned activities instead of population based norms for budgeting</w:t>
      </w:r>
    </w:p>
    <w:p w14:paraId="783F8C34" w14:textId="77777777" w:rsidR="00745A20" w:rsidRPr="002A5612" w:rsidRDefault="00745A20" w:rsidP="009136E5">
      <w:pPr>
        <w:numPr>
          <w:ilvl w:val="0"/>
          <w:numId w:val="100"/>
        </w:numPr>
        <w:shd w:val="clear" w:color="auto" w:fill="FFFFFF"/>
        <w:spacing w:before="0" w:after="0"/>
        <w:rPr>
          <w:rFonts w:ascii="Calibri" w:eastAsia="Times New Roman" w:hAnsi="Calibri" w:cs="Calibri"/>
          <w:b/>
          <w:color w:val="222222"/>
          <w:sz w:val="22"/>
          <w:lang w:val="en-IN" w:eastAsia="en-IN"/>
        </w:rPr>
      </w:pPr>
      <w:r w:rsidRPr="002A5612">
        <w:rPr>
          <w:rFonts w:ascii="Calibri" w:eastAsia="Times New Roman" w:hAnsi="Calibri" w:cs="Calibri"/>
          <w:b/>
          <w:color w:val="222222"/>
          <w:sz w:val="22"/>
          <w:lang w:val="en-IN" w:eastAsia="en-IN"/>
        </w:rPr>
        <w:t>Competitive encouragement for States to drive TB Free agenda</w:t>
      </w:r>
    </w:p>
    <w:p w14:paraId="38F2A0BA" w14:textId="77777777" w:rsidR="00745A20" w:rsidRPr="00745A20" w:rsidRDefault="00745A20" w:rsidP="009136E5">
      <w:pPr>
        <w:numPr>
          <w:ilvl w:val="1"/>
          <w:numId w:val="101"/>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State TB Score has been given on selected 9 indicators to encourage competition between states. Quality score have been introduced.</w:t>
      </w:r>
    </w:p>
    <w:p w14:paraId="4F0CCE2B" w14:textId="77777777" w:rsidR="00745A20" w:rsidRPr="00745A20" w:rsidRDefault="00745A20" w:rsidP="009136E5">
      <w:pPr>
        <w:numPr>
          <w:ilvl w:val="1"/>
          <w:numId w:val="101"/>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Sub-national certification and award mechanism has been introduced to drive districts and states to achieve reduction in incidence</w:t>
      </w:r>
    </w:p>
    <w:p w14:paraId="394E3637" w14:textId="04AE83AC" w:rsidR="00745A20" w:rsidRPr="00745A20" w:rsidRDefault="00745A20" w:rsidP="009136E5">
      <w:pPr>
        <w:numPr>
          <w:ilvl w:val="0"/>
          <w:numId w:val="101"/>
        </w:numPr>
        <w:shd w:val="clear" w:color="auto" w:fill="FFFFFF"/>
        <w:spacing w:before="0" w:after="0"/>
        <w:rPr>
          <w:rFonts w:ascii="Calibri" w:eastAsia="Times New Roman" w:hAnsi="Calibri" w:cs="Calibri"/>
          <w:color w:val="222222"/>
          <w:sz w:val="22"/>
          <w:lang w:val="en-IN" w:eastAsia="en-IN"/>
        </w:rPr>
      </w:pPr>
      <w:r w:rsidRPr="00745A20">
        <w:rPr>
          <w:rFonts w:ascii="Calibri" w:eastAsia="Times New Roman" w:hAnsi="Calibri" w:cs="Calibri"/>
          <w:color w:val="222222"/>
          <w:sz w:val="22"/>
          <w:lang w:val="en-IN" w:eastAsia="en-IN"/>
        </w:rPr>
        <w:t xml:space="preserve">TB Preventive treatment has been introduced for PLHIV in addition to child contacts </w:t>
      </w:r>
      <w:r w:rsidR="005F2C3B">
        <w:rPr>
          <w:rFonts w:ascii="Calibri" w:eastAsia="Times New Roman" w:hAnsi="Calibri" w:cs="Calibri"/>
          <w:color w:val="222222"/>
          <w:sz w:val="22"/>
          <w:lang w:val="en-IN" w:eastAsia="en-IN"/>
        </w:rPr>
        <w:t>(</w:t>
      </w:r>
      <w:r w:rsidR="005F2C3B" w:rsidRPr="00745A20">
        <w:rPr>
          <w:rFonts w:ascii="Calibri" w:eastAsia="Times New Roman" w:hAnsi="Calibri" w:cs="Calibri"/>
          <w:color w:val="222222"/>
          <w:sz w:val="22"/>
          <w:lang w:val="en-IN" w:eastAsia="en-IN"/>
        </w:rPr>
        <w:t>under 6 years</w:t>
      </w:r>
      <w:r w:rsidR="005F2C3B">
        <w:rPr>
          <w:rFonts w:ascii="Calibri" w:eastAsia="Times New Roman" w:hAnsi="Calibri" w:cs="Calibri"/>
          <w:color w:val="222222"/>
          <w:sz w:val="22"/>
          <w:lang w:val="en-IN" w:eastAsia="en-IN"/>
        </w:rPr>
        <w:t>)</w:t>
      </w:r>
      <w:r w:rsidR="005F2C3B" w:rsidRPr="00745A20">
        <w:rPr>
          <w:rFonts w:ascii="Calibri" w:eastAsia="Times New Roman" w:hAnsi="Calibri" w:cs="Calibri"/>
          <w:color w:val="222222"/>
          <w:sz w:val="22"/>
          <w:lang w:val="en-IN" w:eastAsia="en-IN"/>
        </w:rPr>
        <w:t xml:space="preserve"> </w:t>
      </w:r>
      <w:r w:rsidRPr="00745A20">
        <w:rPr>
          <w:rFonts w:ascii="Calibri" w:eastAsia="Times New Roman" w:hAnsi="Calibri" w:cs="Calibri"/>
          <w:color w:val="222222"/>
          <w:sz w:val="22"/>
          <w:lang w:val="en-IN" w:eastAsia="en-IN"/>
        </w:rPr>
        <w:t>of TB patients</w:t>
      </w:r>
    </w:p>
    <w:p w14:paraId="0882B9B8" w14:textId="49BD7645" w:rsidR="00745A20" w:rsidRPr="00745A20" w:rsidRDefault="00745A20" w:rsidP="009136E5">
      <w:pPr>
        <w:numPr>
          <w:ilvl w:val="0"/>
          <w:numId w:val="101"/>
        </w:numPr>
        <w:shd w:val="clear" w:color="auto" w:fill="FFFFFF"/>
        <w:spacing w:before="0" w:after="0"/>
        <w:rPr>
          <w:rFonts w:ascii="Calibri" w:eastAsia="Times New Roman" w:hAnsi="Calibri" w:cs="Calibri"/>
          <w:color w:val="222222"/>
          <w:sz w:val="22"/>
          <w:lang w:val="en-IN" w:eastAsia="en-IN"/>
        </w:rPr>
      </w:pPr>
      <w:r w:rsidRPr="002A5612">
        <w:rPr>
          <w:rFonts w:ascii="Calibri" w:eastAsia="Times New Roman" w:hAnsi="Calibri" w:cs="Calibri"/>
          <w:b/>
          <w:color w:val="222222"/>
          <w:sz w:val="22"/>
          <w:lang w:val="en-IN" w:eastAsia="en-IN"/>
        </w:rPr>
        <w:t>TB HIV Coordination committee has been reformed to TB Comorbidity Coordination Committees</w:t>
      </w:r>
      <w:r w:rsidRPr="00745A20">
        <w:rPr>
          <w:rFonts w:ascii="Calibri" w:eastAsia="Times New Roman" w:hAnsi="Calibri" w:cs="Calibri"/>
          <w:color w:val="222222"/>
          <w:sz w:val="22"/>
          <w:lang w:val="en-IN" w:eastAsia="en-IN"/>
        </w:rPr>
        <w:t xml:space="preserve"> to give focus to TB -HIV, TB-Diabetes,</w:t>
      </w:r>
      <w:r w:rsidR="002D0AEC">
        <w:rPr>
          <w:rFonts w:ascii="Calibri" w:eastAsia="Times New Roman" w:hAnsi="Calibri" w:cs="Calibri"/>
          <w:color w:val="222222"/>
          <w:sz w:val="22"/>
          <w:lang w:val="en-IN" w:eastAsia="en-IN"/>
        </w:rPr>
        <w:t xml:space="preserve"> and</w:t>
      </w:r>
      <w:r w:rsidRPr="00745A20">
        <w:rPr>
          <w:rFonts w:ascii="Calibri" w:eastAsia="Times New Roman" w:hAnsi="Calibri" w:cs="Calibri"/>
          <w:color w:val="222222"/>
          <w:sz w:val="22"/>
          <w:lang w:val="en-IN" w:eastAsia="en-IN"/>
        </w:rPr>
        <w:t xml:space="preserve"> TB -Tobacco collaborative </w:t>
      </w:r>
      <w:r w:rsidR="002D0AEC" w:rsidRPr="00745A20">
        <w:rPr>
          <w:rFonts w:ascii="Calibri" w:eastAsia="Times New Roman" w:hAnsi="Calibri" w:cs="Calibri"/>
          <w:color w:val="222222"/>
          <w:sz w:val="22"/>
          <w:lang w:val="en-IN" w:eastAsia="en-IN"/>
        </w:rPr>
        <w:t>activities</w:t>
      </w:r>
      <w:r w:rsidR="002D0AEC">
        <w:rPr>
          <w:rFonts w:ascii="Calibri" w:eastAsia="Times New Roman" w:hAnsi="Calibri" w:cs="Calibri"/>
          <w:color w:val="222222"/>
          <w:sz w:val="22"/>
          <w:lang w:val="en-IN" w:eastAsia="en-IN"/>
        </w:rPr>
        <w:t>.</w:t>
      </w:r>
    </w:p>
    <w:p w14:paraId="1A1B843D" w14:textId="77777777" w:rsidR="00745A20" w:rsidRPr="00745A20" w:rsidRDefault="00745A20" w:rsidP="009136E5">
      <w:pPr>
        <w:numPr>
          <w:ilvl w:val="0"/>
          <w:numId w:val="101"/>
        </w:numPr>
        <w:shd w:val="clear" w:color="auto" w:fill="FFFFFF"/>
        <w:spacing w:before="0" w:after="0"/>
        <w:rPr>
          <w:rFonts w:ascii="Calibri" w:eastAsia="Times New Roman" w:hAnsi="Calibri" w:cs="Calibri"/>
          <w:color w:val="222222"/>
          <w:sz w:val="22"/>
          <w:lang w:val="en-IN" w:eastAsia="en-IN"/>
        </w:rPr>
      </w:pPr>
      <w:r w:rsidRPr="002A5612">
        <w:rPr>
          <w:rFonts w:ascii="Calibri" w:eastAsia="Times New Roman" w:hAnsi="Calibri" w:cs="Calibri"/>
          <w:b/>
          <w:color w:val="222222"/>
          <w:sz w:val="22"/>
          <w:lang w:val="en-IN" w:eastAsia="en-IN"/>
        </w:rPr>
        <w:t>TB Harega Desh Jeetega Campaign</w:t>
      </w:r>
      <w:r w:rsidRPr="00745A20">
        <w:rPr>
          <w:rFonts w:ascii="Calibri" w:eastAsia="Times New Roman" w:hAnsi="Calibri" w:cs="Calibri"/>
          <w:color w:val="222222"/>
          <w:sz w:val="22"/>
          <w:lang w:val="en-IN" w:eastAsia="en-IN"/>
        </w:rPr>
        <w:t xml:space="preserve"> was launched in September 2019 with massive advocacy and large scale awareness programmes targeting community and multiple stakeholders</w:t>
      </w:r>
    </w:p>
    <w:p w14:paraId="66B5C72F" w14:textId="296C1ACA" w:rsidR="00C23888" w:rsidRPr="00C23888" w:rsidRDefault="00595104" w:rsidP="009136E5">
      <w:pPr>
        <w:pStyle w:val="ListParagraph"/>
        <w:numPr>
          <w:ilvl w:val="0"/>
          <w:numId w:val="74"/>
        </w:numPr>
        <w:spacing w:before="0" w:after="0"/>
        <w:jc w:val="both"/>
        <w:rPr>
          <w:rFonts w:ascii="Calibri" w:hAnsi="Calibri" w:cs="Calibri"/>
          <w:kern w:val="24"/>
          <w:sz w:val="22"/>
          <w:lang w:val="en" w:eastAsia="en-IN"/>
        </w:rPr>
      </w:pPr>
      <w:r>
        <w:rPr>
          <w:rFonts w:ascii="Calibri" w:hAnsi="Calibri" w:cs="Calibri"/>
          <w:kern w:val="24"/>
          <w:sz w:val="22"/>
          <w:lang w:val="en" w:eastAsia="en-IN"/>
        </w:rPr>
        <w:t xml:space="preserve">There has  been </w:t>
      </w:r>
      <w:r w:rsidR="007D2189">
        <w:rPr>
          <w:rFonts w:ascii="Calibri" w:hAnsi="Calibri" w:cs="Calibri"/>
          <w:kern w:val="24"/>
          <w:sz w:val="22"/>
          <w:lang w:val="en" w:eastAsia="en-IN"/>
        </w:rPr>
        <w:t>forward</w:t>
      </w:r>
      <w:r>
        <w:rPr>
          <w:rFonts w:ascii="Calibri" w:hAnsi="Calibri" w:cs="Calibri"/>
          <w:kern w:val="24"/>
          <w:sz w:val="22"/>
          <w:lang w:val="en" w:eastAsia="en-IN"/>
        </w:rPr>
        <w:t xml:space="preserve"> movement in terms of p</w:t>
      </w:r>
      <w:r w:rsidR="00C23888" w:rsidRPr="00C23888">
        <w:rPr>
          <w:rFonts w:ascii="Calibri" w:hAnsi="Calibri" w:cs="Calibri"/>
          <w:kern w:val="24"/>
          <w:sz w:val="22"/>
          <w:lang w:val="en" w:eastAsia="en-IN"/>
        </w:rPr>
        <w:t xml:space="preserve">utting in place levers </w:t>
      </w:r>
      <w:r>
        <w:rPr>
          <w:rFonts w:ascii="Calibri" w:hAnsi="Calibri" w:cs="Calibri"/>
          <w:kern w:val="24"/>
          <w:sz w:val="22"/>
          <w:lang w:val="en" w:eastAsia="en-IN"/>
        </w:rPr>
        <w:t>and</w:t>
      </w:r>
      <w:r w:rsidR="00C23888" w:rsidRPr="00C23888">
        <w:rPr>
          <w:rFonts w:ascii="Calibri" w:hAnsi="Calibri" w:cs="Calibri"/>
          <w:kern w:val="24"/>
          <w:sz w:val="22"/>
          <w:lang w:val="en" w:eastAsia="en-IN"/>
        </w:rPr>
        <w:t xml:space="preserve"> tools for implementing policy</w:t>
      </w:r>
      <w:r>
        <w:rPr>
          <w:rFonts w:ascii="Calibri" w:hAnsi="Calibri" w:cs="Calibri"/>
          <w:kern w:val="24"/>
          <w:sz w:val="22"/>
          <w:lang w:val="en" w:eastAsia="en-IN"/>
        </w:rPr>
        <w:t xml:space="preserve"> which includes</w:t>
      </w:r>
      <w:r w:rsidR="00C23888">
        <w:rPr>
          <w:rFonts w:ascii="Calibri" w:hAnsi="Calibri" w:cs="Calibri"/>
          <w:kern w:val="24"/>
          <w:sz w:val="22"/>
          <w:lang w:val="en" w:eastAsia="en-IN"/>
        </w:rPr>
        <w:t xml:space="preserve"> </w:t>
      </w:r>
      <w:r w:rsidR="00A5306D">
        <w:rPr>
          <w:rFonts w:ascii="Calibri" w:hAnsi="Calibri" w:cs="Calibri"/>
          <w:kern w:val="24"/>
          <w:sz w:val="22"/>
          <w:lang w:val="en" w:eastAsia="en-IN"/>
        </w:rPr>
        <w:t xml:space="preserve">revision of </w:t>
      </w:r>
      <w:r w:rsidR="00C23888" w:rsidRPr="00C23888">
        <w:rPr>
          <w:rFonts w:ascii="Calibri" w:hAnsi="Calibri" w:cs="Calibri"/>
          <w:kern w:val="24"/>
          <w:sz w:val="22"/>
          <w:lang w:val="en" w:eastAsia="en-IN"/>
        </w:rPr>
        <w:t xml:space="preserve">health system organizational structures and their roles, powers and responsibilities; design of regulation; standard-setting; incentives; enforcement </w:t>
      </w:r>
      <w:r w:rsidR="007D2189">
        <w:rPr>
          <w:rFonts w:ascii="Calibri" w:hAnsi="Calibri" w:cs="Calibri"/>
          <w:kern w:val="24"/>
          <w:sz w:val="22"/>
          <w:lang w:val="en" w:eastAsia="en-IN"/>
        </w:rPr>
        <w:t>related to</w:t>
      </w:r>
      <w:r w:rsidR="00A5306D">
        <w:rPr>
          <w:rFonts w:ascii="Calibri" w:hAnsi="Calibri" w:cs="Calibri"/>
          <w:kern w:val="24"/>
          <w:sz w:val="22"/>
          <w:lang w:val="en" w:eastAsia="en-IN"/>
        </w:rPr>
        <w:t xml:space="preserve"> notifications and</w:t>
      </w:r>
      <w:r w:rsidR="007D2189">
        <w:rPr>
          <w:rFonts w:ascii="Calibri" w:hAnsi="Calibri" w:cs="Calibri"/>
          <w:kern w:val="24"/>
          <w:sz w:val="22"/>
          <w:lang w:val="en" w:eastAsia="en-IN"/>
        </w:rPr>
        <w:t xml:space="preserve"> H1 as provided for in the NSP 2017 2025</w:t>
      </w:r>
    </w:p>
    <w:p w14:paraId="03B4D451" w14:textId="326D2BF2" w:rsidR="00C23888" w:rsidRPr="00C23888" w:rsidRDefault="00C23888" w:rsidP="009136E5">
      <w:pPr>
        <w:pStyle w:val="ListParagraph"/>
        <w:numPr>
          <w:ilvl w:val="0"/>
          <w:numId w:val="74"/>
        </w:numPr>
        <w:spacing w:before="0" w:after="0"/>
        <w:jc w:val="both"/>
        <w:rPr>
          <w:rFonts w:ascii="Calibri" w:hAnsi="Calibri" w:cs="Calibri"/>
          <w:kern w:val="24"/>
          <w:sz w:val="22"/>
          <w:lang w:val="en" w:eastAsia="en-IN"/>
        </w:rPr>
      </w:pPr>
      <w:r w:rsidRPr="00C23888">
        <w:rPr>
          <w:rFonts w:ascii="Calibri" w:hAnsi="Calibri" w:cs="Calibri"/>
          <w:kern w:val="24"/>
          <w:sz w:val="22"/>
          <w:lang w:val="en" w:eastAsia="en-IN"/>
        </w:rPr>
        <w:t xml:space="preserve">Collaboration and coalition-building across sectors and with external partners </w:t>
      </w:r>
    </w:p>
    <w:p w14:paraId="4EE48438" w14:textId="7F7D2C38" w:rsidR="00061D34" w:rsidRPr="00C23888" w:rsidRDefault="00C23888" w:rsidP="009136E5">
      <w:pPr>
        <w:pStyle w:val="ListParagraph"/>
        <w:numPr>
          <w:ilvl w:val="0"/>
          <w:numId w:val="74"/>
        </w:numPr>
        <w:spacing w:before="0" w:after="0"/>
        <w:jc w:val="both"/>
        <w:rPr>
          <w:rFonts w:ascii="Calibri" w:hAnsi="Calibri" w:cs="Calibri"/>
          <w:kern w:val="24"/>
          <w:sz w:val="22"/>
          <w:lang w:val="en" w:eastAsia="en-IN"/>
        </w:rPr>
      </w:pPr>
      <w:r w:rsidRPr="00C23888">
        <w:rPr>
          <w:rFonts w:ascii="Calibri" w:hAnsi="Calibri" w:cs="Calibri"/>
          <w:kern w:val="24"/>
          <w:sz w:val="22"/>
          <w:lang w:val="en" w:eastAsia="en-IN"/>
        </w:rPr>
        <w:t>Ensuring acc</w:t>
      </w:r>
      <w:r w:rsidR="00A5306D">
        <w:rPr>
          <w:rFonts w:ascii="Calibri" w:hAnsi="Calibri" w:cs="Calibri"/>
          <w:kern w:val="24"/>
          <w:sz w:val="22"/>
          <w:lang w:val="en" w:eastAsia="en-IN"/>
        </w:rPr>
        <w:t xml:space="preserve">ountability by </w:t>
      </w:r>
      <w:r w:rsidR="002230F2">
        <w:rPr>
          <w:rFonts w:ascii="Calibri" w:hAnsi="Calibri" w:cs="Calibri"/>
          <w:kern w:val="24"/>
          <w:sz w:val="22"/>
          <w:lang w:val="en" w:eastAsia="en-IN"/>
        </w:rPr>
        <w:t xml:space="preserve">ensuring </w:t>
      </w:r>
      <w:r w:rsidRPr="00C23888">
        <w:rPr>
          <w:rFonts w:ascii="Calibri" w:hAnsi="Calibri" w:cs="Calibri"/>
          <w:kern w:val="24"/>
          <w:sz w:val="22"/>
          <w:lang w:val="en" w:eastAsia="en-IN"/>
        </w:rPr>
        <w:t>governance structures, rules and processes for health sector organizations; mechanisms for independent oversight, monitoring, review and audit; transparent availability and publication of policies</w:t>
      </w:r>
      <w:r w:rsidR="00A5306D">
        <w:rPr>
          <w:rFonts w:ascii="Calibri" w:hAnsi="Calibri" w:cs="Calibri"/>
          <w:kern w:val="24"/>
          <w:sz w:val="22"/>
          <w:lang w:val="en" w:eastAsia="en-IN"/>
        </w:rPr>
        <w:t xml:space="preserve"> (on the tbcindia.org website</w:t>
      </w:r>
      <w:r w:rsidR="0075389F">
        <w:rPr>
          <w:rFonts w:ascii="Calibri" w:hAnsi="Calibri" w:cs="Calibri"/>
          <w:kern w:val="24"/>
          <w:sz w:val="22"/>
          <w:lang w:val="en" w:eastAsia="en-IN"/>
        </w:rPr>
        <w:t>)</w:t>
      </w:r>
      <w:r w:rsidRPr="00C23888">
        <w:rPr>
          <w:rFonts w:ascii="Calibri" w:hAnsi="Calibri" w:cs="Calibri"/>
          <w:kern w:val="24"/>
          <w:sz w:val="22"/>
          <w:lang w:val="en" w:eastAsia="en-IN"/>
        </w:rPr>
        <w:t xml:space="preserve">, regulations, plans, reports, accounts, </w:t>
      </w:r>
      <w:r w:rsidR="00F51523" w:rsidRPr="00C23888">
        <w:rPr>
          <w:rFonts w:ascii="Calibri" w:hAnsi="Calibri" w:cs="Calibri"/>
          <w:kern w:val="24"/>
          <w:sz w:val="22"/>
          <w:lang w:val="en" w:eastAsia="en-IN"/>
        </w:rPr>
        <w:t>etc.</w:t>
      </w:r>
      <w:r w:rsidRPr="00C23888">
        <w:rPr>
          <w:rFonts w:ascii="Calibri" w:hAnsi="Calibri" w:cs="Calibri"/>
          <w:kern w:val="24"/>
          <w:sz w:val="22"/>
          <w:lang w:val="en" w:eastAsia="en-IN"/>
        </w:rPr>
        <w:t>; and openness to scrutiny by political representatives and civil society.</w:t>
      </w:r>
    </w:p>
    <w:p w14:paraId="38ACA62D" w14:textId="78BB4E44" w:rsidR="007137CC" w:rsidRPr="00C45A90" w:rsidRDefault="00B65B0C" w:rsidP="00373F41">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10</w:t>
      </w:r>
      <w:r w:rsidR="0033007D">
        <w:rPr>
          <w:rFonts w:asciiTheme="minorHAnsi" w:hAnsiTheme="minorHAnsi" w:cstheme="minorHAnsi"/>
          <w:b/>
          <w:color w:val="C86A07" w:themeColor="accent2" w:themeShade="BF"/>
          <w:sz w:val="28"/>
          <w:lang w:val="en"/>
        </w:rPr>
        <w:t xml:space="preserve">.3 </w:t>
      </w:r>
      <w:r w:rsidR="007137CC" w:rsidRPr="00C45A90">
        <w:rPr>
          <w:rFonts w:asciiTheme="minorHAnsi" w:hAnsiTheme="minorHAnsi" w:cstheme="minorHAnsi"/>
          <w:b/>
          <w:color w:val="C86A07" w:themeColor="accent2" w:themeShade="BF"/>
          <w:sz w:val="28"/>
          <w:lang w:val="en"/>
        </w:rPr>
        <w:t>CHALLENGES REMAIN</w:t>
      </w:r>
    </w:p>
    <w:p w14:paraId="0ECF5DA4" w14:textId="6ED1FF8E" w:rsidR="00510F48" w:rsidRPr="00510F48" w:rsidRDefault="00510F48" w:rsidP="009136E5">
      <w:pPr>
        <w:pStyle w:val="ListParagraph"/>
        <w:numPr>
          <w:ilvl w:val="0"/>
          <w:numId w:val="73"/>
        </w:numPr>
        <w:spacing w:before="0" w:after="0"/>
        <w:jc w:val="both"/>
        <w:rPr>
          <w:rFonts w:ascii="Calibri" w:hAnsi="Calibri" w:cs="Calibri"/>
          <w:kern w:val="24"/>
          <w:sz w:val="22"/>
          <w:lang w:eastAsia="en-IN"/>
        </w:rPr>
      </w:pPr>
      <w:r w:rsidRPr="00510F48">
        <w:rPr>
          <w:rFonts w:ascii="Calibri" w:hAnsi="Calibri" w:cs="Calibri"/>
          <w:kern w:val="24"/>
          <w:sz w:val="22"/>
          <w:lang w:eastAsia="en-IN"/>
        </w:rPr>
        <w:t>Top level governance recommendations of NSP</w:t>
      </w:r>
      <w:r w:rsidR="0056659C">
        <w:rPr>
          <w:rFonts w:ascii="Calibri" w:hAnsi="Calibri" w:cs="Calibri"/>
          <w:kern w:val="24"/>
          <w:sz w:val="22"/>
          <w:lang w:eastAsia="en-IN"/>
        </w:rPr>
        <w:t xml:space="preserve"> 2017</w:t>
      </w:r>
      <w:r w:rsidR="005F2C3B">
        <w:rPr>
          <w:rFonts w:ascii="Calibri" w:hAnsi="Calibri" w:cs="Calibri"/>
          <w:kern w:val="24"/>
          <w:sz w:val="22"/>
          <w:lang w:eastAsia="en-IN"/>
        </w:rPr>
        <w:t>-</w:t>
      </w:r>
      <w:r w:rsidR="0056659C">
        <w:rPr>
          <w:rFonts w:ascii="Calibri" w:hAnsi="Calibri" w:cs="Calibri"/>
          <w:kern w:val="24"/>
          <w:sz w:val="22"/>
          <w:lang w:eastAsia="en-IN"/>
        </w:rPr>
        <w:t>2025</w:t>
      </w:r>
      <w:r w:rsidRPr="00510F48">
        <w:rPr>
          <w:rFonts w:ascii="Calibri" w:hAnsi="Calibri" w:cs="Calibri"/>
          <w:kern w:val="24"/>
          <w:sz w:val="22"/>
          <w:lang w:eastAsia="en-IN"/>
        </w:rPr>
        <w:t xml:space="preserve"> are not yet completely implemented</w:t>
      </w:r>
      <w:r w:rsidR="00AF41B5">
        <w:rPr>
          <w:rFonts w:ascii="Calibri" w:hAnsi="Calibri" w:cs="Calibri"/>
          <w:kern w:val="24"/>
          <w:sz w:val="22"/>
          <w:lang w:eastAsia="en-IN"/>
        </w:rPr>
        <w:t xml:space="preserve"> and this includes the </w:t>
      </w:r>
      <w:r w:rsidRPr="00510F48">
        <w:rPr>
          <w:rFonts w:ascii="Calibri" w:hAnsi="Calibri" w:cs="Calibri"/>
          <w:kern w:val="24"/>
          <w:sz w:val="22"/>
          <w:lang w:eastAsia="en-IN"/>
        </w:rPr>
        <w:t>National TB Policy and TB Bill</w:t>
      </w:r>
      <w:r w:rsidR="00F34903">
        <w:rPr>
          <w:rFonts w:ascii="Calibri" w:hAnsi="Calibri" w:cs="Calibri"/>
          <w:kern w:val="24"/>
          <w:sz w:val="22"/>
          <w:lang w:eastAsia="en-IN"/>
        </w:rPr>
        <w:t xml:space="preserve">, and the institutional structures proposed. </w:t>
      </w:r>
    </w:p>
    <w:p w14:paraId="1A6648BA" w14:textId="77777777" w:rsidR="00510F48" w:rsidRPr="00510F48" w:rsidRDefault="00510F48" w:rsidP="009136E5">
      <w:pPr>
        <w:pStyle w:val="ListParagraph"/>
        <w:numPr>
          <w:ilvl w:val="0"/>
          <w:numId w:val="73"/>
        </w:numPr>
        <w:spacing w:before="0" w:after="0"/>
        <w:jc w:val="both"/>
        <w:rPr>
          <w:rFonts w:ascii="Calibri" w:hAnsi="Calibri" w:cs="Calibri"/>
          <w:kern w:val="24"/>
          <w:sz w:val="22"/>
          <w:lang w:eastAsia="en-IN"/>
        </w:rPr>
      </w:pPr>
      <w:r w:rsidRPr="00510F48">
        <w:rPr>
          <w:rFonts w:ascii="Calibri" w:hAnsi="Calibri" w:cs="Calibri"/>
          <w:kern w:val="24"/>
          <w:sz w:val="22"/>
          <w:lang w:eastAsia="en-IN"/>
        </w:rPr>
        <w:t>Technical Support Unit (TSU) for PPP not yet established</w:t>
      </w:r>
    </w:p>
    <w:p w14:paraId="6100D1AC" w14:textId="6027B2F2" w:rsidR="00510F48" w:rsidRPr="00510F48" w:rsidRDefault="00510F48" w:rsidP="009136E5">
      <w:pPr>
        <w:pStyle w:val="ListParagraph"/>
        <w:numPr>
          <w:ilvl w:val="0"/>
          <w:numId w:val="73"/>
        </w:numPr>
        <w:spacing w:before="0" w:after="0"/>
        <w:jc w:val="both"/>
        <w:rPr>
          <w:rFonts w:ascii="Calibri" w:hAnsi="Calibri" w:cs="Calibri"/>
          <w:kern w:val="24"/>
          <w:sz w:val="22"/>
          <w:lang w:eastAsia="en-IN"/>
        </w:rPr>
      </w:pPr>
      <w:r w:rsidRPr="00510F48">
        <w:rPr>
          <w:rFonts w:ascii="Calibri" w:hAnsi="Calibri" w:cs="Calibri"/>
          <w:kern w:val="24"/>
          <w:sz w:val="22"/>
          <w:lang w:eastAsia="en-IN"/>
        </w:rPr>
        <w:t>Surveillance Units at NTI and CTD</w:t>
      </w:r>
      <w:r w:rsidR="0056659C">
        <w:rPr>
          <w:rFonts w:ascii="Calibri" w:hAnsi="Calibri" w:cs="Calibri"/>
          <w:kern w:val="24"/>
          <w:sz w:val="22"/>
          <w:lang w:eastAsia="en-IN"/>
        </w:rPr>
        <w:t xml:space="preserve"> not yet established</w:t>
      </w:r>
    </w:p>
    <w:p w14:paraId="7778A5F9" w14:textId="42FAE0B5" w:rsidR="00510F48" w:rsidRPr="00510F48" w:rsidRDefault="00510F48" w:rsidP="009136E5">
      <w:pPr>
        <w:pStyle w:val="ListParagraph"/>
        <w:numPr>
          <w:ilvl w:val="0"/>
          <w:numId w:val="73"/>
        </w:numPr>
        <w:spacing w:before="0" w:after="0"/>
        <w:jc w:val="both"/>
        <w:rPr>
          <w:rFonts w:ascii="Calibri" w:hAnsi="Calibri" w:cs="Calibri"/>
          <w:kern w:val="24"/>
          <w:sz w:val="22"/>
          <w:lang w:eastAsia="en-IN"/>
        </w:rPr>
      </w:pPr>
      <w:r w:rsidRPr="00510F48">
        <w:rPr>
          <w:rFonts w:ascii="Calibri" w:hAnsi="Calibri" w:cs="Calibri"/>
          <w:kern w:val="24"/>
          <w:sz w:val="22"/>
          <w:lang w:eastAsia="en-IN"/>
        </w:rPr>
        <w:t>Multiple expert groups are in place but planned restructure/ expansion of CTD as outlined in NSP</w:t>
      </w:r>
      <w:r w:rsidR="0056659C">
        <w:rPr>
          <w:rFonts w:ascii="Calibri" w:hAnsi="Calibri" w:cs="Calibri"/>
          <w:kern w:val="24"/>
          <w:sz w:val="22"/>
          <w:lang w:eastAsia="en-IN"/>
        </w:rPr>
        <w:t xml:space="preserve"> 2017 2025 is not undertaken as yet. </w:t>
      </w:r>
      <w:r w:rsidRPr="00510F48">
        <w:rPr>
          <w:rFonts w:ascii="Calibri" w:hAnsi="Calibri" w:cs="Calibri"/>
          <w:kern w:val="24"/>
          <w:sz w:val="22"/>
          <w:lang w:eastAsia="en-IN"/>
        </w:rPr>
        <w:t xml:space="preserve"> </w:t>
      </w:r>
    </w:p>
    <w:p w14:paraId="1E999349" w14:textId="27E6D51A" w:rsidR="00EB1896" w:rsidRPr="00C45A90" w:rsidRDefault="00B65B0C" w:rsidP="00373F41">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10</w:t>
      </w:r>
      <w:r w:rsidR="0033007D">
        <w:rPr>
          <w:rFonts w:asciiTheme="minorHAnsi" w:hAnsiTheme="minorHAnsi" w:cstheme="minorHAnsi"/>
          <w:b/>
          <w:color w:val="C86A07" w:themeColor="accent2" w:themeShade="BF"/>
          <w:sz w:val="28"/>
          <w:lang w:val="en"/>
        </w:rPr>
        <w:t xml:space="preserve">.4 </w:t>
      </w:r>
      <w:r w:rsidR="00EB1896" w:rsidRPr="00C45A90">
        <w:rPr>
          <w:rFonts w:asciiTheme="minorHAnsi" w:hAnsiTheme="minorHAnsi" w:cstheme="minorHAnsi"/>
          <w:b/>
          <w:color w:val="C86A07" w:themeColor="accent2" w:themeShade="BF"/>
          <w:sz w:val="28"/>
          <w:lang w:val="en"/>
        </w:rPr>
        <w:t>THE WAY FORWARD</w:t>
      </w:r>
    </w:p>
    <w:p w14:paraId="7BAE8133" w14:textId="77777777" w:rsidR="0037236C" w:rsidRPr="0037236C" w:rsidRDefault="0037236C" w:rsidP="009136E5">
      <w:pPr>
        <w:pStyle w:val="ListParagraph"/>
        <w:numPr>
          <w:ilvl w:val="0"/>
          <w:numId w:val="75"/>
        </w:numPr>
        <w:jc w:val="both"/>
        <w:rPr>
          <w:rFonts w:ascii="Calibri" w:hAnsi="Calibri" w:cs="Calibri"/>
          <w:b/>
          <w:vanish/>
          <w:kern w:val="24"/>
          <w:sz w:val="22"/>
          <w:lang w:eastAsia="en-IN"/>
        </w:rPr>
      </w:pPr>
    </w:p>
    <w:p w14:paraId="2EC87CB8" w14:textId="77777777" w:rsidR="0037236C" w:rsidRPr="0037236C" w:rsidRDefault="0037236C" w:rsidP="009136E5">
      <w:pPr>
        <w:pStyle w:val="ListParagraph"/>
        <w:numPr>
          <w:ilvl w:val="1"/>
          <w:numId w:val="75"/>
        </w:numPr>
        <w:jc w:val="both"/>
        <w:rPr>
          <w:rFonts w:ascii="Calibri" w:hAnsi="Calibri" w:cs="Calibri"/>
          <w:b/>
          <w:vanish/>
          <w:kern w:val="24"/>
          <w:sz w:val="22"/>
          <w:lang w:eastAsia="en-IN"/>
        </w:rPr>
      </w:pPr>
    </w:p>
    <w:p w14:paraId="3938C140" w14:textId="77777777" w:rsidR="0037236C" w:rsidRPr="0037236C" w:rsidRDefault="0037236C" w:rsidP="009136E5">
      <w:pPr>
        <w:pStyle w:val="ListParagraph"/>
        <w:numPr>
          <w:ilvl w:val="1"/>
          <w:numId w:val="75"/>
        </w:numPr>
        <w:jc w:val="both"/>
        <w:rPr>
          <w:rFonts w:ascii="Calibri" w:hAnsi="Calibri" w:cs="Calibri"/>
          <w:b/>
          <w:vanish/>
          <w:kern w:val="24"/>
          <w:sz w:val="22"/>
          <w:lang w:eastAsia="en-IN"/>
        </w:rPr>
      </w:pPr>
    </w:p>
    <w:p w14:paraId="19859FFB" w14:textId="77777777" w:rsidR="0037236C" w:rsidRPr="0037236C" w:rsidRDefault="0037236C" w:rsidP="009136E5">
      <w:pPr>
        <w:pStyle w:val="ListParagraph"/>
        <w:numPr>
          <w:ilvl w:val="1"/>
          <w:numId w:val="75"/>
        </w:numPr>
        <w:jc w:val="both"/>
        <w:rPr>
          <w:rFonts w:ascii="Calibri" w:hAnsi="Calibri" w:cs="Calibri"/>
          <w:b/>
          <w:vanish/>
          <w:kern w:val="24"/>
          <w:sz w:val="22"/>
          <w:lang w:eastAsia="en-IN"/>
        </w:rPr>
      </w:pPr>
    </w:p>
    <w:p w14:paraId="6B874EF2" w14:textId="24442B38" w:rsidR="00874A97" w:rsidRPr="00874A97" w:rsidRDefault="00874A97" w:rsidP="009136E5">
      <w:pPr>
        <w:pStyle w:val="ListParagraph"/>
        <w:numPr>
          <w:ilvl w:val="2"/>
          <w:numId w:val="75"/>
        </w:numPr>
        <w:ind w:left="634" w:hanging="634"/>
        <w:contextualSpacing w:val="0"/>
        <w:jc w:val="both"/>
        <w:rPr>
          <w:rFonts w:ascii="Calibri" w:hAnsi="Calibri" w:cs="Calibri"/>
          <w:b/>
          <w:kern w:val="24"/>
          <w:sz w:val="22"/>
          <w:lang w:eastAsia="en-IN"/>
        </w:rPr>
      </w:pPr>
      <w:r w:rsidRPr="00874A97">
        <w:rPr>
          <w:rFonts w:ascii="Calibri" w:hAnsi="Calibri" w:cs="Calibri"/>
          <w:b/>
          <w:kern w:val="24"/>
          <w:sz w:val="22"/>
          <w:lang w:eastAsia="en-IN"/>
        </w:rPr>
        <w:t>National TB Policy and TB Bill</w:t>
      </w:r>
      <w:r>
        <w:rPr>
          <w:rFonts w:ascii="Calibri" w:hAnsi="Calibri" w:cs="Calibri"/>
          <w:b/>
          <w:kern w:val="24"/>
          <w:sz w:val="22"/>
          <w:lang w:eastAsia="en-IN"/>
        </w:rPr>
        <w:t xml:space="preserve">: </w:t>
      </w:r>
      <w:r w:rsidRPr="0056659C">
        <w:rPr>
          <w:rFonts w:ascii="Calibri" w:hAnsi="Calibri" w:cs="Calibri"/>
          <w:kern w:val="24"/>
          <w:sz w:val="22"/>
          <w:lang w:eastAsia="en-IN"/>
        </w:rPr>
        <w:t xml:space="preserve">The bill will consist of the responsibilities of the public and private health care providers and National Health Mission in curtailing TB, and rights and responsibilities of </w:t>
      </w:r>
      <w:r w:rsidR="005B58D1">
        <w:rPr>
          <w:rFonts w:ascii="Calibri" w:hAnsi="Calibri" w:cs="Calibri"/>
          <w:kern w:val="24"/>
          <w:sz w:val="22"/>
          <w:lang w:eastAsia="en-IN"/>
        </w:rPr>
        <w:t>people affected by TB</w:t>
      </w:r>
      <w:r w:rsidRPr="0056659C">
        <w:rPr>
          <w:rFonts w:ascii="Calibri" w:hAnsi="Calibri" w:cs="Calibri"/>
          <w:kern w:val="24"/>
          <w:sz w:val="22"/>
          <w:lang w:eastAsia="en-IN"/>
        </w:rPr>
        <w:t xml:space="preserve"> (the TB patient charter).</w:t>
      </w:r>
    </w:p>
    <w:p w14:paraId="27375F54" w14:textId="77777777" w:rsidR="008D08E3" w:rsidRPr="008D08E3" w:rsidRDefault="009A5E90" w:rsidP="00570731">
      <w:pPr>
        <w:pStyle w:val="ListParagraph"/>
        <w:numPr>
          <w:ilvl w:val="2"/>
          <w:numId w:val="75"/>
        </w:numPr>
        <w:ind w:left="634" w:hanging="634"/>
        <w:contextualSpacing w:val="0"/>
        <w:jc w:val="both"/>
        <w:rPr>
          <w:rFonts w:asciiTheme="minorHAnsi" w:hAnsiTheme="minorHAnsi" w:cstheme="minorHAnsi"/>
          <w:sz w:val="22"/>
          <w:lang w:val="en-IN"/>
        </w:rPr>
      </w:pPr>
      <w:r w:rsidRPr="009A5E90">
        <w:rPr>
          <w:rFonts w:ascii="Calibri" w:hAnsi="Calibri" w:cs="Calibri"/>
          <w:b/>
          <w:kern w:val="24"/>
          <w:sz w:val="22"/>
          <w:lang w:eastAsia="en-IN"/>
        </w:rPr>
        <w:t>Sub-National Certification of Disease Free Status</w:t>
      </w:r>
      <w:r w:rsidR="00F551B9">
        <w:rPr>
          <w:rFonts w:ascii="Calibri" w:hAnsi="Calibri" w:cs="Calibri"/>
          <w:b/>
          <w:kern w:val="24"/>
          <w:sz w:val="22"/>
          <w:lang w:eastAsia="en-IN"/>
        </w:rPr>
        <w:t xml:space="preserve">: </w:t>
      </w:r>
      <w:r w:rsidR="00F551B9">
        <w:rPr>
          <w:rFonts w:ascii="Calibri" w:hAnsi="Calibri" w:cs="Calibri"/>
          <w:kern w:val="24"/>
          <w:sz w:val="22"/>
          <w:lang w:eastAsia="en-IN"/>
        </w:rPr>
        <w:t xml:space="preserve">It is known that </w:t>
      </w:r>
      <w:r w:rsidR="00F551B9">
        <w:rPr>
          <w:rFonts w:ascii="Calibri" w:hAnsi="Calibri" w:cs="Calibri"/>
          <w:b/>
          <w:kern w:val="24"/>
          <w:sz w:val="22"/>
          <w:lang w:eastAsia="en-IN"/>
        </w:rPr>
        <w:t>t</w:t>
      </w:r>
      <w:r w:rsidR="00F551B9" w:rsidRPr="00A20919">
        <w:rPr>
          <w:rFonts w:asciiTheme="minorHAnsi" w:hAnsiTheme="minorHAnsi" w:cstheme="minorHAnsi"/>
          <w:color w:val="000000" w:themeColor="text1"/>
          <w:sz w:val="22"/>
        </w:rPr>
        <w:t>he Government has undertaken bold target to reduce incidence of new TB cases by 80% for ending TB by 2025, five years ahead of global timelines.</w:t>
      </w:r>
      <w:r w:rsidR="00F551B9">
        <w:rPr>
          <w:rFonts w:asciiTheme="minorHAnsi" w:hAnsiTheme="minorHAnsi" w:cstheme="minorHAnsi"/>
          <w:color w:val="000000" w:themeColor="text1"/>
          <w:sz w:val="22"/>
        </w:rPr>
        <w:t xml:space="preserve"> The Government has also set similar ambitious targets for other communicable diseases. </w:t>
      </w:r>
      <w:r w:rsidR="00F551B9" w:rsidRPr="00A20919">
        <w:rPr>
          <w:rFonts w:asciiTheme="minorHAnsi" w:hAnsiTheme="minorHAnsi" w:cstheme="minorHAnsi"/>
          <w:color w:val="000000" w:themeColor="text1"/>
          <w:sz w:val="22"/>
        </w:rPr>
        <w:t xml:space="preserve">To achieve these targets of elimination of communicable diseases at a large scale, it is essential to take disease control initiatives to the grass root level. Evidence suggests that these communicable diseases targeted for elimination have a </w:t>
      </w:r>
      <w:r w:rsidR="00F551B9" w:rsidRPr="008D08E3">
        <w:rPr>
          <w:rFonts w:asciiTheme="minorHAnsi" w:hAnsiTheme="minorHAnsi" w:cstheme="minorHAnsi"/>
          <w:sz w:val="22"/>
        </w:rPr>
        <w:t xml:space="preserve">wide variation in infection/disease epidemiology across the country and the level of efforts across districts towards this path to elimination are also varied. </w:t>
      </w:r>
      <w:r w:rsidR="00F551B9" w:rsidRPr="008D08E3">
        <w:rPr>
          <w:rFonts w:asciiTheme="minorHAnsi" w:hAnsiTheme="minorHAnsi" w:cstheme="minorHAnsi"/>
          <w:sz w:val="22"/>
          <w:lang w:val="en-IN"/>
        </w:rPr>
        <w:t>Timelines of implementation of advanced interventions for elimination of disease across country may vary from district to district and some districts are in an advanced stage of progress towards disease elimination.</w:t>
      </w:r>
      <w:r w:rsidR="008D08E3" w:rsidRPr="008D08E3">
        <w:rPr>
          <w:rFonts w:asciiTheme="minorHAnsi" w:hAnsiTheme="minorHAnsi" w:cstheme="minorHAnsi"/>
          <w:sz w:val="22"/>
          <w:lang w:val="en-IN"/>
        </w:rPr>
        <w:t xml:space="preserve"> </w:t>
      </w:r>
    </w:p>
    <w:p w14:paraId="7692AF7F" w14:textId="1E472037" w:rsidR="00F551B9" w:rsidRDefault="008D08E3" w:rsidP="00570731">
      <w:pPr>
        <w:pStyle w:val="ListParagraph"/>
        <w:ind w:left="634"/>
        <w:jc w:val="both"/>
        <w:rPr>
          <w:rFonts w:asciiTheme="minorHAnsi" w:hAnsiTheme="minorHAnsi" w:cstheme="minorHAnsi"/>
          <w:sz w:val="22"/>
          <w:lang w:val="en-IN"/>
        </w:rPr>
      </w:pPr>
      <w:r w:rsidRPr="008D08E3">
        <w:rPr>
          <w:rFonts w:asciiTheme="minorHAnsi" w:hAnsiTheme="minorHAnsi" w:cstheme="minorHAnsi"/>
          <w:sz w:val="22"/>
          <w:lang w:val="en-IN"/>
        </w:rPr>
        <w:lastRenderedPageBreak/>
        <w:t>Hence</w:t>
      </w:r>
      <w:r w:rsidR="00F551B9" w:rsidRPr="008D08E3">
        <w:rPr>
          <w:rFonts w:asciiTheme="minorHAnsi" w:hAnsiTheme="minorHAnsi" w:cstheme="minorHAnsi"/>
          <w:sz w:val="22"/>
          <w:lang w:val="en-IN"/>
        </w:rPr>
        <w:t xml:space="preserve"> </w:t>
      </w:r>
      <w:r w:rsidRPr="008D08E3">
        <w:rPr>
          <w:rFonts w:asciiTheme="minorHAnsi" w:hAnsiTheme="minorHAnsi" w:cstheme="minorHAnsi"/>
          <w:sz w:val="22"/>
          <w:lang w:val="en-IN"/>
        </w:rPr>
        <w:t xml:space="preserve">the government </w:t>
      </w:r>
      <w:r w:rsidRPr="005B58D1">
        <w:rPr>
          <w:rFonts w:asciiTheme="minorHAnsi" w:hAnsiTheme="minorHAnsi" w:cstheme="minorHAnsi"/>
          <w:sz w:val="22"/>
          <w:lang w:val="en-IN"/>
        </w:rPr>
        <w:t xml:space="preserve">has proposed to </w:t>
      </w:r>
      <w:r w:rsidR="00A81B71">
        <w:rPr>
          <w:rFonts w:asciiTheme="minorHAnsi" w:hAnsiTheme="minorHAnsi" w:cstheme="minorHAnsi"/>
          <w:sz w:val="22"/>
          <w:lang w:val="en-IN"/>
        </w:rPr>
        <w:t>i</w:t>
      </w:r>
      <w:r w:rsidRPr="008D08E3">
        <w:rPr>
          <w:rFonts w:asciiTheme="minorHAnsi" w:hAnsiTheme="minorHAnsi" w:cstheme="minorHAnsi"/>
          <w:sz w:val="22"/>
          <w:lang w:val="en-IN"/>
        </w:rPr>
        <w:t>ncentiv</w:t>
      </w:r>
      <w:r w:rsidR="00A81B71">
        <w:rPr>
          <w:rFonts w:asciiTheme="minorHAnsi" w:hAnsiTheme="minorHAnsi" w:cstheme="minorHAnsi"/>
          <w:sz w:val="22"/>
          <w:lang w:val="en-IN"/>
        </w:rPr>
        <w:t>ize and reward well performing S</w:t>
      </w:r>
      <w:r w:rsidRPr="008D08E3">
        <w:rPr>
          <w:rFonts w:asciiTheme="minorHAnsi" w:hAnsiTheme="minorHAnsi" w:cstheme="minorHAnsi"/>
          <w:sz w:val="22"/>
          <w:lang w:val="en-IN"/>
        </w:rPr>
        <w:t>tates</w:t>
      </w:r>
      <w:r w:rsidR="00A81B71">
        <w:rPr>
          <w:rFonts w:asciiTheme="minorHAnsi" w:hAnsiTheme="minorHAnsi" w:cstheme="minorHAnsi"/>
          <w:sz w:val="22"/>
          <w:lang w:val="en-IN"/>
        </w:rPr>
        <w:t>/Districts</w:t>
      </w:r>
      <w:r w:rsidRPr="008D08E3">
        <w:rPr>
          <w:rFonts w:asciiTheme="minorHAnsi" w:hAnsiTheme="minorHAnsi" w:cstheme="minorHAnsi"/>
          <w:sz w:val="22"/>
          <w:lang w:val="en-IN"/>
        </w:rPr>
        <w:t xml:space="preserve"> for achieving target that are within their control and capacit</w:t>
      </w:r>
      <w:r w:rsidR="00A81B71">
        <w:rPr>
          <w:rFonts w:asciiTheme="minorHAnsi" w:hAnsiTheme="minorHAnsi" w:cstheme="minorHAnsi"/>
          <w:sz w:val="22"/>
          <w:lang w:val="en-IN"/>
        </w:rPr>
        <w:t>y. This will not only motivate S</w:t>
      </w:r>
      <w:r w:rsidRPr="008D08E3">
        <w:rPr>
          <w:rFonts w:asciiTheme="minorHAnsi" w:hAnsiTheme="minorHAnsi" w:cstheme="minorHAnsi"/>
          <w:sz w:val="22"/>
          <w:lang w:val="en-IN"/>
        </w:rPr>
        <w:t>tates</w:t>
      </w:r>
      <w:r w:rsidR="00A81B71">
        <w:rPr>
          <w:rFonts w:asciiTheme="minorHAnsi" w:hAnsiTheme="minorHAnsi" w:cstheme="minorHAnsi"/>
          <w:sz w:val="22"/>
          <w:lang w:val="en-IN"/>
        </w:rPr>
        <w:t>/Districts</w:t>
      </w:r>
      <w:r w:rsidRPr="008D08E3">
        <w:rPr>
          <w:rFonts w:asciiTheme="minorHAnsi" w:hAnsiTheme="minorHAnsi" w:cstheme="minorHAnsi"/>
          <w:sz w:val="22"/>
          <w:lang w:val="en-IN"/>
        </w:rPr>
        <w:t xml:space="preserve"> to prioritize and undertake implementation of these programs in elimination mode, but will also generate a sense of healthy competition among States/Districts. Accordingly, it is considered to have sub-national level disease elimination status documented and “Awards” be presented to respective State/Districts upon achievement of such status. </w:t>
      </w:r>
    </w:p>
    <w:p w14:paraId="5F8E323D" w14:textId="001D0A70" w:rsidR="008D08E3" w:rsidRPr="008D08E3" w:rsidRDefault="002503F7" w:rsidP="00570731">
      <w:pPr>
        <w:ind w:left="634"/>
        <w:jc w:val="both"/>
        <w:rPr>
          <w:rFonts w:asciiTheme="minorHAnsi" w:hAnsiTheme="minorHAnsi" w:cstheme="minorHAnsi"/>
          <w:b/>
          <w:sz w:val="22"/>
        </w:rPr>
      </w:pPr>
      <w:r>
        <w:rPr>
          <w:rFonts w:asciiTheme="minorHAnsi" w:hAnsiTheme="minorHAnsi" w:cstheme="minorHAnsi"/>
          <w:b/>
          <w:bCs/>
          <w:sz w:val="22"/>
        </w:rPr>
        <w:t xml:space="preserve">Criteria </w:t>
      </w:r>
      <w:r w:rsidR="00CB5BD1">
        <w:rPr>
          <w:rFonts w:asciiTheme="minorHAnsi" w:hAnsiTheme="minorHAnsi" w:cstheme="minorHAnsi"/>
          <w:b/>
          <w:bCs/>
          <w:sz w:val="22"/>
        </w:rPr>
        <w:t xml:space="preserve">for attaining </w:t>
      </w:r>
      <w:r w:rsidR="008D08E3" w:rsidRPr="008D08E3">
        <w:rPr>
          <w:rFonts w:asciiTheme="minorHAnsi" w:hAnsiTheme="minorHAnsi" w:cstheme="minorHAnsi"/>
          <w:b/>
          <w:bCs/>
          <w:sz w:val="22"/>
        </w:rPr>
        <w:t>TB Free</w:t>
      </w:r>
      <w:r>
        <w:rPr>
          <w:rFonts w:asciiTheme="minorHAnsi" w:hAnsiTheme="minorHAnsi" w:cstheme="minorHAnsi"/>
          <w:b/>
          <w:bCs/>
          <w:sz w:val="22"/>
        </w:rPr>
        <w:t xml:space="preserve"> status</w:t>
      </w:r>
    </w:p>
    <w:p w14:paraId="18D2CA70" w14:textId="4662C472" w:rsidR="008D08E3" w:rsidRDefault="008D08E3" w:rsidP="00570731">
      <w:pPr>
        <w:pStyle w:val="ListParagraph"/>
        <w:ind w:left="634"/>
        <w:jc w:val="both"/>
        <w:rPr>
          <w:rFonts w:asciiTheme="minorHAnsi" w:hAnsiTheme="minorHAnsi" w:cstheme="minorHAnsi"/>
          <w:sz w:val="22"/>
          <w:lang w:val="en-IN"/>
        </w:rPr>
      </w:pPr>
      <w:r>
        <w:rPr>
          <w:rFonts w:asciiTheme="minorHAnsi" w:hAnsiTheme="minorHAnsi" w:cstheme="minorHAnsi"/>
          <w:sz w:val="22"/>
          <w:lang w:val="en-IN"/>
        </w:rPr>
        <w:t>For tuberculosis</w:t>
      </w:r>
      <w:r w:rsidR="00A81B71">
        <w:rPr>
          <w:rFonts w:asciiTheme="minorHAnsi" w:hAnsiTheme="minorHAnsi" w:cstheme="minorHAnsi"/>
          <w:sz w:val="22"/>
          <w:lang w:val="en-IN"/>
        </w:rPr>
        <w:t>, a District or a State/</w:t>
      </w:r>
      <w:r w:rsidRPr="008D08E3">
        <w:rPr>
          <w:rFonts w:asciiTheme="minorHAnsi" w:hAnsiTheme="minorHAnsi" w:cstheme="minorHAnsi"/>
          <w:sz w:val="22"/>
          <w:lang w:val="en-IN"/>
        </w:rPr>
        <w:t>UT will be recognized for “TB Free” efforts based on the criteria outlined below. Since, it may take a longer duration for achieving TB fre</w:t>
      </w:r>
      <w:r w:rsidR="00A81B71">
        <w:rPr>
          <w:rFonts w:asciiTheme="minorHAnsi" w:hAnsiTheme="minorHAnsi" w:cstheme="minorHAnsi"/>
          <w:sz w:val="22"/>
          <w:lang w:val="en-IN"/>
        </w:rPr>
        <w:t>e status, in order to motivate S</w:t>
      </w:r>
      <w:r w:rsidRPr="008D08E3">
        <w:rPr>
          <w:rFonts w:asciiTheme="minorHAnsi" w:hAnsiTheme="minorHAnsi" w:cstheme="minorHAnsi"/>
          <w:sz w:val="22"/>
          <w:lang w:val="en-IN"/>
        </w:rPr>
        <w:t>tates</w:t>
      </w:r>
      <w:r w:rsidR="00A81B71">
        <w:rPr>
          <w:rFonts w:asciiTheme="minorHAnsi" w:hAnsiTheme="minorHAnsi" w:cstheme="minorHAnsi"/>
          <w:sz w:val="22"/>
          <w:lang w:val="en-IN"/>
        </w:rPr>
        <w:t>/Districts</w:t>
      </w:r>
      <w:r w:rsidRPr="008D08E3">
        <w:rPr>
          <w:rFonts w:asciiTheme="minorHAnsi" w:hAnsiTheme="minorHAnsi" w:cstheme="minorHAnsi"/>
          <w:sz w:val="22"/>
          <w:lang w:val="en-IN"/>
        </w:rPr>
        <w:t>, interim recognition is also considered to give awards under bronze, silver and gold categories.</w:t>
      </w:r>
      <w:r>
        <w:rPr>
          <w:rFonts w:asciiTheme="minorHAnsi" w:hAnsiTheme="minorHAnsi" w:cstheme="minorHAnsi"/>
          <w:sz w:val="22"/>
          <w:lang w:val="en-IN"/>
        </w:rPr>
        <w:t xml:space="preserve"> </w:t>
      </w:r>
    </w:p>
    <w:p w14:paraId="4523C67B" w14:textId="0109CF78" w:rsidR="00933C76" w:rsidRPr="00933C76" w:rsidRDefault="00933C76" w:rsidP="00933C76">
      <w:pPr>
        <w:ind w:left="634"/>
        <w:jc w:val="both"/>
        <w:rPr>
          <w:rFonts w:asciiTheme="minorHAnsi" w:hAnsiTheme="minorHAnsi" w:cstheme="minorHAnsi"/>
          <w:b/>
        </w:rPr>
      </w:pPr>
      <w:r w:rsidRPr="00D63667">
        <w:rPr>
          <w:rFonts w:asciiTheme="minorHAnsi" w:hAnsiTheme="minorHAnsi" w:cstheme="minorHAnsi"/>
          <w:b/>
        </w:rPr>
        <w:t xml:space="preserve">Table </w:t>
      </w:r>
      <w:r w:rsidR="001852EA">
        <w:rPr>
          <w:rFonts w:asciiTheme="minorHAnsi" w:hAnsiTheme="minorHAnsi" w:cstheme="minorHAnsi"/>
          <w:b/>
        </w:rPr>
        <w:t>10</w:t>
      </w:r>
      <w:r w:rsidRPr="00D63667">
        <w:rPr>
          <w:rFonts w:asciiTheme="minorHAnsi" w:hAnsiTheme="minorHAnsi" w:cstheme="minorHAnsi"/>
          <w:b/>
        </w:rPr>
        <w:t xml:space="preserve">: </w:t>
      </w:r>
      <w:r w:rsidRPr="00933C76">
        <w:rPr>
          <w:rFonts w:asciiTheme="minorHAnsi" w:hAnsiTheme="minorHAnsi" w:cstheme="minorHAnsi"/>
          <w:b/>
        </w:rPr>
        <w:t>Sub-National Certification of Disease Free Status</w:t>
      </w:r>
    </w:p>
    <w:tbl>
      <w:tblPr>
        <w:tblStyle w:val="TableGrid"/>
        <w:tblW w:w="0" w:type="auto"/>
        <w:tblInd w:w="634" w:type="dxa"/>
        <w:tblLook w:val="04A0" w:firstRow="1" w:lastRow="0" w:firstColumn="1" w:lastColumn="0" w:noHBand="0" w:noVBand="1"/>
      </w:tblPr>
      <w:tblGrid>
        <w:gridCol w:w="4354"/>
        <w:gridCol w:w="4255"/>
      </w:tblGrid>
      <w:tr w:rsidR="001B6861" w14:paraId="7DE3B757" w14:textId="77777777" w:rsidTr="001B6861">
        <w:trPr>
          <w:cnfStyle w:val="100000000000" w:firstRow="1" w:lastRow="0" w:firstColumn="0" w:lastColumn="0" w:oddVBand="0" w:evenVBand="0" w:oddHBand="0" w:evenHBand="0" w:firstRowFirstColumn="0" w:firstRowLastColumn="0" w:lastRowFirstColumn="0" w:lastRowLastColumn="0"/>
        </w:trPr>
        <w:tc>
          <w:tcPr>
            <w:tcW w:w="4354" w:type="dxa"/>
          </w:tcPr>
          <w:p w14:paraId="668EF90D" w14:textId="6095BE17" w:rsidR="001B6861" w:rsidRDefault="001B6861" w:rsidP="00EB2291">
            <w:pPr>
              <w:pStyle w:val="ListParagraph"/>
              <w:spacing w:before="0" w:after="0"/>
              <w:ind w:left="0"/>
              <w:rPr>
                <w:rFonts w:asciiTheme="minorHAnsi" w:hAnsiTheme="minorHAnsi" w:cstheme="minorHAnsi"/>
                <w:sz w:val="22"/>
                <w:lang w:val="en-IN"/>
              </w:rPr>
            </w:pPr>
            <w:r w:rsidRPr="001B6861">
              <w:rPr>
                <w:rFonts w:asciiTheme="minorHAnsi" w:hAnsiTheme="minorHAnsi" w:cstheme="minorHAnsi"/>
                <w:sz w:val="22"/>
                <w:lang w:val="en-IN"/>
              </w:rPr>
              <w:t>Achievement of reduction in TB incidence as compared to 2015 incidence rate (in terms of number of incident TB cases per lakh population)</w:t>
            </w:r>
          </w:p>
        </w:tc>
        <w:tc>
          <w:tcPr>
            <w:tcW w:w="4255" w:type="dxa"/>
          </w:tcPr>
          <w:p w14:paraId="15F5484F" w14:textId="6F9983F6" w:rsidR="001B6861" w:rsidRDefault="001B6861"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Award / Status</w:t>
            </w:r>
          </w:p>
        </w:tc>
      </w:tr>
      <w:tr w:rsidR="001B6861" w14:paraId="097E5C58" w14:textId="77777777" w:rsidTr="00EB2291">
        <w:trPr>
          <w:trHeight w:val="60"/>
        </w:trPr>
        <w:tc>
          <w:tcPr>
            <w:tcW w:w="4354" w:type="dxa"/>
          </w:tcPr>
          <w:p w14:paraId="23FD9119" w14:textId="2FCF74C3" w:rsidR="001B6861" w:rsidRDefault="001B6861"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20% </w:t>
            </w:r>
          </w:p>
        </w:tc>
        <w:tc>
          <w:tcPr>
            <w:tcW w:w="4255" w:type="dxa"/>
          </w:tcPr>
          <w:p w14:paraId="51B435BC" w14:textId="3C656CC6" w:rsidR="001B6861" w:rsidRDefault="001B6861"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Bronze</w:t>
            </w:r>
          </w:p>
        </w:tc>
      </w:tr>
      <w:tr w:rsidR="001B6861" w14:paraId="186DA0AB" w14:textId="77777777" w:rsidTr="001B6861">
        <w:tc>
          <w:tcPr>
            <w:tcW w:w="4354" w:type="dxa"/>
          </w:tcPr>
          <w:p w14:paraId="4FA956C9" w14:textId="44BF315C" w:rsidR="001B6861" w:rsidRDefault="001B6861"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40% </w:t>
            </w:r>
          </w:p>
        </w:tc>
        <w:tc>
          <w:tcPr>
            <w:tcW w:w="4255" w:type="dxa"/>
          </w:tcPr>
          <w:p w14:paraId="2E734D6A" w14:textId="048BA05B" w:rsidR="001B6861" w:rsidRDefault="001B6861"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Silver</w:t>
            </w:r>
          </w:p>
        </w:tc>
      </w:tr>
      <w:tr w:rsidR="001B6861" w14:paraId="1C13D661" w14:textId="77777777" w:rsidTr="001B6861">
        <w:tc>
          <w:tcPr>
            <w:tcW w:w="4354" w:type="dxa"/>
          </w:tcPr>
          <w:p w14:paraId="40B98CB3" w14:textId="75D56C10" w:rsidR="001B6861" w:rsidRDefault="001B6861"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60% </w:t>
            </w:r>
          </w:p>
        </w:tc>
        <w:tc>
          <w:tcPr>
            <w:tcW w:w="4255" w:type="dxa"/>
          </w:tcPr>
          <w:p w14:paraId="29577AEE" w14:textId="680A5887" w:rsidR="001B6861" w:rsidRDefault="001B6861"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Gold</w:t>
            </w:r>
          </w:p>
        </w:tc>
      </w:tr>
      <w:tr w:rsidR="001B6861" w14:paraId="22BFE34F" w14:textId="77777777" w:rsidTr="001B6861">
        <w:tc>
          <w:tcPr>
            <w:tcW w:w="4354" w:type="dxa"/>
          </w:tcPr>
          <w:p w14:paraId="4013F984" w14:textId="179F9342" w:rsidR="001B6861" w:rsidRDefault="001B6861"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&gt;80% </w:t>
            </w:r>
          </w:p>
        </w:tc>
        <w:tc>
          <w:tcPr>
            <w:tcW w:w="4255" w:type="dxa"/>
          </w:tcPr>
          <w:p w14:paraId="59581238" w14:textId="5BD33FB2" w:rsidR="001B6861" w:rsidRDefault="001B6861"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TB Free District / State</w:t>
            </w:r>
          </w:p>
        </w:tc>
      </w:tr>
    </w:tbl>
    <w:p w14:paraId="7A7333FF" w14:textId="77777777" w:rsidR="008D08E3" w:rsidRPr="008D08E3" w:rsidRDefault="008D08E3" w:rsidP="008D08E3">
      <w:pPr>
        <w:pStyle w:val="ListParagraph"/>
        <w:ind w:left="634"/>
        <w:rPr>
          <w:rFonts w:asciiTheme="minorHAnsi" w:hAnsiTheme="minorHAnsi" w:cstheme="minorHAnsi"/>
          <w:sz w:val="22"/>
          <w:lang w:val="en-IN"/>
        </w:rPr>
      </w:pPr>
      <w:r w:rsidRPr="008D08E3">
        <w:rPr>
          <w:rFonts w:asciiTheme="minorHAnsi" w:hAnsiTheme="minorHAnsi" w:cstheme="minorHAnsi"/>
          <w:sz w:val="22"/>
          <w:lang w:val="en-IN"/>
        </w:rPr>
        <w:t>Monetary and non-</w:t>
      </w:r>
      <w:r w:rsidRPr="00933C76">
        <w:rPr>
          <w:rFonts w:asciiTheme="minorHAnsi" w:hAnsiTheme="minorHAnsi" w:cstheme="minorHAnsi"/>
          <w:sz w:val="22"/>
          <w:lang w:val="en-IN"/>
        </w:rPr>
        <w:t xml:space="preserve">monetary </w:t>
      </w:r>
      <w:r w:rsidRPr="00933C76">
        <w:rPr>
          <w:rFonts w:asciiTheme="minorHAnsi" w:hAnsiTheme="minorHAnsi" w:cstheme="minorHAnsi"/>
          <w:bCs/>
          <w:sz w:val="22"/>
          <w:lang w:val="en-IN"/>
        </w:rPr>
        <w:t xml:space="preserve">awards </w:t>
      </w:r>
      <w:r w:rsidRPr="00933C76">
        <w:rPr>
          <w:rFonts w:asciiTheme="minorHAnsi" w:hAnsiTheme="minorHAnsi" w:cstheme="minorHAnsi"/>
          <w:sz w:val="22"/>
          <w:lang w:val="en-IN"/>
        </w:rPr>
        <w:t>approved</w:t>
      </w:r>
      <w:r w:rsidRPr="008D08E3">
        <w:rPr>
          <w:rFonts w:asciiTheme="minorHAnsi" w:hAnsiTheme="minorHAnsi" w:cstheme="minorHAnsi"/>
          <w:sz w:val="22"/>
          <w:lang w:val="en-IN"/>
        </w:rPr>
        <w:t xml:space="preserve"> by the NHM MSG are as follows: </w:t>
      </w:r>
    </w:p>
    <w:p w14:paraId="309EB466" w14:textId="182E20B6" w:rsidR="008D08E3" w:rsidRPr="00933C76" w:rsidRDefault="00571659" w:rsidP="00933C76">
      <w:pPr>
        <w:ind w:left="634"/>
        <w:jc w:val="both"/>
        <w:rPr>
          <w:rFonts w:asciiTheme="minorHAnsi" w:hAnsiTheme="minorHAnsi" w:cstheme="minorHAnsi"/>
          <w:b/>
        </w:rPr>
      </w:pPr>
      <w:r>
        <w:rPr>
          <w:rFonts w:asciiTheme="minorHAnsi" w:hAnsiTheme="minorHAnsi" w:cstheme="minorHAnsi"/>
          <w:b/>
        </w:rPr>
        <w:t xml:space="preserve">Table </w:t>
      </w:r>
      <w:r w:rsidR="001852EA">
        <w:rPr>
          <w:rFonts w:asciiTheme="minorHAnsi" w:hAnsiTheme="minorHAnsi" w:cstheme="minorHAnsi"/>
          <w:b/>
        </w:rPr>
        <w:t>11</w:t>
      </w:r>
      <w:r w:rsidR="00933C76" w:rsidRPr="00933C76">
        <w:rPr>
          <w:rFonts w:asciiTheme="minorHAnsi" w:hAnsiTheme="minorHAnsi" w:cstheme="minorHAnsi"/>
          <w:b/>
        </w:rPr>
        <w:t>: Awards on achieving milestones of disease free status</w:t>
      </w:r>
    </w:p>
    <w:tbl>
      <w:tblPr>
        <w:tblW w:w="8640" w:type="dxa"/>
        <w:tblInd w:w="552" w:type="dxa"/>
        <w:tblBorders>
          <w:top w:val="single" w:sz="8" w:space="0" w:color="151C48" w:themeColor="accent1" w:themeShade="80"/>
          <w:bottom w:val="single" w:sz="8" w:space="0" w:color="151C48" w:themeColor="accent1" w:themeShade="80"/>
          <w:insideH w:val="single" w:sz="8" w:space="0" w:color="151C48" w:themeColor="accent1" w:themeShade="80"/>
        </w:tblBorders>
        <w:tblCellMar>
          <w:top w:w="15" w:type="dxa"/>
          <w:left w:w="15" w:type="dxa"/>
          <w:bottom w:w="15" w:type="dxa"/>
          <w:right w:w="15" w:type="dxa"/>
        </w:tblCellMar>
        <w:tblLook w:val="04A0" w:firstRow="1" w:lastRow="0" w:firstColumn="1" w:lastColumn="0" w:noHBand="0" w:noVBand="1"/>
      </w:tblPr>
      <w:tblGrid>
        <w:gridCol w:w="1619"/>
        <w:gridCol w:w="1652"/>
        <w:gridCol w:w="1926"/>
        <w:gridCol w:w="3443"/>
      </w:tblGrid>
      <w:tr w:rsidR="008D08E3" w:rsidRPr="00EB2291" w14:paraId="77298234" w14:textId="77777777" w:rsidTr="00EB2291">
        <w:tc>
          <w:tcPr>
            <w:tcW w:w="1619" w:type="dxa"/>
            <w:tcMar>
              <w:top w:w="0" w:type="dxa"/>
              <w:left w:w="12" w:type="dxa"/>
              <w:bottom w:w="0" w:type="dxa"/>
              <w:right w:w="12" w:type="dxa"/>
            </w:tcMar>
            <w:hideMark/>
          </w:tcPr>
          <w:p w14:paraId="537B8325"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EB2291">
              <w:rPr>
                <w:rFonts w:asciiTheme="minorHAnsi" w:hAnsiTheme="minorHAnsi" w:cstheme="minorHAnsi"/>
                <w:b/>
                <w:sz w:val="22"/>
                <w:lang w:val="en-IN"/>
              </w:rPr>
              <w:t xml:space="preserve">Award / Status </w:t>
            </w:r>
          </w:p>
        </w:tc>
        <w:tc>
          <w:tcPr>
            <w:tcW w:w="1652" w:type="dxa"/>
            <w:tcMar>
              <w:top w:w="0" w:type="dxa"/>
              <w:left w:w="12" w:type="dxa"/>
              <w:bottom w:w="0" w:type="dxa"/>
              <w:right w:w="12" w:type="dxa"/>
            </w:tcMar>
            <w:hideMark/>
          </w:tcPr>
          <w:p w14:paraId="44631754"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EB2291">
              <w:rPr>
                <w:rFonts w:asciiTheme="minorHAnsi" w:hAnsiTheme="minorHAnsi" w:cstheme="minorHAnsi"/>
                <w:b/>
                <w:sz w:val="22"/>
                <w:lang w:val="en-IN"/>
              </w:rPr>
              <w:t xml:space="preserve">Monetary award for district (Rs.)* </w:t>
            </w:r>
          </w:p>
        </w:tc>
        <w:tc>
          <w:tcPr>
            <w:tcW w:w="1926" w:type="dxa"/>
            <w:tcMar>
              <w:top w:w="0" w:type="dxa"/>
              <w:left w:w="12" w:type="dxa"/>
              <w:bottom w:w="0" w:type="dxa"/>
              <w:right w:w="12" w:type="dxa"/>
            </w:tcMar>
            <w:hideMark/>
          </w:tcPr>
          <w:p w14:paraId="2882D925"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EB2291">
              <w:rPr>
                <w:rFonts w:asciiTheme="minorHAnsi" w:hAnsiTheme="minorHAnsi" w:cstheme="minorHAnsi"/>
                <w:b/>
                <w:sz w:val="22"/>
                <w:lang w:val="en-IN"/>
              </w:rPr>
              <w:t xml:space="preserve">Monetary award for State / UT (Rs.)* </w:t>
            </w:r>
          </w:p>
        </w:tc>
        <w:tc>
          <w:tcPr>
            <w:tcW w:w="3443" w:type="dxa"/>
            <w:tcMar>
              <w:top w:w="0" w:type="dxa"/>
              <w:left w:w="12" w:type="dxa"/>
              <w:bottom w:w="0" w:type="dxa"/>
              <w:right w:w="12" w:type="dxa"/>
            </w:tcMar>
            <w:hideMark/>
          </w:tcPr>
          <w:p w14:paraId="3ED11BEF"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EB2291">
              <w:rPr>
                <w:rFonts w:asciiTheme="minorHAnsi" w:hAnsiTheme="minorHAnsi" w:cstheme="minorHAnsi"/>
                <w:b/>
                <w:sz w:val="22"/>
                <w:lang w:val="en-IN"/>
              </w:rPr>
              <w:t xml:space="preserve">Non-Monetary award </w:t>
            </w:r>
          </w:p>
        </w:tc>
      </w:tr>
      <w:tr w:rsidR="008D08E3" w:rsidRPr="00EB2291" w14:paraId="3D303AB9" w14:textId="77777777" w:rsidTr="00EB2291">
        <w:tc>
          <w:tcPr>
            <w:tcW w:w="1619" w:type="dxa"/>
            <w:tcMar>
              <w:top w:w="0" w:type="dxa"/>
              <w:left w:w="12" w:type="dxa"/>
              <w:bottom w:w="0" w:type="dxa"/>
              <w:right w:w="12" w:type="dxa"/>
            </w:tcMar>
            <w:hideMark/>
          </w:tcPr>
          <w:p w14:paraId="0E74F1B1" w14:textId="6D0BD872" w:rsidR="008D08E3" w:rsidRPr="008D08E3" w:rsidRDefault="00EB2291" w:rsidP="00EB2291">
            <w:pPr>
              <w:pStyle w:val="ListParagraph"/>
              <w:spacing w:before="0" w:after="0"/>
              <w:ind w:left="0"/>
              <w:rPr>
                <w:rFonts w:asciiTheme="minorHAnsi" w:hAnsiTheme="minorHAnsi" w:cstheme="minorHAnsi"/>
                <w:sz w:val="22"/>
                <w:lang w:val="en-IN"/>
              </w:rPr>
            </w:pPr>
            <w:r>
              <w:rPr>
                <w:rFonts w:asciiTheme="minorHAnsi" w:hAnsiTheme="minorHAnsi" w:cstheme="minorHAnsi"/>
                <w:sz w:val="22"/>
                <w:lang w:val="en-IN"/>
              </w:rPr>
              <w:t>\</w:t>
            </w:r>
            <w:r w:rsidR="008D08E3" w:rsidRPr="008D08E3">
              <w:rPr>
                <w:rFonts w:asciiTheme="minorHAnsi" w:hAnsiTheme="minorHAnsi" w:cstheme="minorHAnsi"/>
                <w:sz w:val="22"/>
                <w:lang w:val="en-IN"/>
              </w:rPr>
              <w:t xml:space="preserve">Bronze </w:t>
            </w:r>
          </w:p>
        </w:tc>
        <w:tc>
          <w:tcPr>
            <w:tcW w:w="1652" w:type="dxa"/>
            <w:tcMar>
              <w:top w:w="0" w:type="dxa"/>
              <w:left w:w="12" w:type="dxa"/>
              <w:bottom w:w="0" w:type="dxa"/>
              <w:right w:w="12" w:type="dxa"/>
            </w:tcMar>
            <w:hideMark/>
          </w:tcPr>
          <w:p w14:paraId="3768BCE3"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2,00,000 </w:t>
            </w:r>
          </w:p>
        </w:tc>
        <w:tc>
          <w:tcPr>
            <w:tcW w:w="1926" w:type="dxa"/>
            <w:tcMar>
              <w:top w:w="0" w:type="dxa"/>
              <w:left w:w="12" w:type="dxa"/>
              <w:bottom w:w="0" w:type="dxa"/>
              <w:right w:w="12" w:type="dxa"/>
            </w:tcMar>
            <w:hideMark/>
          </w:tcPr>
          <w:p w14:paraId="48232309"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25,00,000 </w:t>
            </w:r>
          </w:p>
        </w:tc>
        <w:tc>
          <w:tcPr>
            <w:tcW w:w="3443" w:type="dxa"/>
            <w:vMerge w:val="restart"/>
            <w:tcMar>
              <w:top w:w="0" w:type="dxa"/>
              <w:left w:w="12" w:type="dxa"/>
              <w:bottom w:w="0" w:type="dxa"/>
              <w:right w:w="12" w:type="dxa"/>
            </w:tcMar>
            <w:hideMark/>
          </w:tcPr>
          <w:p w14:paraId="0703F08E"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Medal and Felicitation at the National level </w:t>
            </w:r>
          </w:p>
        </w:tc>
      </w:tr>
      <w:tr w:rsidR="008D08E3" w:rsidRPr="00EB2291" w14:paraId="2F7D060C" w14:textId="77777777" w:rsidTr="00EB2291">
        <w:tc>
          <w:tcPr>
            <w:tcW w:w="1619" w:type="dxa"/>
            <w:tcMar>
              <w:top w:w="0" w:type="dxa"/>
              <w:left w:w="12" w:type="dxa"/>
              <w:bottom w:w="0" w:type="dxa"/>
              <w:right w:w="12" w:type="dxa"/>
            </w:tcMar>
            <w:hideMark/>
          </w:tcPr>
          <w:p w14:paraId="7E499B74"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Silver </w:t>
            </w:r>
          </w:p>
        </w:tc>
        <w:tc>
          <w:tcPr>
            <w:tcW w:w="1652" w:type="dxa"/>
            <w:tcMar>
              <w:top w:w="0" w:type="dxa"/>
              <w:left w:w="12" w:type="dxa"/>
              <w:bottom w:w="0" w:type="dxa"/>
              <w:right w:w="12" w:type="dxa"/>
            </w:tcMar>
            <w:hideMark/>
          </w:tcPr>
          <w:p w14:paraId="68DD9F95"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3,00,000 </w:t>
            </w:r>
          </w:p>
        </w:tc>
        <w:tc>
          <w:tcPr>
            <w:tcW w:w="1926" w:type="dxa"/>
            <w:tcMar>
              <w:top w:w="0" w:type="dxa"/>
              <w:left w:w="12" w:type="dxa"/>
              <w:bottom w:w="0" w:type="dxa"/>
              <w:right w:w="12" w:type="dxa"/>
            </w:tcMar>
            <w:hideMark/>
          </w:tcPr>
          <w:p w14:paraId="19400D72"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50,00,000 </w:t>
            </w:r>
          </w:p>
        </w:tc>
        <w:tc>
          <w:tcPr>
            <w:tcW w:w="3443" w:type="dxa"/>
            <w:vMerge/>
            <w:vAlign w:val="center"/>
            <w:hideMark/>
          </w:tcPr>
          <w:p w14:paraId="49507A9F" w14:textId="77777777" w:rsidR="008D08E3" w:rsidRPr="008D08E3" w:rsidRDefault="008D08E3" w:rsidP="00EB2291">
            <w:pPr>
              <w:pStyle w:val="ListParagraph"/>
              <w:spacing w:before="0" w:after="0"/>
              <w:ind w:left="0"/>
              <w:rPr>
                <w:rFonts w:asciiTheme="minorHAnsi" w:hAnsiTheme="minorHAnsi" w:cstheme="minorHAnsi"/>
                <w:sz w:val="22"/>
                <w:lang w:val="en-IN"/>
              </w:rPr>
            </w:pPr>
          </w:p>
        </w:tc>
      </w:tr>
      <w:tr w:rsidR="008D08E3" w:rsidRPr="00EB2291" w14:paraId="46D0289B" w14:textId="77777777" w:rsidTr="00EB2291">
        <w:tc>
          <w:tcPr>
            <w:tcW w:w="1619" w:type="dxa"/>
            <w:tcMar>
              <w:top w:w="0" w:type="dxa"/>
              <w:left w:w="12" w:type="dxa"/>
              <w:bottom w:w="0" w:type="dxa"/>
              <w:right w:w="12" w:type="dxa"/>
            </w:tcMar>
            <w:hideMark/>
          </w:tcPr>
          <w:p w14:paraId="6A5DBD7E"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Gold </w:t>
            </w:r>
          </w:p>
        </w:tc>
        <w:tc>
          <w:tcPr>
            <w:tcW w:w="1652" w:type="dxa"/>
            <w:tcMar>
              <w:top w:w="0" w:type="dxa"/>
              <w:left w:w="12" w:type="dxa"/>
              <w:bottom w:w="0" w:type="dxa"/>
              <w:right w:w="12" w:type="dxa"/>
            </w:tcMar>
            <w:hideMark/>
          </w:tcPr>
          <w:p w14:paraId="293B8163"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5,00,000 </w:t>
            </w:r>
          </w:p>
        </w:tc>
        <w:tc>
          <w:tcPr>
            <w:tcW w:w="1926" w:type="dxa"/>
            <w:tcMar>
              <w:top w:w="0" w:type="dxa"/>
              <w:left w:w="12" w:type="dxa"/>
              <w:bottom w:w="0" w:type="dxa"/>
              <w:right w:w="12" w:type="dxa"/>
            </w:tcMar>
            <w:hideMark/>
          </w:tcPr>
          <w:p w14:paraId="6ADF7B0B"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75,00,000 </w:t>
            </w:r>
          </w:p>
        </w:tc>
        <w:tc>
          <w:tcPr>
            <w:tcW w:w="3443" w:type="dxa"/>
            <w:vMerge/>
            <w:vAlign w:val="center"/>
            <w:hideMark/>
          </w:tcPr>
          <w:p w14:paraId="1A804B29" w14:textId="77777777" w:rsidR="008D08E3" w:rsidRPr="008D08E3" w:rsidRDefault="008D08E3" w:rsidP="00EB2291">
            <w:pPr>
              <w:pStyle w:val="ListParagraph"/>
              <w:spacing w:before="0" w:after="0"/>
              <w:ind w:left="0"/>
              <w:rPr>
                <w:rFonts w:asciiTheme="minorHAnsi" w:hAnsiTheme="minorHAnsi" w:cstheme="minorHAnsi"/>
                <w:sz w:val="22"/>
                <w:lang w:val="en-IN"/>
              </w:rPr>
            </w:pPr>
          </w:p>
        </w:tc>
      </w:tr>
      <w:tr w:rsidR="008D08E3" w:rsidRPr="00EB2291" w14:paraId="4AA33840" w14:textId="77777777" w:rsidTr="00EB2291">
        <w:tc>
          <w:tcPr>
            <w:tcW w:w="1619" w:type="dxa"/>
            <w:tcMar>
              <w:top w:w="0" w:type="dxa"/>
              <w:left w:w="12" w:type="dxa"/>
              <w:bottom w:w="0" w:type="dxa"/>
              <w:right w:w="12" w:type="dxa"/>
            </w:tcMar>
            <w:hideMark/>
          </w:tcPr>
          <w:p w14:paraId="3AB28B70"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TB Free District / Cities </w:t>
            </w:r>
          </w:p>
        </w:tc>
        <w:tc>
          <w:tcPr>
            <w:tcW w:w="1652" w:type="dxa"/>
            <w:tcMar>
              <w:top w:w="0" w:type="dxa"/>
              <w:left w:w="12" w:type="dxa"/>
              <w:bottom w:w="0" w:type="dxa"/>
              <w:right w:w="12" w:type="dxa"/>
            </w:tcMar>
            <w:hideMark/>
          </w:tcPr>
          <w:p w14:paraId="6E9C2C50"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10,00,000 </w:t>
            </w:r>
          </w:p>
        </w:tc>
        <w:tc>
          <w:tcPr>
            <w:tcW w:w="1926" w:type="dxa"/>
            <w:tcMar>
              <w:top w:w="0" w:type="dxa"/>
              <w:left w:w="12" w:type="dxa"/>
              <w:bottom w:w="0" w:type="dxa"/>
              <w:right w:w="12" w:type="dxa"/>
            </w:tcMar>
            <w:hideMark/>
          </w:tcPr>
          <w:p w14:paraId="785CF717"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1,00,00,000 </w:t>
            </w:r>
          </w:p>
        </w:tc>
        <w:tc>
          <w:tcPr>
            <w:tcW w:w="3443" w:type="dxa"/>
            <w:tcMar>
              <w:top w:w="0" w:type="dxa"/>
              <w:left w:w="12" w:type="dxa"/>
              <w:bottom w:w="0" w:type="dxa"/>
              <w:right w:w="12" w:type="dxa"/>
            </w:tcMar>
            <w:hideMark/>
          </w:tcPr>
          <w:p w14:paraId="21801B47" w14:textId="77777777" w:rsidR="008D08E3" w:rsidRPr="008D08E3" w:rsidRDefault="008D08E3" w:rsidP="00EB2291">
            <w:pPr>
              <w:pStyle w:val="ListParagraph"/>
              <w:spacing w:before="0" w:after="0"/>
              <w:ind w:left="0"/>
              <w:rPr>
                <w:rFonts w:asciiTheme="minorHAnsi" w:hAnsiTheme="minorHAnsi" w:cstheme="minorHAnsi"/>
                <w:sz w:val="22"/>
                <w:lang w:val="en-IN"/>
              </w:rPr>
            </w:pPr>
            <w:r w:rsidRPr="008D08E3">
              <w:rPr>
                <w:rFonts w:asciiTheme="minorHAnsi" w:hAnsiTheme="minorHAnsi" w:cstheme="minorHAnsi"/>
                <w:sz w:val="22"/>
                <w:lang w:val="en-IN"/>
              </w:rPr>
              <w:t xml:space="preserve">Certification and Felicitation at the National level </w:t>
            </w:r>
          </w:p>
        </w:tc>
      </w:tr>
    </w:tbl>
    <w:p w14:paraId="2BACCFCF" w14:textId="6812DB35" w:rsidR="008D08E3" w:rsidRPr="008D08E3" w:rsidRDefault="008D08E3" w:rsidP="008D08E3">
      <w:pPr>
        <w:pStyle w:val="ListParagraph"/>
        <w:ind w:left="634"/>
        <w:rPr>
          <w:rFonts w:asciiTheme="minorHAnsi" w:hAnsiTheme="minorHAnsi" w:cstheme="minorHAnsi"/>
          <w:sz w:val="22"/>
          <w:lang w:val="en-IN"/>
        </w:rPr>
      </w:pPr>
      <w:r>
        <w:rPr>
          <w:rFonts w:asciiTheme="minorHAnsi" w:hAnsiTheme="minorHAnsi" w:cstheme="minorHAnsi"/>
          <w:sz w:val="22"/>
          <w:lang w:val="en-IN"/>
        </w:rPr>
        <w:t> </w:t>
      </w:r>
      <w:r w:rsidRPr="008D08E3">
        <w:rPr>
          <w:rFonts w:asciiTheme="minorHAnsi" w:hAnsiTheme="minorHAnsi" w:cstheme="minorHAnsi"/>
          <w:i/>
          <w:iCs/>
          <w:sz w:val="22"/>
          <w:lang w:val="en-IN"/>
        </w:rPr>
        <w:t xml:space="preserve">*For States /UTs with population less than 50 lakhs and districts with population less than 2 lakhs, the award amount shall be 50% of the amounts considered. </w:t>
      </w:r>
    </w:p>
    <w:p w14:paraId="1FAD13B0" w14:textId="77777777" w:rsidR="008D08E3" w:rsidRPr="008D08E3" w:rsidRDefault="008D08E3" w:rsidP="008D08E3">
      <w:pPr>
        <w:pStyle w:val="ListParagraph"/>
        <w:ind w:left="634"/>
        <w:rPr>
          <w:rFonts w:asciiTheme="minorHAnsi" w:hAnsiTheme="minorHAnsi" w:cstheme="minorHAnsi"/>
          <w:sz w:val="22"/>
          <w:lang w:val="en-IN"/>
        </w:rPr>
      </w:pPr>
      <w:r w:rsidRPr="008D08E3">
        <w:rPr>
          <w:rFonts w:asciiTheme="minorHAnsi" w:hAnsiTheme="minorHAnsi" w:cstheme="minorHAnsi"/>
          <w:i/>
          <w:iCs/>
          <w:sz w:val="22"/>
          <w:lang w:val="en-IN"/>
        </w:rPr>
        <w:t>* District level awards will be financed through the state\UT's PIPs.</w:t>
      </w:r>
    </w:p>
    <w:p w14:paraId="7363B93B" w14:textId="77777777" w:rsidR="008D08E3" w:rsidRPr="008D08E3" w:rsidRDefault="008D08E3" w:rsidP="008D08E3">
      <w:pPr>
        <w:pStyle w:val="ListParagraph"/>
        <w:ind w:left="634"/>
        <w:rPr>
          <w:rFonts w:asciiTheme="minorHAnsi" w:hAnsiTheme="minorHAnsi" w:cstheme="minorHAnsi"/>
          <w:sz w:val="22"/>
          <w:lang w:val="en-IN"/>
        </w:rPr>
      </w:pPr>
    </w:p>
    <w:p w14:paraId="7C211762" w14:textId="6469DAF6" w:rsidR="00874A97" w:rsidRPr="007401C4" w:rsidRDefault="009971FC" w:rsidP="009136E5">
      <w:pPr>
        <w:pStyle w:val="ListParagraph"/>
        <w:numPr>
          <w:ilvl w:val="2"/>
          <w:numId w:val="75"/>
        </w:numPr>
        <w:ind w:left="634" w:hanging="634"/>
        <w:contextualSpacing w:val="0"/>
        <w:jc w:val="both"/>
        <w:rPr>
          <w:rFonts w:ascii="Calibri" w:hAnsi="Calibri" w:cs="Calibri"/>
          <w:b/>
          <w:kern w:val="24"/>
          <w:sz w:val="22"/>
          <w:lang w:eastAsia="en-IN"/>
        </w:rPr>
      </w:pPr>
      <w:r w:rsidRPr="00595104">
        <w:rPr>
          <w:rFonts w:ascii="Calibri" w:hAnsi="Calibri" w:cs="Calibri"/>
          <w:b/>
          <w:kern w:val="24"/>
          <w:sz w:val="22"/>
          <w:lang w:eastAsia="en-IN"/>
        </w:rPr>
        <w:t xml:space="preserve">Expedite setting up of prescribed governance structures at the National and State level including National and State TB Elimination Boards. </w:t>
      </w:r>
      <w:r w:rsidR="007401C4">
        <w:rPr>
          <w:rFonts w:ascii="Calibri" w:hAnsi="Calibri" w:cs="Calibri"/>
          <w:b/>
          <w:kern w:val="24"/>
          <w:sz w:val="22"/>
          <w:lang w:eastAsia="en-IN"/>
        </w:rPr>
        <w:t>(detailed organogram at the end of this chapter)</w:t>
      </w:r>
    </w:p>
    <w:p w14:paraId="53571F59" w14:textId="77777777" w:rsidR="00595104" w:rsidRPr="0069462E" w:rsidRDefault="00595104" w:rsidP="009136E5">
      <w:pPr>
        <w:pStyle w:val="ListParagraph"/>
        <w:numPr>
          <w:ilvl w:val="3"/>
          <w:numId w:val="75"/>
        </w:numPr>
        <w:jc w:val="both"/>
        <w:rPr>
          <w:rFonts w:ascii="Calibri" w:hAnsi="Calibri" w:cs="Calibri"/>
          <w:kern w:val="24"/>
          <w:sz w:val="22"/>
          <w:lang w:eastAsia="en-IN"/>
        </w:rPr>
      </w:pPr>
      <w:r w:rsidRPr="0069462E">
        <w:rPr>
          <w:rFonts w:ascii="Calibri" w:hAnsi="Calibri" w:cs="Calibri"/>
          <w:b/>
          <w:kern w:val="24"/>
          <w:sz w:val="22"/>
          <w:lang w:eastAsia="en-IN"/>
        </w:rPr>
        <w:t>National TB Commission:</w:t>
      </w:r>
      <w:r w:rsidRPr="0069462E">
        <w:rPr>
          <w:rFonts w:ascii="Calibri" w:hAnsi="Calibri" w:cs="Calibri"/>
          <w:kern w:val="24"/>
          <w:sz w:val="22"/>
          <w:lang w:eastAsia="en-IN"/>
        </w:rPr>
        <w:t xml:space="preserve"> It will be the apex body to take policy decisions on strategy, operations, resources and timelines for TB Elimination. The commission translates the highest political and administrative commitment to ensure multisectoral coordination and accountability for timely decision making and to support implementation. It also monitors implementation of TB elimination strategy at all levels and adopts appropriate corrective measures on recognition of shortfalls or gaps. The National TB Commission will be chaired by the Prime </w:t>
      </w:r>
      <w:r w:rsidRPr="0069462E">
        <w:rPr>
          <w:rFonts w:ascii="Calibri" w:hAnsi="Calibri" w:cs="Calibri"/>
          <w:kern w:val="24"/>
          <w:sz w:val="22"/>
          <w:lang w:eastAsia="en-IN"/>
        </w:rPr>
        <w:lastRenderedPageBreak/>
        <w:t>Minister or the Representative of Prime Minister and will have ministers from allied ministries as members.</w:t>
      </w:r>
    </w:p>
    <w:p w14:paraId="402E94DE" w14:textId="29A7C20B" w:rsidR="007F3869" w:rsidRPr="000052A6" w:rsidRDefault="00595104" w:rsidP="009136E5">
      <w:pPr>
        <w:pStyle w:val="ListParagraph"/>
        <w:numPr>
          <w:ilvl w:val="3"/>
          <w:numId w:val="75"/>
        </w:numPr>
        <w:contextualSpacing w:val="0"/>
        <w:jc w:val="both"/>
        <w:rPr>
          <w:rFonts w:ascii="Calibri" w:hAnsi="Calibri" w:cs="Calibri"/>
          <w:b/>
          <w:kern w:val="24"/>
          <w:sz w:val="22"/>
          <w:lang w:eastAsia="en-IN"/>
        </w:rPr>
      </w:pPr>
      <w:r w:rsidRPr="000052A6">
        <w:rPr>
          <w:rFonts w:ascii="Calibri" w:hAnsi="Calibri" w:cs="Calibri"/>
          <w:b/>
          <w:kern w:val="24"/>
          <w:sz w:val="22"/>
          <w:lang w:eastAsia="en-IN"/>
        </w:rPr>
        <w:t xml:space="preserve">National TB </w:t>
      </w:r>
      <w:r w:rsidR="00C85E95" w:rsidRPr="000052A6">
        <w:rPr>
          <w:rFonts w:ascii="Calibri" w:hAnsi="Calibri" w:cs="Calibri"/>
          <w:b/>
          <w:kern w:val="24"/>
          <w:sz w:val="22"/>
          <w:lang w:eastAsia="en-IN"/>
        </w:rPr>
        <w:t xml:space="preserve">Elimination Board: </w:t>
      </w:r>
      <w:r w:rsidR="00C85E95" w:rsidRPr="000052A6">
        <w:rPr>
          <w:rFonts w:ascii="Calibri" w:hAnsi="Calibri" w:cs="Calibri"/>
          <w:kern w:val="24"/>
          <w:sz w:val="22"/>
          <w:lang w:eastAsia="en-IN"/>
        </w:rPr>
        <w:t>The national TB Elimination Board will translate the highest political and administrative commitment (of the National TB Commission) into actions to ensure multisectoral coordination and accountability. The board is an executive authority that ensures administrative response to TB at national and state levels. The National Board advises the state TB Elimination boards on local strategies, and encourage implementation of local strategies by recognizing their efforts through appropriate rewarding mechanisms.</w:t>
      </w:r>
      <w:r w:rsidR="000052A6" w:rsidRPr="000052A6">
        <w:rPr>
          <w:rFonts w:ascii="Calibri" w:hAnsi="Calibri" w:cs="Calibri"/>
          <w:kern w:val="24"/>
          <w:sz w:val="22"/>
          <w:lang w:eastAsia="en-IN"/>
        </w:rPr>
        <w:t xml:space="preserve"> </w:t>
      </w:r>
      <w:r w:rsidR="007F3869" w:rsidRPr="000052A6">
        <w:rPr>
          <w:rFonts w:ascii="Calibri" w:hAnsi="Calibri" w:cs="Calibri"/>
          <w:kern w:val="24"/>
          <w:sz w:val="22"/>
          <w:lang w:eastAsia="en-IN"/>
        </w:rPr>
        <w:t xml:space="preserve">The board </w:t>
      </w:r>
      <w:r w:rsidR="007F3869">
        <w:rPr>
          <w:rFonts w:ascii="Calibri" w:hAnsi="Calibri" w:cs="Calibri"/>
          <w:kern w:val="24"/>
          <w:sz w:val="22"/>
          <w:lang w:eastAsia="en-IN"/>
        </w:rPr>
        <w:t>will be</w:t>
      </w:r>
      <w:r w:rsidR="007F3869" w:rsidRPr="000052A6">
        <w:rPr>
          <w:rFonts w:ascii="Calibri" w:hAnsi="Calibri" w:cs="Calibri"/>
          <w:kern w:val="24"/>
          <w:sz w:val="22"/>
          <w:lang w:eastAsia="en-IN"/>
        </w:rPr>
        <w:t xml:space="preserve"> chaired by the Secretary, Union Ministry of Health and Family Welfare.</w:t>
      </w:r>
      <w:r w:rsidR="007F3869">
        <w:rPr>
          <w:rFonts w:ascii="Calibri" w:hAnsi="Calibri" w:cs="Calibri"/>
          <w:kern w:val="24"/>
          <w:sz w:val="22"/>
          <w:lang w:eastAsia="en-IN"/>
        </w:rPr>
        <w:t xml:space="preserve"> </w:t>
      </w:r>
      <w:r w:rsidR="007F3869" w:rsidRPr="000052A6">
        <w:rPr>
          <w:rFonts w:ascii="Calibri" w:hAnsi="Calibri" w:cs="Calibri"/>
          <w:kern w:val="24"/>
          <w:sz w:val="22"/>
          <w:lang w:eastAsia="en-IN"/>
        </w:rPr>
        <w:t xml:space="preserve">Members are the </w:t>
      </w:r>
      <w:r w:rsidR="007F3869">
        <w:rPr>
          <w:rFonts w:ascii="Calibri" w:hAnsi="Calibri" w:cs="Calibri"/>
          <w:kern w:val="24"/>
          <w:sz w:val="22"/>
          <w:lang w:eastAsia="en-IN"/>
        </w:rPr>
        <w:t>S</w:t>
      </w:r>
      <w:r w:rsidR="007F3869" w:rsidRPr="000052A6">
        <w:rPr>
          <w:rFonts w:ascii="Calibri" w:hAnsi="Calibri" w:cs="Calibri"/>
          <w:kern w:val="24"/>
          <w:sz w:val="22"/>
          <w:lang w:eastAsia="en-IN"/>
        </w:rPr>
        <w:t>ecretaries of all stake holder ministries.</w:t>
      </w:r>
      <w:r w:rsidR="007F3869">
        <w:rPr>
          <w:rFonts w:ascii="Calibri" w:hAnsi="Calibri" w:cs="Calibri"/>
          <w:kern w:val="24"/>
          <w:sz w:val="22"/>
          <w:lang w:eastAsia="en-IN"/>
        </w:rPr>
        <w:t xml:space="preserve"> </w:t>
      </w:r>
      <w:r w:rsidR="007F3869" w:rsidRPr="000052A6">
        <w:rPr>
          <w:rFonts w:ascii="Calibri" w:hAnsi="Calibri" w:cs="Calibri"/>
          <w:kern w:val="24"/>
          <w:sz w:val="22"/>
          <w:lang w:eastAsia="en-IN"/>
        </w:rPr>
        <w:t xml:space="preserve">The Health Secretaries of five high burden </w:t>
      </w:r>
      <w:r w:rsidR="007F3869">
        <w:rPr>
          <w:rFonts w:ascii="Calibri" w:hAnsi="Calibri" w:cs="Calibri"/>
          <w:kern w:val="24"/>
          <w:sz w:val="22"/>
          <w:lang w:eastAsia="en-IN"/>
        </w:rPr>
        <w:t>S</w:t>
      </w:r>
      <w:r w:rsidR="007F3869" w:rsidRPr="000052A6">
        <w:rPr>
          <w:rFonts w:ascii="Calibri" w:hAnsi="Calibri" w:cs="Calibri"/>
          <w:kern w:val="24"/>
          <w:sz w:val="22"/>
          <w:lang w:eastAsia="en-IN"/>
        </w:rPr>
        <w:t xml:space="preserve">tates </w:t>
      </w:r>
      <w:r w:rsidR="007F3869">
        <w:rPr>
          <w:rFonts w:ascii="Calibri" w:hAnsi="Calibri" w:cs="Calibri"/>
          <w:kern w:val="24"/>
          <w:sz w:val="22"/>
          <w:lang w:eastAsia="en-IN"/>
        </w:rPr>
        <w:t>will also be</w:t>
      </w:r>
      <w:r w:rsidR="007F3869" w:rsidRPr="000052A6">
        <w:rPr>
          <w:rFonts w:ascii="Calibri" w:hAnsi="Calibri" w:cs="Calibri"/>
          <w:kern w:val="24"/>
          <w:sz w:val="22"/>
          <w:lang w:eastAsia="en-IN"/>
        </w:rPr>
        <w:t xml:space="preserve"> members.</w:t>
      </w:r>
    </w:p>
    <w:p w14:paraId="6260ACFB" w14:textId="074C47DF" w:rsidR="009971FC" w:rsidRDefault="009971FC" w:rsidP="0069462E">
      <w:pPr>
        <w:pStyle w:val="ListParagraph"/>
        <w:numPr>
          <w:ilvl w:val="2"/>
          <w:numId w:val="75"/>
        </w:numPr>
        <w:ind w:left="634" w:hanging="634"/>
        <w:contextualSpacing w:val="0"/>
        <w:jc w:val="both"/>
        <w:rPr>
          <w:rFonts w:ascii="Calibri" w:hAnsi="Calibri" w:cs="Calibri"/>
          <w:b/>
          <w:kern w:val="24"/>
          <w:sz w:val="22"/>
          <w:lang w:eastAsia="en-IN"/>
        </w:rPr>
      </w:pPr>
      <w:r w:rsidRPr="00595104">
        <w:rPr>
          <w:rFonts w:ascii="Calibri" w:hAnsi="Calibri" w:cs="Calibri"/>
          <w:b/>
          <w:kern w:val="24"/>
          <w:sz w:val="22"/>
          <w:lang w:eastAsia="en-IN"/>
        </w:rPr>
        <w:t>Extend th</w:t>
      </w:r>
      <w:r w:rsidR="00392EFB">
        <w:rPr>
          <w:rFonts w:ascii="Calibri" w:hAnsi="Calibri" w:cs="Calibri"/>
          <w:b/>
          <w:kern w:val="24"/>
          <w:sz w:val="22"/>
          <w:lang w:eastAsia="en-IN"/>
        </w:rPr>
        <w:t xml:space="preserve">e governance and management </w:t>
      </w:r>
      <w:r w:rsidRPr="00595104">
        <w:rPr>
          <w:rFonts w:ascii="Calibri" w:hAnsi="Calibri" w:cs="Calibri"/>
          <w:b/>
          <w:kern w:val="24"/>
          <w:sz w:val="22"/>
          <w:lang w:eastAsia="en-IN"/>
        </w:rPr>
        <w:t>structure</w:t>
      </w:r>
      <w:r w:rsidR="00392EFB">
        <w:rPr>
          <w:rFonts w:ascii="Calibri" w:hAnsi="Calibri" w:cs="Calibri"/>
          <w:b/>
          <w:kern w:val="24"/>
          <w:sz w:val="22"/>
          <w:lang w:eastAsia="en-IN"/>
        </w:rPr>
        <w:t>s</w:t>
      </w:r>
      <w:r w:rsidRPr="00595104">
        <w:rPr>
          <w:rFonts w:ascii="Calibri" w:hAnsi="Calibri" w:cs="Calibri"/>
          <w:b/>
          <w:kern w:val="24"/>
          <w:sz w:val="22"/>
          <w:lang w:eastAsia="en-IN"/>
        </w:rPr>
        <w:t xml:space="preserve"> to</w:t>
      </w:r>
      <w:r w:rsidR="000052A6">
        <w:rPr>
          <w:rFonts w:ascii="Calibri" w:hAnsi="Calibri" w:cs="Calibri"/>
          <w:b/>
          <w:kern w:val="24"/>
          <w:sz w:val="22"/>
          <w:lang w:eastAsia="en-IN"/>
        </w:rPr>
        <w:t xml:space="preserve"> the States and </w:t>
      </w:r>
      <w:r w:rsidRPr="00595104">
        <w:rPr>
          <w:rFonts w:ascii="Calibri" w:hAnsi="Calibri" w:cs="Calibri"/>
          <w:b/>
          <w:kern w:val="24"/>
          <w:sz w:val="22"/>
          <w:lang w:eastAsia="en-IN"/>
        </w:rPr>
        <w:t xml:space="preserve">District level for fast-tracking End TB.  </w:t>
      </w:r>
    </w:p>
    <w:p w14:paraId="58FDE208" w14:textId="4386A193" w:rsidR="00595104" w:rsidRDefault="00F34776" w:rsidP="009136E5">
      <w:pPr>
        <w:pStyle w:val="ListParagraph"/>
        <w:numPr>
          <w:ilvl w:val="3"/>
          <w:numId w:val="75"/>
        </w:numPr>
        <w:jc w:val="both"/>
        <w:rPr>
          <w:rFonts w:ascii="Calibri" w:hAnsi="Calibri" w:cs="Calibri"/>
          <w:kern w:val="24"/>
          <w:sz w:val="22"/>
          <w:lang w:eastAsia="en-IN"/>
        </w:rPr>
      </w:pPr>
      <w:r w:rsidRPr="008B5EA8">
        <w:rPr>
          <w:rFonts w:ascii="Calibri" w:hAnsi="Calibri" w:cs="Calibri"/>
          <w:b/>
          <w:kern w:val="24"/>
          <w:sz w:val="22"/>
          <w:lang w:eastAsia="en-IN"/>
        </w:rPr>
        <w:t>State TB Elimination Board</w:t>
      </w:r>
      <w:r w:rsidRPr="00F34776">
        <w:rPr>
          <w:rFonts w:ascii="Calibri" w:hAnsi="Calibri" w:cs="Calibri"/>
          <w:kern w:val="24"/>
          <w:sz w:val="22"/>
          <w:lang w:eastAsia="en-IN"/>
        </w:rPr>
        <w:t xml:space="preserve"> is the apex autonomous body to take policy decisions on strategy, operations, resources and timelines for TB Elimination. It is the direct demonstration of state government’s stewardship for TB elimination. It monitors implementation of TB elimination strategy at all levels and adopts appropriate corrective measures on recognition of shortfalls or gaps. The board will have </w:t>
      </w:r>
      <w:r>
        <w:rPr>
          <w:rFonts w:ascii="Calibri" w:hAnsi="Calibri" w:cs="Calibri"/>
          <w:kern w:val="24"/>
          <w:sz w:val="22"/>
          <w:lang w:eastAsia="en-IN"/>
        </w:rPr>
        <w:t>the</w:t>
      </w:r>
      <w:r w:rsidRPr="00F34776">
        <w:rPr>
          <w:rFonts w:ascii="Calibri" w:hAnsi="Calibri" w:cs="Calibri"/>
          <w:kern w:val="24"/>
          <w:sz w:val="22"/>
          <w:lang w:eastAsia="en-IN"/>
        </w:rPr>
        <w:t xml:space="preserve"> Chief Minister of the state</w:t>
      </w:r>
      <w:r>
        <w:rPr>
          <w:rFonts w:ascii="Calibri" w:hAnsi="Calibri" w:cs="Calibri"/>
          <w:kern w:val="24"/>
          <w:sz w:val="22"/>
          <w:lang w:eastAsia="en-IN"/>
        </w:rPr>
        <w:t xml:space="preserve"> as the Chief Patron and Ministers of health allied ministries as other patrons. </w:t>
      </w:r>
    </w:p>
    <w:p w14:paraId="30E65C0A" w14:textId="5093A2EA" w:rsidR="00F34776" w:rsidRPr="00850944" w:rsidRDefault="00F34776" w:rsidP="009136E5">
      <w:pPr>
        <w:pStyle w:val="ListParagraph"/>
        <w:numPr>
          <w:ilvl w:val="3"/>
          <w:numId w:val="75"/>
        </w:numPr>
        <w:jc w:val="both"/>
        <w:rPr>
          <w:rFonts w:ascii="Calibri" w:hAnsi="Calibri" w:cs="Calibri"/>
          <w:kern w:val="24"/>
          <w:sz w:val="22"/>
          <w:lang w:eastAsia="en-IN"/>
        </w:rPr>
      </w:pPr>
      <w:r w:rsidRPr="008B5EA8">
        <w:rPr>
          <w:rFonts w:ascii="Calibri" w:hAnsi="Calibri" w:cs="Calibri"/>
          <w:b/>
          <w:kern w:val="24"/>
          <w:sz w:val="22"/>
          <w:lang w:eastAsia="en-IN"/>
        </w:rPr>
        <w:t>District TB Elimination Board</w:t>
      </w:r>
      <w:r w:rsidRPr="00F34776">
        <w:rPr>
          <w:rFonts w:ascii="Calibri" w:hAnsi="Calibri" w:cs="Calibri"/>
          <w:kern w:val="24"/>
          <w:sz w:val="22"/>
          <w:lang w:eastAsia="en-IN"/>
        </w:rPr>
        <w:t xml:space="preserve"> is the district level apex body to take policy decisions on adaptation of National Strategic Plan for TB elimination, operations, resources and timelines. Since TB epidemiology, population characteristics and access to health care vary across districts, the district TB elimination board will need to customize state’s strategies to suite local situations. The board also monitors implementation of TB elimination strategy at sub district levels and adopts appropriate corrective measures on recognition of shortfalls or gaps</w:t>
      </w:r>
      <w:r w:rsidR="00874A97">
        <w:rPr>
          <w:rFonts w:ascii="Calibri" w:hAnsi="Calibri" w:cs="Calibri"/>
          <w:kern w:val="24"/>
          <w:sz w:val="22"/>
          <w:lang w:eastAsia="en-IN"/>
        </w:rPr>
        <w:t>. The</w:t>
      </w:r>
      <w:r w:rsidR="00874A97" w:rsidRPr="00874A97">
        <w:rPr>
          <w:rFonts w:ascii="Calibri" w:hAnsi="Calibri" w:cs="Calibri"/>
          <w:kern w:val="24"/>
          <w:sz w:val="22"/>
          <w:lang w:val="en-IN" w:eastAsia="en-IN"/>
        </w:rPr>
        <w:t xml:space="preserve"> Board is to be formed with the District </w:t>
      </w:r>
      <w:r w:rsidR="007F3869">
        <w:rPr>
          <w:rFonts w:ascii="Calibri" w:hAnsi="Calibri" w:cs="Calibri"/>
          <w:kern w:val="24"/>
          <w:sz w:val="22"/>
          <w:lang w:val="en-IN" w:eastAsia="en-IN"/>
        </w:rPr>
        <w:t>P</w:t>
      </w:r>
      <w:r w:rsidR="00874A97" w:rsidRPr="00874A97">
        <w:rPr>
          <w:rFonts w:ascii="Calibri" w:hAnsi="Calibri" w:cs="Calibri"/>
          <w:kern w:val="24"/>
          <w:sz w:val="22"/>
          <w:lang w:val="en-IN" w:eastAsia="en-IN"/>
        </w:rPr>
        <w:t>anchayat President, Member of Parliament, members of Legislative Assembly and Mayor as the patrons</w:t>
      </w:r>
      <w:r w:rsidR="00874A97">
        <w:rPr>
          <w:rFonts w:ascii="Calibri" w:hAnsi="Calibri" w:cs="Calibri"/>
          <w:kern w:val="24"/>
          <w:sz w:val="22"/>
          <w:lang w:val="en-IN" w:eastAsia="en-IN"/>
        </w:rPr>
        <w:t>, District collector as the chairperson and key district officials as the members.</w:t>
      </w:r>
      <w:r w:rsidR="00850944">
        <w:rPr>
          <w:rFonts w:ascii="Calibri" w:hAnsi="Calibri" w:cs="Calibri"/>
          <w:kern w:val="24"/>
          <w:sz w:val="22"/>
          <w:lang w:val="en-IN" w:eastAsia="en-IN"/>
        </w:rPr>
        <w:t xml:space="preserve"> </w:t>
      </w:r>
    </w:p>
    <w:p w14:paraId="73B5A7AA" w14:textId="53F73670" w:rsidR="00850944" w:rsidRDefault="00850944" w:rsidP="008C6005">
      <w:pPr>
        <w:pStyle w:val="ListParagraph"/>
        <w:numPr>
          <w:ilvl w:val="3"/>
          <w:numId w:val="75"/>
        </w:numPr>
        <w:contextualSpacing w:val="0"/>
        <w:jc w:val="both"/>
        <w:rPr>
          <w:rFonts w:ascii="Calibri" w:hAnsi="Calibri" w:cs="Calibri"/>
          <w:kern w:val="24"/>
          <w:sz w:val="22"/>
          <w:lang w:eastAsia="en-IN"/>
        </w:rPr>
      </w:pPr>
      <w:r w:rsidRPr="00850944">
        <w:rPr>
          <w:rFonts w:ascii="Calibri" w:hAnsi="Calibri" w:cs="Calibri"/>
          <w:b/>
          <w:kern w:val="24"/>
          <w:sz w:val="22"/>
          <w:lang w:eastAsia="en-IN"/>
        </w:rPr>
        <w:t>Block TB Elimination Unit</w:t>
      </w:r>
      <w:r w:rsidRPr="00850944">
        <w:rPr>
          <w:rFonts w:ascii="Calibri" w:hAnsi="Calibri" w:cs="Calibri"/>
          <w:kern w:val="24"/>
          <w:sz w:val="22"/>
          <w:lang w:eastAsia="en-IN"/>
        </w:rPr>
        <w:t xml:space="preserve"> will be headed by a Medical Officer from the general health services. This BTEO will be responsible for supervision and monitoring of TB prevention, TB diagnosis and management including DRTB. </w:t>
      </w:r>
    </w:p>
    <w:p w14:paraId="56FADA61" w14:textId="5D1000ED" w:rsidR="000A4B51" w:rsidRDefault="000A4B51" w:rsidP="009136E5">
      <w:pPr>
        <w:pStyle w:val="ListParagraph"/>
        <w:numPr>
          <w:ilvl w:val="2"/>
          <w:numId w:val="75"/>
        </w:numPr>
        <w:ind w:left="630" w:hanging="630"/>
        <w:jc w:val="both"/>
        <w:rPr>
          <w:rFonts w:ascii="Calibri" w:hAnsi="Calibri" w:cs="Calibri"/>
          <w:b/>
          <w:kern w:val="24"/>
          <w:sz w:val="22"/>
          <w:lang w:eastAsia="en-IN"/>
        </w:rPr>
      </w:pPr>
      <w:r w:rsidRPr="000A4B51">
        <w:rPr>
          <w:rFonts w:ascii="Calibri" w:hAnsi="Calibri" w:cs="Calibri"/>
          <w:b/>
          <w:kern w:val="24"/>
          <w:sz w:val="22"/>
          <w:lang w:eastAsia="en-IN"/>
        </w:rPr>
        <w:t xml:space="preserve">The proposed structure of the NTEP </w:t>
      </w:r>
      <w:r w:rsidR="001852EA">
        <w:rPr>
          <w:rFonts w:ascii="Calibri" w:hAnsi="Calibri" w:cs="Calibri"/>
          <w:b/>
          <w:kern w:val="24"/>
          <w:sz w:val="22"/>
          <w:lang w:eastAsia="en-IN"/>
        </w:rPr>
        <w:t xml:space="preserve">and its </w:t>
      </w:r>
      <w:r w:rsidRPr="000A4B51">
        <w:rPr>
          <w:rFonts w:ascii="Calibri" w:hAnsi="Calibri" w:cs="Calibri"/>
          <w:b/>
          <w:kern w:val="24"/>
          <w:sz w:val="22"/>
          <w:lang w:eastAsia="en-IN"/>
        </w:rPr>
        <w:t>support structures are depicted in the organogram below:</w:t>
      </w:r>
      <w:r w:rsidR="00571659">
        <w:rPr>
          <w:rFonts w:ascii="Calibri" w:hAnsi="Calibri" w:cs="Calibri"/>
          <w:b/>
          <w:kern w:val="24"/>
          <w:sz w:val="22"/>
          <w:lang w:eastAsia="en-IN"/>
        </w:rPr>
        <w:t xml:space="preserve"> </w:t>
      </w:r>
    </w:p>
    <w:p w14:paraId="507673DE" w14:textId="77777777" w:rsidR="00501E0D" w:rsidRDefault="00501E0D" w:rsidP="00F225BB">
      <w:pPr>
        <w:pStyle w:val="ListParagraph"/>
        <w:spacing w:before="240" w:after="0"/>
        <w:ind w:left="634"/>
        <w:contextualSpacing w:val="0"/>
        <w:jc w:val="both"/>
        <w:rPr>
          <w:rFonts w:asciiTheme="minorHAnsi" w:eastAsia="Times New Roman" w:hAnsiTheme="minorHAnsi" w:cstheme="minorHAnsi"/>
          <w:b/>
          <w:lang w:val="en" w:eastAsia="en-IN"/>
        </w:rPr>
      </w:pPr>
    </w:p>
    <w:p w14:paraId="6B47F824" w14:textId="77777777" w:rsidR="00501E0D" w:rsidRDefault="00501E0D" w:rsidP="00F225BB">
      <w:pPr>
        <w:pStyle w:val="ListParagraph"/>
        <w:spacing w:before="240" w:after="0"/>
        <w:ind w:left="634"/>
        <w:contextualSpacing w:val="0"/>
        <w:jc w:val="both"/>
        <w:rPr>
          <w:rFonts w:asciiTheme="minorHAnsi" w:eastAsia="Times New Roman" w:hAnsiTheme="minorHAnsi" w:cstheme="minorHAnsi"/>
          <w:b/>
          <w:lang w:val="en" w:eastAsia="en-IN"/>
        </w:rPr>
      </w:pPr>
    </w:p>
    <w:p w14:paraId="43077DE1" w14:textId="77777777" w:rsidR="00501E0D" w:rsidRDefault="00501E0D" w:rsidP="00F225BB">
      <w:pPr>
        <w:pStyle w:val="ListParagraph"/>
        <w:spacing w:before="240" w:after="0"/>
        <w:ind w:left="634"/>
        <w:contextualSpacing w:val="0"/>
        <w:jc w:val="both"/>
        <w:rPr>
          <w:rFonts w:asciiTheme="minorHAnsi" w:eastAsia="Times New Roman" w:hAnsiTheme="minorHAnsi" w:cstheme="minorHAnsi"/>
          <w:b/>
          <w:lang w:val="en" w:eastAsia="en-IN"/>
        </w:rPr>
      </w:pPr>
    </w:p>
    <w:p w14:paraId="117503DF" w14:textId="77777777" w:rsidR="00501E0D" w:rsidRDefault="00501E0D" w:rsidP="00F225BB">
      <w:pPr>
        <w:pStyle w:val="ListParagraph"/>
        <w:spacing w:before="240" w:after="0"/>
        <w:ind w:left="634"/>
        <w:contextualSpacing w:val="0"/>
        <w:jc w:val="both"/>
        <w:rPr>
          <w:rFonts w:asciiTheme="minorHAnsi" w:eastAsia="Times New Roman" w:hAnsiTheme="minorHAnsi" w:cstheme="minorHAnsi"/>
          <w:b/>
          <w:lang w:val="en" w:eastAsia="en-IN"/>
        </w:rPr>
      </w:pPr>
    </w:p>
    <w:p w14:paraId="51224166" w14:textId="77777777" w:rsidR="00501E0D" w:rsidRDefault="00501E0D" w:rsidP="00F225BB">
      <w:pPr>
        <w:pStyle w:val="ListParagraph"/>
        <w:spacing w:before="240" w:after="0"/>
        <w:ind w:left="634"/>
        <w:contextualSpacing w:val="0"/>
        <w:jc w:val="both"/>
        <w:rPr>
          <w:rFonts w:asciiTheme="minorHAnsi" w:eastAsia="Times New Roman" w:hAnsiTheme="minorHAnsi" w:cstheme="minorHAnsi"/>
          <w:b/>
          <w:lang w:val="en" w:eastAsia="en-IN"/>
        </w:rPr>
      </w:pPr>
    </w:p>
    <w:p w14:paraId="2A33D985" w14:textId="77777777" w:rsidR="00501E0D" w:rsidRDefault="00501E0D" w:rsidP="00F225BB">
      <w:pPr>
        <w:pStyle w:val="ListParagraph"/>
        <w:spacing w:before="240" w:after="0"/>
        <w:ind w:left="634"/>
        <w:contextualSpacing w:val="0"/>
        <w:jc w:val="both"/>
        <w:rPr>
          <w:rFonts w:asciiTheme="minorHAnsi" w:eastAsia="Times New Roman" w:hAnsiTheme="minorHAnsi" w:cstheme="minorHAnsi"/>
          <w:b/>
          <w:lang w:val="en" w:eastAsia="en-IN"/>
        </w:rPr>
      </w:pPr>
    </w:p>
    <w:p w14:paraId="222C99A3" w14:textId="77777777" w:rsidR="00501E0D" w:rsidRDefault="00501E0D" w:rsidP="00F225BB">
      <w:pPr>
        <w:pStyle w:val="ListParagraph"/>
        <w:spacing w:before="240" w:after="0"/>
        <w:ind w:left="634"/>
        <w:contextualSpacing w:val="0"/>
        <w:jc w:val="both"/>
        <w:rPr>
          <w:rFonts w:asciiTheme="minorHAnsi" w:eastAsia="Times New Roman" w:hAnsiTheme="minorHAnsi" w:cstheme="minorHAnsi"/>
          <w:b/>
          <w:lang w:val="en" w:eastAsia="en-IN"/>
        </w:rPr>
      </w:pPr>
    </w:p>
    <w:p w14:paraId="79ED1162" w14:textId="541E98AD" w:rsidR="00571659" w:rsidRPr="00F225BB" w:rsidRDefault="001852EA" w:rsidP="00F225BB">
      <w:pPr>
        <w:pStyle w:val="ListParagraph"/>
        <w:spacing w:before="240" w:after="0"/>
        <w:ind w:left="634"/>
        <w:contextualSpacing w:val="0"/>
        <w:jc w:val="both"/>
        <w:rPr>
          <w:rFonts w:ascii="Calibri" w:hAnsi="Calibri" w:cs="Calibri"/>
          <w:b/>
          <w:kern w:val="24"/>
          <w:lang w:eastAsia="en-IN"/>
        </w:rPr>
      </w:pPr>
      <w:r w:rsidRPr="00F225BB">
        <w:rPr>
          <w:rFonts w:asciiTheme="minorHAnsi" w:eastAsia="Times New Roman" w:hAnsiTheme="minorHAnsi" w:cstheme="minorHAnsi"/>
          <w:b/>
          <w:lang w:val="en" w:eastAsia="en-IN"/>
        </w:rPr>
        <w:lastRenderedPageBreak/>
        <w:t>Figure 28</w:t>
      </w:r>
      <w:r w:rsidR="00571659" w:rsidRPr="00F225BB">
        <w:rPr>
          <w:rFonts w:asciiTheme="minorHAnsi" w:eastAsia="Times New Roman" w:hAnsiTheme="minorHAnsi" w:cstheme="minorHAnsi"/>
          <w:b/>
          <w:lang w:val="en" w:eastAsia="en-IN"/>
        </w:rPr>
        <w:t xml:space="preserve">:  </w:t>
      </w:r>
      <w:r w:rsidR="00F225BB" w:rsidRPr="00F225BB">
        <w:rPr>
          <w:rFonts w:asciiTheme="minorHAnsi" w:eastAsia="Times New Roman" w:hAnsiTheme="minorHAnsi" w:cstheme="minorHAnsi"/>
          <w:b/>
          <w:lang w:val="en" w:eastAsia="en-IN"/>
        </w:rPr>
        <w:t>Proposed NTEP structure</w:t>
      </w:r>
    </w:p>
    <w:p w14:paraId="59FA6F21" w14:textId="656ADD6D" w:rsidR="00D618EC" w:rsidRDefault="00B6376B" w:rsidP="00217C7F">
      <w:pPr>
        <w:spacing w:before="0" w:after="0"/>
        <w:rPr>
          <w:rFonts w:ascii="Calibri" w:hAnsi="Calibri" w:cs="Calibri"/>
          <w:b/>
          <w:kern w:val="24"/>
          <w:sz w:val="22"/>
          <w:lang w:eastAsia="en-IN"/>
        </w:rPr>
      </w:pPr>
      <w:r w:rsidRPr="00B6376B">
        <w:rPr>
          <w:noProof/>
          <w:lang w:val="en-IN" w:eastAsia="en-IN"/>
        </w:rPr>
        <w:drawing>
          <wp:inline distT="0" distB="0" distL="0" distR="0" wp14:anchorId="4FBD85A0" wp14:editId="5A861B75">
            <wp:extent cx="5732145" cy="6379845"/>
            <wp:effectExtent l="0" t="0"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6379845"/>
                    </a:xfrm>
                    <a:prstGeom prst="rect">
                      <a:avLst/>
                    </a:prstGeom>
                  </pic:spPr>
                </pic:pic>
              </a:graphicData>
            </a:graphic>
          </wp:inline>
        </w:drawing>
      </w:r>
    </w:p>
    <w:p w14:paraId="77863B86" w14:textId="77777777" w:rsidR="00D618EC" w:rsidRDefault="00D618EC" w:rsidP="00217C7F">
      <w:pPr>
        <w:spacing w:before="0" w:after="0"/>
        <w:rPr>
          <w:rFonts w:ascii="Calibri" w:hAnsi="Calibri" w:cs="Calibri"/>
          <w:b/>
          <w:kern w:val="24"/>
          <w:sz w:val="22"/>
          <w:lang w:eastAsia="en-IN"/>
        </w:rPr>
      </w:pPr>
    </w:p>
    <w:p w14:paraId="73A66B27" w14:textId="77777777" w:rsidR="00D618EC" w:rsidRDefault="00D618EC" w:rsidP="00217C7F">
      <w:pPr>
        <w:spacing w:before="0" w:after="0"/>
        <w:rPr>
          <w:rFonts w:ascii="Calibri" w:hAnsi="Calibri" w:cs="Calibri"/>
          <w:b/>
          <w:kern w:val="24"/>
          <w:sz w:val="22"/>
          <w:lang w:eastAsia="en-IN"/>
        </w:rPr>
      </w:pPr>
    </w:p>
    <w:p w14:paraId="5269B186" w14:textId="77777777" w:rsidR="00D618EC" w:rsidRDefault="00D618EC" w:rsidP="00217C7F">
      <w:pPr>
        <w:spacing w:before="0" w:after="0"/>
        <w:rPr>
          <w:rFonts w:ascii="Calibri" w:hAnsi="Calibri" w:cs="Calibri"/>
          <w:b/>
          <w:kern w:val="24"/>
          <w:sz w:val="22"/>
          <w:lang w:eastAsia="en-IN"/>
        </w:rPr>
      </w:pPr>
    </w:p>
    <w:p w14:paraId="3BCC5359" w14:textId="77777777" w:rsidR="00D618EC" w:rsidRDefault="00D618EC" w:rsidP="00217C7F">
      <w:pPr>
        <w:spacing w:before="0" w:after="0"/>
        <w:rPr>
          <w:rFonts w:ascii="Calibri" w:hAnsi="Calibri" w:cs="Calibri"/>
          <w:b/>
          <w:kern w:val="24"/>
          <w:sz w:val="22"/>
          <w:lang w:eastAsia="en-IN"/>
        </w:rPr>
      </w:pPr>
    </w:p>
    <w:p w14:paraId="11FB846C" w14:textId="09CA6402" w:rsidR="00217C7F" w:rsidRDefault="00217C7F">
      <w:pPr>
        <w:spacing w:before="0" w:after="0"/>
        <w:rPr>
          <w:rFonts w:ascii="Calibri" w:hAnsi="Calibri" w:cs="Calibri"/>
          <w:b/>
          <w:kern w:val="24"/>
          <w:sz w:val="22"/>
          <w:lang w:eastAsia="en-IN"/>
        </w:rPr>
      </w:pPr>
    </w:p>
    <w:p w14:paraId="12B87584" w14:textId="77777777" w:rsidR="000A4B51" w:rsidRDefault="000A4B51">
      <w:pPr>
        <w:spacing w:before="0" w:after="0"/>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5D0C534C" w14:textId="13482D43" w:rsidR="006B7923" w:rsidRDefault="00217C7F" w:rsidP="00217C7F">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B65B0C">
        <w:rPr>
          <w:rFonts w:asciiTheme="minorHAnsi" w:hAnsiTheme="minorHAnsi" w:cstheme="minorHAnsi"/>
          <w:b/>
          <w:snapToGrid w:val="0"/>
          <w:color w:val="auto"/>
          <w:sz w:val="36"/>
        </w:rPr>
        <w:t>11</w:t>
      </w:r>
    </w:p>
    <w:p w14:paraId="23E25F70" w14:textId="074C6F2D" w:rsidR="006B7923" w:rsidRPr="006B7923" w:rsidRDefault="006B7923" w:rsidP="00B528EA">
      <w:pPr>
        <w:shd w:val="clear" w:color="auto" w:fill="17365D" w:themeFill="text2" w:themeFillShade="BF"/>
        <w:spacing w:before="0" w:after="0"/>
        <w:jc w:val="right"/>
        <w:rPr>
          <w:b/>
          <w:sz w:val="28"/>
        </w:rPr>
      </w:pPr>
      <w:r>
        <w:rPr>
          <w:b/>
          <w:sz w:val="28"/>
        </w:rPr>
        <w:t>NSP STRATEGIC AREA 1.4</w:t>
      </w:r>
    </w:p>
    <w:p w14:paraId="6EDE3A19" w14:textId="458D2E89" w:rsidR="00D52992" w:rsidRPr="00734B6A" w:rsidRDefault="00D52992" w:rsidP="00D52992">
      <w:pPr>
        <w:pStyle w:val="Heading1"/>
        <w:tabs>
          <w:tab w:val="num" w:pos="5670"/>
        </w:tabs>
        <w:ind w:left="1181" w:hanging="907"/>
        <w:rPr>
          <w:rFonts w:asciiTheme="minorHAnsi" w:hAnsiTheme="minorHAnsi" w:cstheme="minorHAnsi"/>
          <w:b/>
          <w:snapToGrid w:val="0"/>
          <w:color w:val="auto"/>
        </w:rPr>
      </w:pPr>
      <w:r>
        <w:rPr>
          <w:rFonts w:asciiTheme="minorHAnsi" w:hAnsiTheme="minorHAnsi" w:cstheme="minorHAnsi"/>
          <w:b/>
          <w:snapToGrid w:val="0"/>
          <w:color w:val="auto"/>
        </w:rPr>
        <w:t xml:space="preserve">   </w:t>
      </w:r>
      <w:r w:rsidRPr="00850944">
        <w:rPr>
          <w:rFonts w:asciiTheme="minorHAnsi" w:hAnsiTheme="minorHAnsi" w:cstheme="minorHAnsi"/>
          <w:b/>
          <w:snapToGrid w:val="0"/>
          <w:color w:val="auto"/>
        </w:rPr>
        <w:t>Multisectoral</w:t>
      </w:r>
      <w:r w:rsidR="00671769">
        <w:rPr>
          <w:rFonts w:asciiTheme="minorHAnsi" w:hAnsiTheme="minorHAnsi" w:cstheme="minorHAnsi"/>
          <w:b/>
          <w:snapToGrid w:val="0"/>
          <w:color w:val="auto"/>
        </w:rPr>
        <w:t xml:space="preserve"> </w:t>
      </w:r>
      <w:r w:rsidR="00671769" w:rsidRPr="00850944">
        <w:rPr>
          <w:rFonts w:asciiTheme="minorHAnsi" w:hAnsiTheme="minorHAnsi" w:cstheme="minorHAnsi"/>
          <w:b/>
          <w:snapToGrid w:val="0"/>
          <w:color w:val="auto"/>
        </w:rPr>
        <w:t>Engagement</w:t>
      </w:r>
      <w:r w:rsidRPr="00850944">
        <w:rPr>
          <w:rFonts w:asciiTheme="minorHAnsi" w:hAnsiTheme="minorHAnsi" w:cstheme="minorHAnsi"/>
          <w:b/>
          <w:snapToGrid w:val="0"/>
          <w:color w:val="auto"/>
        </w:rPr>
        <w:t xml:space="preserve"> and </w:t>
      </w:r>
      <w:r w:rsidR="00671769" w:rsidRPr="00850944">
        <w:rPr>
          <w:rFonts w:asciiTheme="minorHAnsi" w:hAnsiTheme="minorHAnsi" w:cstheme="minorHAnsi"/>
          <w:b/>
          <w:snapToGrid w:val="0"/>
          <w:color w:val="auto"/>
        </w:rPr>
        <w:t xml:space="preserve">Accountability </w:t>
      </w:r>
    </w:p>
    <w:p w14:paraId="5E67D434" w14:textId="50FF9181" w:rsidR="00D52992" w:rsidRPr="00C45A90" w:rsidRDefault="0033007D"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65B0C">
        <w:rPr>
          <w:rFonts w:asciiTheme="minorHAnsi" w:hAnsiTheme="minorHAnsi" w:cstheme="minorHAnsi"/>
          <w:b/>
          <w:color w:val="C86A07" w:themeColor="accent2" w:themeShade="BF"/>
          <w:sz w:val="28"/>
          <w:lang w:val="en"/>
        </w:rPr>
        <w:t>1</w:t>
      </w:r>
      <w:r>
        <w:rPr>
          <w:rFonts w:asciiTheme="minorHAnsi" w:hAnsiTheme="minorHAnsi" w:cstheme="minorHAnsi"/>
          <w:b/>
          <w:color w:val="C86A07" w:themeColor="accent2" w:themeShade="BF"/>
          <w:sz w:val="28"/>
          <w:lang w:val="en"/>
        </w:rPr>
        <w:t xml:space="preserve">.1 </w:t>
      </w:r>
      <w:r w:rsidR="00D52992" w:rsidRPr="00C45A90">
        <w:rPr>
          <w:rFonts w:asciiTheme="minorHAnsi" w:hAnsiTheme="minorHAnsi" w:cstheme="minorHAnsi"/>
          <w:b/>
          <w:color w:val="C86A07" w:themeColor="accent2" w:themeShade="BF"/>
          <w:sz w:val="28"/>
          <w:lang w:val="en"/>
        </w:rPr>
        <w:t>INTRODUCTION</w:t>
      </w:r>
    </w:p>
    <w:p w14:paraId="3E7D6E73" w14:textId="30CC35E6" w:rsidR="009D2221" w:rsidRDefault="009D2221" w:rsidP="00D52992">
      <w:pPr>
        <w:jc w:val="both"/>
        <w:rPr>
          <w:rFonts w:asciiTheme="minorHAnsi" w:eastAsia="+mj-ea" w:hAnsiTheme="minorHAnsi" w:cstheme="minorHAnsi"/>
          <w:bCs/>
          <w:color w:val="000000"/>
          <w:kern w:val="24"/>
          <w:sz w:val="22"/>
        </w:rPr>
      </w:pPr>
      <w:r w:rsidRPr="009D2221">
        <w:rPr>
          <w:rFonts w:asciiTheme="minorHAnsi" w:eastAsia="+mj-ea" w:hAnsiTheme="minorHAnsi" w:cstheme="minorHAnsi"/>
          <w:bCs/>
          <w:color w:val="000000"/>
          <w:kern w:val="24"/>
          <w:sz w:val="22"/>
        </w:rPr>
        <w:t xml:space="preserve">The Moscow Declaration (November 2017) to End TB with commitment by member states and call to global agencies to accelerate efforts addressed four key areas for action, one of which is multisectoral accountability. Prevention, diagnosis and management of TB require multisectoral collaboration and resources. To have multisectoral collaboration, appropriate coordination mechanisms should be in place that would closely bind the governments (central, state and local governments), intergovernmental agencies, non-governmental organizations, private health care providers, affected citizens and the civil society.  </w:t>
      </w:r>
    </w:p>
    <w:p w14:paraId="4F18B4C3" w14:textId="4B1CFE75" w:rsidR="009D2221" w:rsidRDefault="009D2221" w:rsidP="009D2221">
      <w:pPr>
        <w:jc w:val="both"/>
        <w:rPr>
          <w:rFonts w:asciiTheme="minorHAnsi" w:eastAsia="+mj-ea" w:hAnsiTheme="minorHAnsi" w:cstheme="minorHAnsi"/>
          <w:bCs/>
          <w:color w:val="000000"/>
          <w:kern w:val="24"/>
          <w:sz w:val="22"/>
        </w:rPr>
      </w:pPr>
      <w:r>
        <w:rPr>
          <w:rFonts w:asciiTheme="minorHAnsi" w:eastAsia="+mj-ea" w:hAnsiTheme="minorHAnsi" w:cstheme="minorHAnsi"/>
          <w:bCs/>
          <w:color w:val="000000"/>
          <w:kern w:val="24"/>
          <w:sz w:val="22"/>
        </w:rPr>
        <w:t>Also, t</w:t>
      </w:r>
      <w:r w:rsidR="00D52992" w:rsidRPr="00850944">
        <w:rPr>
          <w:rFonts w:asciiTheme="minorHAnsi" w:eastAsia="+mj-ea" w:hAnsiTheme="minorHAnsi" w:cstheme="minorHAnsi"/>
          <w:bCs/>
          <w:color w:val="000000"/>
          <w:kern w:val="24"/>
          <w:sz w:val="22"/>
        </w:rPr>
        <w:t>he NSP</w:t>
      </w:r>
      <w:r w:rsidR="00D52992">
        <w:rPr>
          <w:rFonts w:asciiTheme="minorHAnsi" w:eastAsia="+mj-ea" w:hAnsiTheme="minorHAnsi" w:cstheme="minorHAnsi"/>
          <w:bCs/>
          <w:color w:val="000000"/>
          <w:kern w:val="24"/>
          <w:sz w:val="22"/>
        </w:rPr>
        <w:t xml:space="preserve"> 2017 2025</w:t>
      </w:r>
      <w:r w:rsidR="00D52992" w:rsidRPr="00850944">
        <w:rPr>
          <w:rFonts w:asciiTheme="minorHAnsi" w:eastAsia="+mj-ea" w:hAnsiTheme="minorHAnsi" w:cstheme="minorHAnsi"/>
          <w:bCs/>
          <w:color w:val="000000"/>
          <w:kern w:val="24"/>
          <w:sz w:val="22"/>
        </w:rPr>
        <w:t xml:space="preserve"> called for “mission-mode” actions.  This needs to be fully realized within and beyond the health sector to enable accountability and fulfillment of vision and goals towards ending TB.  </w:t>
      </w:r>
      <w:r w:rsidR="00D52992">
        <w:rPr>
          <w:rFonts w:asciiTheme="minorHAnsi" w:eastAsia="+mj-ea" w:hAnsiTheme="minorHAnsi" w:cstheme="minorHAnsi"/>
          <w:bCs/>
          <w:color w:val="000000"/>
          <w:kern w:val="24"/>
          <w:sz w:val="22"/>
        </w:rPr>
        <w:t>T</w:t>
      </w:r>
      <w:r w:rsidR="00D52992" w:rsidRPr="00850944">
        <w:rPr>
          <w:rFonts w:asciiTheme="minorHAnsi" w:eastAsia="+mj-ea" w:hAnsiTheme="minorHAnsi" w:cstheme="minorHAnsi"/>
          <w:bCs/>
          <w:color w:val="000000"/>
          <w:kern w:val="24"/>
          <w:sz w:val="22"/>
        </w:rPr>
        <w:t>he M</w:t>
      </w:r>
      <w:r w:rsidR="00D52992">
        <w:rPr>
          <w:rFonts w:asciiTheme="minorHAnsi" w:eastAsia="+mj-ea" w:hAnsiTheme="minorHAnsi" w:cstheme="minorHAnsi"/>
          <w:bCs/>
          <w:color w:val="000000"/>
          <w:kern w:val="24"/>
          <w:sz w:val="22"/>
        </w:rPr>
        <w:t xml:space="preserve">OHFW set forth approaches with the </w:t>
      </w:r>
      <w:r w:rsidR="00D52992" w:rsidRPr="00850944">
        <w:rPr>
          <w:rFonts w:asciiTheme="minorHAnsi" w:eastAsia="+mj-ea" w:hAnsiTheme="minorHAnsi" w:cstheme="minorHAnsi"/>
          <w:bCs/>
          <w:color w:val="000000"/>
          <w:kern w:val="24"/>
          <w:sz w:val="22"/>
        </w:rPr>
        <w:t>aim to meet th</w:t>
      </w:r>
      <w:r w:rsidR="00D52992">
        <w:rPr>
          <w:rFonts w:asciiTheme="minorHAnsi" w:eastAsia="+mj-ea" w:hAnsiTheme="minorHAnsi" w:cstheme="minorHAnsi"/>
          <w:bCs/>
          <w:color w:val="000000"/>
          <w:kern w:val="24"/>
          <w:sz w:val="22"/>
        </w:rPr>
        <w:t xml:space="preserve">e political </w:t>
      </w:r>
      <w:r w:rsidR="00D52992" w:rsidRPr="00850944">
        <w:rPr>
          <w:rFonts w:asciiTheme="minorHAnsi" w:eastAsia="+mj-ea" w:hAnsiTheme="minorHAnsi" w:cstheme="minorHAnsi"/>
          <w:bCs/>
          <w:color w:val="000000"/>
          <w:kern w:val="24"/>
          <w:sz w:val="22"/>
        </w:rPr>
        <w:t>commitments</w:t>
      </w:r>
      <w:r w:rsidR="00D52992">
        <w:rPr>
          <w:rFonts w:asciiTheme="minorHAnsi" w:eastAsia="+mj-ea" w:hAnsiTheme="minorHAnsi" w:cstheme="minorHAnsi"/>
          <w:bCs/>
          <w:color w:val="000000"/>
          <w:kern w:val="24"/>
          <w:sz w:val="22"/>
        </w:rPr>
        <w:t xml:space="preserve"> of the prime minister as well as those that the nation has committed at the UNHLM. </w:t>
      </w:r>
      <w:r w:rsidR="00D52992" w:rsidRPr="00850944">
        <w:rPr>
          <w:rFonts w:asciiTheme="minorHAnsi" w:eastAsia="+mj-ea" w:hAnsiTheme="minorHAnsi" w:cstheme="minorHAnsi"/>
          <w:bCs/>
          <w:color w:val="000000"/>
          <w:kern w:val="24"/>
          <w:sz w:val="22"/>
        </w:rPr>
        <w:t>Important progress has been made in the TB response because of highest-level engagement and commitments made through increased budgets. Yet some of the structures needed to enable a mission mode and accountability still need to be established and activated.</w:t>
      </w:r>
      <w:r w:rsidR="00D52992">
        <w:rPr>
          <w:rFonts w:asciiTheme="minorHAnsi" w:eastAsia="+mj-ea" w:hAnsiTheme="minorHAnsi" w:cstheme="minorHAnsi"/>
          <w:bCs/>
          <w:color w:val="000000"/>
          <w:kern w:val="24"/>
          <w:sz w:val="22"/>
        </w:rPr>
        <w:t xml:space="preserve"> </w:t>
      </w:r>
      <w:r>
        <w:rPr>
          <w:rFonts w:asciiTheme="minorHAnsi" w:eastAsia="+mj-ea" w:hAnsiTheme="minorHAnsi" w:cstheme="minorHAnsi"/>
          <w:bCs/>
          <w:color w:val="000000"/>
          <w:kern w:val="24"/>
          <w:sz w:val="22"/>
        </w:rPr>
        <w:t>However</w:t>
      </w:r>
      <w:r w:rsidR="00D52992">
        <w:rPr>
          <w:rFonts w:asciiTheme="minorHAnsi" w:eastAsia="+mj-ea" w:hAnsiTheme="minorHAnsi" w:cstheme="minorHAnsi"/>
          <w:bCs/>
          <w:color w:val="000000"/>
          <w:kern w:val="24"/>
          <w:sz w:val="22"/>
        </w:rPr>
        <w:t>, t</w:t>
      </w:r>
      <w:r w:rsidR="00D52992" w:rsidRPr="007D274E">
        <w:rPr>
          <w:rFonts w:asciiTheme="minorHAnsi" w:eastAsia="+mj-ea" w:hAnsiTheme="minorHAnsi" w:cstheme="minorHAnsi"/>
          <w:bCs/>
          <w:color w:val="000000"/>
          <w:kern w:val="24"/>
          <w:sz w:val="22"/>
        </w:rPr>
        <w:t>he existence of major new Government-wide initiatives with major resources, high-level support and momentum, including Ayushman Bharat, Public Distribution System (PDS), supplementary nutrition programs, Smart Cities, Ujjwala Yojana, Swachh Bharat</w:t>
      </w:r>
      <w:r w:rsidR="00CC787C">
        <w:rPr>
          <w:rFonts w:asciiTheme="minorHAnsi" w:eastAsia="+mj-ea" w:hAnsiTheme="minorHAnsi" w:cstheme="minorHAnsi"/>
          <w:bCs/>
          <w:color w:val="000000"/>
          <w:kern w:val="24"/>
          <w:sz w:val="22"/>
        </w:rPr>
        <w:t>, etc.</w:t>
      </w:r>
      <w:r w:rsidR="00D52992" w:rsidRPr="007D274E">
        <w:rPr>
          <w:rFonts w:asciiTheme="minorHAnsi" w:eastAsia="+mj-ea" w:hAnsiTheme="minorHAnsi" w:cstheme="minorHAnsi"/>
          <w:bCs/>
          <w:color w:val="000000"/>
          <w:kern w:val="24"/>
          <w:sz w:val="22"/>
        </w:rPr>
        <w:t xml:space="preserve"> all provide major opportunities for collaborations</w:t>
      </w:r>
      <w:r w:rsidR="00CC787C">
        <w:rPr>
          <w:rFonts w:asciiTheme="minorHAnsi" w:eastAsia="+mj-ea" w:hAnsiTheme="minorHAnsi" w:cstheme="minorHAnsi"/>
          <w:bCs/>
          <w:color w:val="000000"/>
          <w:kern w:val="24"/>
          <w:sz w:val="22"/>
        </w:rPr>
        <w:t xml:space="preserve"> and </w:t>
      </w:r>
      <w:r w:rsidR="00CC787C" w:rsidRPr="007D274E">
        <w:rPr>
          <w:rFonts w:asciiTheme="minorHAnsi" w:eastAsia="+mj-ea" w:hAnsiTheme="minorHAnsi" w:cstheme="minorHAnsi"/>
          <w:bCs/>
          <w:color w:val="000000"/>
          <w:kern w:val="24"/>
          <w:sz w:val="22"/>
        </w:rPr>
        <w:t>ending TB objectives</w:t>
      </w:r>
      <w:r w:rsidR="00CC787C">
        <w:rPr>
          <w:rFonts w:asciiTheme="minorHAnsi" w:eastAsia="+mj-ea" w:hAnsiTheme="minorHAnsi" w:cstheme="minorHAnsi"/>
          <w:bCs/>
          <w:color w:val="000000"/>
          <w:kern w:val="24"/>
          <w:sz w:val="22"/>
        </w:rPr>
        <w:t xml:space="preserve">. </w:t>
      </w:r>
      <w:r>
        <w:rPr>
          <w:rFonts w:asciiTheme="minorHAnsi" w:eastAsia="+mj-ea" w:hAnsiTheme="minorHAnsi" w:cstheme="minorHAnsi"/>
          <w:bCs/>
          <w:color w:val="000000"/>
          <w:kern w:val="24"/>
          <w:sz w:val="22"/>
        </w:rPr>
        <w:t>With multisectoral collaboration and accountability ensured by</w:t>
      </w:r>
      <w:r w:rsidR="00CC787C">
        <w:rPr>
          <w:rFonts w:asciiTheme="minorHAnsi" w:eastAsia="+mj-ea" w:hAnsiTheme="minorHAnsi" w:cstheme="minorHAnsi"/>
          <w:bCs/>
          <w:color w:val="000000"/>
          <w:kern w:val="24"/>
          <w:sz w:val="22"/>
        </w:rPr>
        <w:t xml:space="preserve"> creating </w:t>
      </w:r>
      <w:r>
        <w:rPr>
          <w:rFonts w:asciiTheme="minorHAnsi" w:eastAsia="+mj-ea" w:hAnsiTheme="minorHAnsi" w:cstheme="minorHAnsi"/>
          <w:bCs/>
          <w:color w:val="000000"/>
          <w:kern w:val="24"/>
          <w:sz w:val="22"/>
        </w:rPr>
        <w:t>institutional structures</w:t>
      </w:r>
      <w:r w:rsidR="00CC787C">
        <w:rPr>
          <w:rFonts w:asciiTheme="minorHAnsi" w:eastAsia="+mj-ea" w:hAnsiTheme="minorHAnsi" w:cstheme="minorHAnsi"/>
          <w:bCs/>
          <w:color w:val="000000"/>
          <w:kern w:val="24"/>
          <w:sz w:val="22"/>
        </w:rPr>
        <w:t xml:space="preserve"> in the next NSP period</w:t>
      </w:r>
      <w:r>
        <w:rPr>
          <w:rFonts w:asciiTheme="minorHAnsi" w:eastAsia="+mj-ea" w:hAnsiTheme="minorHAnsi" w:cstheme="minorHAnsi"/>
          <w:bCs/>
          <w:color w:val="000000"/>
          <w:kern w:val="24"/>
          <w:sz w:val="22"/>
        </w:rPr>
        <w:t>; it is envisaged that the NTEP will be able to fast track its approach in a mission mode</w:t>
      </w:r>
      <w:r w:rsidR="00CC787C">
        <w:rPr>
          <w:rFonts w:asciiTheme="minorHAnsi" w:eastAsia="+mj-ea" w:hAnsiTheme="minorHAnsi" w:cstheme="minorHAnsi"/>
          <w:bCs/>
          <w:color w:val="000000"/>
          <w:kern w:val="24"/>
          <w:sz w:val="22"/>
        </w:rPr>
        <w:t xml:space="preserve">. </w:t>
      </w:r>
    </w:p>
    <w:p w14:paraId="1EA0814B" w14:textId="26AB94DA" w:rsidR="002F2E11" w:rsidRPr="002F2E11" w:rsidRDefault="00D71A7D" w:rsidP="002F2E11">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11.</w:t>
      </w:r>
      <w:r w:rsidR="00053613">
        <w:rPr>
          <w:rFonts w:asciiTheme="minorHAnsi" w:hAnsiTheme="minorHAnsi" w:cstheme="minorHAnsi"/>
          <w:b/>
          <w:color w:val="C86A07" w:themeColor="accent2" w:themeShade="BF"/>
          <w:sz w:val="28"/>
          <w:lang w:val="en"/>
        </w:rPr>
        <w:t>1.1</w:t>
      </w:r>
      <w:r>
        <w:rPr>
          <w:rFonts w:asciiTheme="minorHAnsi" w:hAnsiTheme="minorHAnsi" w:cstheme="minorHAnsi"/>
          <w:b/>
          <w:color w:val="C86A07" w:themeColor="accent2" w:themeShade="BF"/>
          <w:sz w:val="28"/>
          <w:lang w:val="en"/>
        </w:rPr>
        <w:t xml:space="preserve"> </w:t>
      </w:r>
      <w:r w:rsidR="002F2E11" w:rsidRPr="002F2E11">
        <w:rPr>
          <w:rFonts w:asciiTheme="minorHAnsi" w:hAnsiTheme="minorHAnsi" w:cstheme="minorHAnsi"/>
          <w:b/>
          <w:color w:val="C86A07" w:themeColor="accent2" w:themeShade="BF"/>
          <w:sz w:val="28"/>
          <w:lang w:val="en"/>
        </w:rPr>
        <w:t>Coordination with development partners</w:t>
      </w:r>
    </w:p>
    <w:p w14:paraId="4C9A2E69" w14:textId="525236DD" w:rsidR="002F2E11" w:rsidRPr="00FB23DD" w:rsidRDefault="002F2E11" w:rsidP="002F2E11">
      <w:pPr>
        <w:jc w:val="both"/>
        <w:rPr>
          <w:rFonts w:asciiTheme="minorHAnsi" w:eastAsia="+mj-ea" w:hAnsiTheme="minorHAnsi" w:cstheme="minorHAnsi"/>
          <w:bCs/>
          <w:kern w:val="24"/>
          <w:sz w:val="22"/>
        </w:rPr>
      </w:pPr>
      <w:bookmarkStart w:id="41" w:name="_gjlqs61h1htu" w:colFirst="0" w:colLast="0"/>
      <w:bookmarkStart w:id="42" w:name="_fz7r7x2w2l4s" w:colFirst="0" w:colLast="0"/>
      <w:bookmarkEnd w:id="41"/>
      <w:bookmarkEnd w:id="42"/>
      <w:r w:rsidRPr="00FB23DD">
        <w:rPr>
          <w:rFonts w:asciiTheme="minorHAnsi" w:eastAsia="+mj-ea" w:hAnsiTheme="minorHAnsi" w:cstheme="minorHAnsi"/>
          <w:bCs/>
          <w:kern w:val="24"/>
          <w:sz w:val="22"/>
        </w:rPr>
        <w:t>India has increased funding from the domestic budget substantially in the last couple of years. Having recognized that, the NTEP has been receiving support (23% of National TB Budget) from multilateral and bilateral organizations to accelerate efforts towards elimination of TB in India. Key stakeholders which contribute to the NTEP in India are World Bank, Global Fund for AIDS, TB and Malaria, USAID, Bill &amp; Melinda Gates Foundation, World Health Organization, UNOPS</w:t>
      </w:r>
      <w:r w:rsidR="009C7DF3">
        <w:rPr>
          <w:rFonts w:asciiTheme="minorHAnsi" w:eastAsia="+mj-ea" w:hAnsiTheme="minorHAnsi" w:cstheme="minorHAnsi"/>
          <w:bCs/>
          <w:kern w:val="24"/>
          <w:sz w:val="22"/>
        </w:rPr>
        <w:t xml:space="preserve"> amongst others</w:t>
      </w:r>
      <w:r w:rsidRPr="00FB23DD">
        <w:rPr>
          <w:rFonts w:asciiTheme="minorHAnsi" w:eastAsia="+mj-ea" w:hAnsiTheme="minorHAnsi" w:cstheme="minorHAnsi"/>
          <w:bCs/>
          <w:kern w:val="24"/>
          <w:sz w:val="22"/>
        </w:rPr>
        <w:t xml:space="preserve">. </w:t>
      </w:r>
    </w:p>
    <w:p w14:paraId="51F351FA" w14:textId="77777777" w:rsidR="002F2E11" w:rsidRPr="00FB23DD" w:rsidRDefault="002F2E11" w:rsidP="002F2E11">
      <w:pPr>
        <w:jc w:val="both"/>
        <w:rPr>
          <w:rFonts w:asciiTheme="minorHAnsi" w:eastAsia="+mj-ea" w:hAnsiTheme="minorHAnsi" w:cstheme="minorHAnsi"/>
          <w:bCs/>
          <w:kern w:val="24"/>
          <w:sz w:val="22"/>
        </w:rPr>
      </w:pPr>
      <w:bookmarkStart w:id="43" w:name="_s7pdnu69vj3u" w:colFirst="0" w:colLast="0"/>
      <w:bookmarkEnd w:id="43"/>
      <w:r w:rsidRPr="00FB23DD">
        <w:rPr>
          <w:rFonts w:asciiTheme="minorHAnsi" w:eastAsia="+mj-ea" w:hAnsiTheme="minorHAnsi" w:cstheme="minorHAnsi"/>
          <w:bCs/>
          <w:kern w:val="24"/>
          <w:sz w:val="22"/>
        </w:rPr>
        <w:t xml:space="preserve">Coordination with multiple development partners, donor agencies and implementing partners working for TB care and control in the country will be strengthened through a collaborative partnership forum. This forum will be established at Centre, State and District level and will provide a platform for facilitating engagement, to avoid duplication of efforts and for knowledge management. The scope of the forum will not be limited to only implementation level, but it will be used to reach for funding gap in implementing strategies of National Strategic Plan. </w:t>
      </w:r>
    </w:p>
    <w:p w14:paraId="7E9CC9DF" w14:textId="08A4D56E" w:rsidR="002F2E11" w:rsidRPr="00FB23DD" w:rsidRDefault="002F2E11" w:rsidP="002F2E11">
      <w:pPr>
        <w:spacing w:before="0" w:after="0"/>
        <w:jc w:val="both"/>
        <w:rPr>
          <w:rFonts w:asciiTheme="minorHAnsi" w:hAnsiTheme="minorHAnsi" w:cstheme="minorHAnsi"/>
          <w:sz w:val="22"/>
        </w:rPr>
      </w:pPr>
      <w:r w:rsidRPr="00FB23DD">
        <w:rPr>
          <w:rFonts w:asciiTheme="minorHAnsi" w:hAnsiTheme="minorHAnsi" w:cstheme="minorHAnsi"/>
          <w:sz w:val="22"/>
        </w:rPr>
        <w:lastRenderedPageBreak/>
        <w:t xml:space="preserve">It is important for the programme to put upfront the key strategic areas in which partnership is required. List of broad strategic areas in which funding agencies may invest to support NTEP in India are given below, but not limited to it.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44" w:type="dxa"/>
          <w:right w:w="144" w:type="dxa"/>
        </w:tblCellMar>
        <w:tblLook w:val="0600" w:firstRow="0" w:lastRow="0" w:firstColumn="0" w:lastColumn="0" w:noHBand="1" w:noVBand="1"/>
      </w:tblPr>
      <w:tblGrid>
        <w:gridCol w:w="4420"/>
        <w:gridCol w:w="4609"/>
      </w:tblGrid>
      <w:tr w:rsidR="002F2E11" w:rsidRPr="002F2E11" w14:paraId="1E06906B" w14:textId="77777777" w:rsidTr="00780CDC">
        <w:tc>
          <w:tcPr>
            <w:tcW w:w="4420" w:type="dxa"/>
            <w:shd w:val="clear" w:color="auto" w:fill="auto"/>
            <w:tcMar>
              <w:top w:w="0" w:type="dxa"/>
              <w:left w:w="144" w:type="dxa"/>
              <w:bottom w:w="0" w:type="dxa"/>
              <w:right w:w="72" w:type="dxa"/>
            </w:tcMar>
          </w:tcPr>
          <w:p w14:paraId="1B4DE8D3" w14:textId="626DD159" w:rsidR="002F2E11" w:rsidRPr="00B11890" w:rsidRDefault="00780CDC"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Diagnosis of Latent TB infection and TB Preventive Treatment</w:t>
            </w:r>
          </w:p>
        </w:tc>
        <w:tc>
          <w:tcPr>
            <w:tcW w:w="4609" w:type="dxa"/>
            <w:shd w:val="clear" w:color="auto" w:fill="auto"/>
            <w:tcMar>
              <w:top w:w="0" w:type="dxa"/>
              <w:left w:w="144" w:type="dxa"/>
              <w:bottom w:w="0" w:type="dxa"/>
              <w:right w:w="72" w:type="dxa"/>
            </w:tcMar>
          </w:tcPr>
          <w:p w14:paraId="16E9AFB6"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Direct Benefit Transfer</w:t>
            </w:r>
          </w:p>
        </w:tc>
      </w:tr>
      <w:tr w:rsidR="002F2E11" w:rsidRPr="002F2E11" w14:paraId="33A0B4E9" w14:textId="77777777" w:rsidTr="00780CDC">
        <w:tc>
          <w:tcPr>
            <w:tcW w:w="4420" w:type="dxa"/>
            <w:shd w:val="clear" w:color="auto" w:fill="auto"/>
            <w:tcMar>
              <w:top w:w="0" w:type="dxa"/>
              <w:left w:w="144" w:type="dxa"/>
              <w:bottom w:w="0" w:type="dxa"/>
              <w:right w:w="72" w:type="dxa"/>
            </w:tcMar>
          </w:tcPr>
          <w:p w14:paraId="7CDF0E4B"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Airborne infection control measures</w:t>
            </w:r>
          </w:p>
        </w:tc>
        <w:tc>
          <w:tcPr>
            <w:tcW w:w="4609" w:type="dxa"/>
            <w:shd w:val="clear" w:color="auto" w:fill="auto"/>
            <w:tcMar>
              <w:top w:w="0" w:type="dxa"/>
              <w:left w:w="144" w:type="dxa"/>
              <w:bottom w:w="0" w:type="dxa"/>
              <w:right w:w="72" w:type="dxa"/>
            </w:tcMar>
          </w:tcPr>
          <w:p w14:paraId="143440A5"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Active Case Finding</w:t>
            </w:r>
          </w:p>
        </w:tc>
      </w:tr>
      <w:tr w:rsidR="002F2E11" w:rsidRPr="002F2E11" w14:paraId="1CCC8AF8" w14:textId="77777777" w:rsidTr="00780CDC">
        <w:tc>
          <w:tcPr>
            <w:tcW w:w="4420" w:type="dxa"/>
            <w:shd w:val="clear" w:color="auto" w:fill="auto"/>
            <w:tcMar>
              <w:top w:w="0" w:type="dxa"/>
              <w:left w:w="144" w:type="dxa"/>
              <w:bottom w:w="0" w:type="dxa"/>
              <w:right w:w="72" w:type="dxa"/>
            </w:tcMar>
          </w:tcPr>
          <w:p w14:paraId="3749269C"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Improving treatment adherence</w:t>
            </w:r>
          </w:p>
        </w:tc>
        <w:tc>
          <w:tcPr>
            <w:tcW w:w="4609" w:type="dxa"/>
            <w:shd w:val="clear" w:color="auto" w:fill="auto"/>
            <w:tcMar>
              <w:top w:w="0" w:type="dxa"/>
              <w:left w:w="144" w:type="dxa"/>
              <w:bottom w:w="0" w:type="dxa"/>
              <w:right w:w="72" w:type="dxa"/>
            </w:tcMar>
          </w:tcPr>
          <w:p w14:paraId="0C5B11F5"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Contract Management</w:t>
            </w:r>
          </w:p>
        </w:tc>
      </w:tr>
      <w:tr w:rsidR="002F2E11" w:rsidRPr="002F2E11" w14:paraId="341CF74B" w14:textId="77777777" w:rsidTr="00780CDC">
        <w:tc>
          <w:tcPr>
            <w:tcW w:w="4420" w:type="dxa"/>
            <w:shd w:val="clear" w:color="auto" w:fill="auto"/>
            <w:tcMar>
              <w:top w:w="0" w:type="dxa"/>
              <w:left w:w="144" w:type="dxa"/>
              <w:bottom w:w="0" w:type="dxa"/>
              <w:right w:w="72" w:type="dxa"/>
            </w:tcMar>
          </w:tcPr>
          <w:p w14:paraId="6DFC10F3"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Reduce out-of-pocket expenditure</w:t>
            </w:r>
          </w:p>
        </w:tc>
        <w:tc>
          <w:tcPr>
            <w:tcW w:w="4609" w:type="dxa"/>
            <w:shd w:val="clear" w:color="auto" w:fill="auto"/>
            <w:tcMar>
              <w:top w:w="0" w:type="dxa"/>
              <w:left w:w="144" w:type="dxa"/>
              <w:bottom w:w="0" w:type="dxa"/>
              <w:right w:w="72" w:type="dxa"/>
            </w:tcMar>
          </w:tcPr>
          <w:p w14:paraId="7A2337B4"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Digital tools for information management and project management</w:t>
            </w:r>
          </w:p>
        </w:tc>
      </w:tr>
      <w:tr w:rsidR="002F2E11" w:rsidRPr="002F2E11" w14:paraId="181E73C3" w14:textId="77777777" w:rsidTr="00780CDC">
        <w:tc>
          <w:tcPr>
            <w:tcW w:w="4420" w:type="dxa"/>
            <w:shd w:val="clear" w:color="auto" w:fill="auto"/>
            <w:tcMar>
              <w:top w:w="0" w:type="dxa"/>
              <w:left w:w="144" w:type="dxa"/>
              <w:bottom w:w="0" w:type="dxa"/>
              <w:right w:w="72" w:type="dxa"/>
            </w:tcMar>
          </w:tcPr>
          <w:p w14:paraId="5647B84F"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Private health care provider engagement</w:t>
            </w:r>
          </w:p>
        </w:tc>
        <w:tc>
          <w:tcPr>
            <w:tcW w:w="4609" w:type="dxa"/>
            <w:shd w:val="clear" w:color="auto" w:fill="auto"/>
            <w:tcMar>
              <w:top w:w="0" w:type="dxa"/>
              <w:left w:w="144" w:type="dxa"/>
              <w:bottom w:w="0" w:type="dxa"/>
              <w:right w:w="72" w:type="dxa"/>
            </w:tcMar>
          </w:tcPr>
          <w:p w14:paraId="18769428"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Accelerating adoption of newer tools (diagnostics, drugs, vaccine)</w:t>
            </w:r>
          </w:p>
        </w:tc>
      </w:tr>
      <w:tr w:rsidR="002F2E11" w:rsidRPr="002F2E11" w14:paraId="13ABB38F" w14:textId="77777777" w:rsidTr="00780CDC">
        <w:tc>
          <w:tcPr>
            <w:tcW w:w="4420" w:type="dxa"/>
            <w:shd w:val="clear" w:color="auto" w:fill="auto"/>
            <w:tcMar>
              <w:top w:w="0" w:type="dxa"/>
              <w:left w:w="144" w:type="dxa"/>
              <w:bottom w:w="0" w:type="dxa"/>
              <w:right w:w="72" w:type="dxa"/>
            </w:tcMar>
          </w:tcPr>
          <w:p w14:paraId="634BC047"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Public health action for TB patients in private sector</w:t>
            </w:r>
          </w:p>
        </w:tc>
        <w:tc>
          <w:tcPr>
            <w:tcW w:w="4609" w:type="dxa"/>
            <w:shd w:val="clear" w:color="auto" w:fill="auto"/>
            <w:tcMar>
              <w:top w:w="0" w:type="dxa"/>
              <w:left w:w="144" w:type="dxa"/>
              <w:bottom w:w="0" w:type="dxa"/>
              <w:right w:w="72" w:type="dxa"/>
            </w:tcMar>
          </w:tcPr>
          <w:p w14:paraId="6C1C45B9"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Programmatic Management of Drug Resistant TB</w:t>
            </w:r>
          </w:p>
        </w:tc>
      </w:tr>
      <w:tr w:rsidR="002F2E11" w:rsidRPr="002F2E11" w14:paraId="1DD67D97" w14:textId="77777777" w:rsidTr="00780CDC">
        <w:tc>
          <w:tcPr>
            <w:tcW w:w="4420" w:type="dxa"/>
            <w:shd w:val="clear" w:color="auto" w:fill="auto"/>
            <w:tcMar>
              <w:top w:w="0" w:type="dxa"/>
              <w:left w:w="144" w:type="dxa"/>
              <w:bottom w:w="0" w:type="dxa"/>
              <w:right w:w="72" w:type="dxa"/>
            </w:tcMar>
          </w:tcPr>
          <w:p w14:paraId="3D143769"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Access to free diagnostics and drugs to TB patients in private sector</w:t>
            </w:r>
          </w:p>
        </w:tc>
        <w:tc>
          <w:tcPr>
            <w:tcW w:w="4609" w:type="dxa"/>
            <w:shd w:val="clear" w:color="auto" w:fill="auto"/>
            <w:tcMar>
              <w:top w:w="0" w:type="dxa"/>
              <w:left w:w="144" w:type="dxa"/>
              <w:bottom w:w="0" w:type="dxa"/>
              <w:right w:w="72" w:type="dxa"/>
            </w:tcMar>
          </w:tcPr>
          <w:p w14:paraId="4B9E9567"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Surveillance</w:t>
            </w:r>
          </w:p>
        </w:tc>
      </w:tr>
      <w:tr w:rsidR="002F2E11" w:rsidRPr="002F2E11" w14:paraId="6DAFB333" w14:textId="77777777" w:rsidTr="00780CDC">
        <w:tc>
          <w:tcPr>
            <w:tcW w:w="4420" w:type="dxa"/>
            <w:shd w:val="clear" w:color="auto" w:fill="auto"/>
            <w:tcMar>
              <w:top w:w="0" w:type="dxa"/>
              <w:left w:w="144" w:type="dxa"/>
              <w:bottom w:w="0" w:type="dxa"/>
              <w:right w:w="72" w:type="dxa"/>
            </w:tcMar>
          </w:tcPr>
          <w:p w14:paraId="489CD648"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Use of Artificial Intelligence for automation or augmentation of programme interventions</w:t>
            </w:r>
          </w:p>
        </w:tc>
        <w:tc>
          <w:tcPr>
            <w:tcW w:w="4609" w:type="dxa"/>
            <w:shd w:val="clear" w:color="auto" w:fill="auto"/>
            <w:tcMar>
              <w:top w:w="0" w:type="dxa"/>
              <w:left w:w="144" w:type="dxa"/>
              <w:bottom w:w="0" w:type="dxa"/>
              <w:right w:w="72" w:type="dxa"/>
            </w:tcMar>
          </w:tcPr>
          <w:p w14:paraId="43D56C7C" w14:textId="77777777" w:rsidR="002F2E11" w:rsidRPr="00B11890" w:rsidRDefault="002F2E11" w:rsidP="00575DDF">
            <w:pPr>
              <w:pStyle w:val="ListParagraph"/>
              <w:widowControl w:val="0"/>
              <w:numPr>
                <w:ilvl w:val="0"/>
                <w:numId w:val="132"/>
              </w:numPr>
              <w:pBdr>
                <w:top w:val="nil"/>
                <w:left w:val="nil"/>
                <w:bottom w:val="nil"/>
                <w:right w:val="nil"/>
                <w:between w:val="nil"/>
              </w:pBdr>
              <w:spacing w:before="0" w:after="0"/>
              <w:rPr>
                <w:rFonts w:asciiTheme="minorHAnsi" w:hAnsiTheme="minorHAnsi" w:cstheme="minorHAnsi"/>
                <w:sz w:val="22"/>
              </w:rPr>
            </w:pPr>
            <w:r w:rsidRPr="00B11890">
              <w:rPr>
                <w:rFonts w:asciiTheme="minorHAnsi" w:hAnsiTheme="minorHAnsi" w:cstheme="minorHAnsi"/>
                <w:sz w:val="22"/>
              </w:rPr>
              <w:t>Research</w:t>
            </w:r>
          </w:p>
        </w:tc>
      </w:tr>
    </w:tbl>
    <w:p w14:paraId="0EA6D8FD" w14:textId="3039DC7D" w:rsidR="002F2E11" w:rsidRDefault="00D71A7D" w:rsidP="002F2E11">
      <w:pPr>
        <w:jc w:val="both"/>
        <w:rPr>
          <w:rFonts w:asciiTheme="minorHAnsi" w:hAnsiTheme="minorHAnsi" w:cstheme="minorHAnsi"/>
          <w:b/>
          <w:color w:val="C86A07" w:themeColor="accent2" w:themeShade="BF"/>
          <w:sz w:val="28"/>
          <w:lang w:val="en"/>
        </w:rPr>
      </w:pPr>
      <w:bookmarkStart w:id="44" w:name="_o0flrlpn77ej" w:colFirst="0" w:colLast="0"/>
      <w:bookmarkEnd w:id="44"/>
      <w:r>
        <w:rPr>
          <w:rFonts w:asciiTheme="minorHAnsi" w:hAnsiTheme="minorHAnsi" w:cstheme="minorHAnsi"/>
          <w:b/>
          <w:color w:val="C86A07" w:themeColor="accent2" w:themeShade="BF"/>
          <w:sz w:val="28"/>
          <w:lang w:val="en"/>
        </w:rPr>
        <w:t>11.</w:t>
      </w:r>
      <w:r w:rsidR="00053613">
        <w:rPr>
          <w:rFonts w:asciiTheme="minorHAnsi" w:hAnsiTheme="minorHAnsi" w:cstheme="minorHAnsi"/>
          <w:b/>
          <w:color w:val="C86A07" w:themeColor="accent2" w:themeShade="BF"/>
          <w:sz w:val="28"/>
          <w:lang w:val="en"/>
        </w:rPr>
        <w:t>1.2</w:t>
      </w:r>
      <w:r>
        <w:rPr>
          <w:rFonts w:asciiTheme="minorHAnsi" w:hAnsiTheme="minorHAnsi" w:cstheme="minorHAnsi"/>
          <w:b/>
          <w:color w:val="C86A07" w:themeColor="accent2" w:themeShade="BF"/>
          <w:sz w:val="28"/>
          <w:lang w:val="en"/>
        </w:rPr>
        <w:t xml:space="preserve"> </w:t>
      </w:r>
      <w:r w:rsidR="002F2E11" w:rsidRPr="002F2E11">
        <w:rPr>
          <w:rFonts w:asciiTheme="minorHAnsi" w:hAnsiTheme="minorHAnsi" w:cstheme="minorHAnsi"/>
          <w:b/>
          <w:color w:val="C86A07" w:themeColor="accent2" w:themeShade="BF"/>
          <w:sz w:val="28"/>
          <w:lang w:val="en"/>
        </w:rPr>
        <w:t xml:space="preserve">Collaboration with departments/divisions within </w:t>
      </w:r>
      <w:bookmarkStart w:id="45" w:name="_lxn75k6mfat9" w:colFirst="0" w:colLast="0"/>
      <w:bookmarkStart w:id="46" w:name="_en5gqxb5r586" w:colFirst="0" w:colLast="0"/>
      <w:bookmarkEnd w:id="45"/>
      <w:bookmarkEnd w:id="46"/>
      <w:r w:rsidR="00FB23DD">
        <w:rPr>
          <w:rFonts w:asciiTheme="minorHAnsi" w:hAnsiTheme="minorHAnsi" w:cstheme="minorHAnsi"/>
          <w:b/>
          <w:color w:val="C86A07" w:themeColor="accent2" w:themeShade="BF"/>
          <w:sz w:val="28"/>
          <w:lang w:val="en"/>
        </w:rPr>
        <w:t>MOHFW</w:t>
      </w:r>
      <w:r w:rsidR="002F2E11">
        <w:rPr>
          <w:rFonts w:asciiTheme="minorHAnsi" w:hAnsiTheme="minorHAnsi" w:cstheme="minorHAnsi"/>
          <w:b/>
          <w:color w:val="C86A07" w:themeColor="accent2" w:themeShade="BF"/>
          <w:sz w:val="28"/>
          <w:lang w:val="en"/>
        </w:rPr>
        <w:t xml:space="preserve"> </w:t>
      </w:r>
    </w:p>
    <w:p w14:paraId="3E63F2DF" w14:textId="48450C2D" w:rsidR="002F2E11" w:rsidRPr="00FB23DD" w:rsidRDefault="002F2E11" w:rsidP="002F2E11">
      <w:pPr>
        <w:jc w:val="both"/>
        <w:rPr>
          <w:rFonts w:asciiTheme="minorHAnsi" w:eastAsia="+mj-ea" w:hAnsiTheme="minorHAnsi" w:cstheme="minorHAnsi"/>
          <w:bCs/>
          <w:kern w:val="24"/>
          <w:sz w:val="22"/>
        </w:rPr>
      </w:pPr>
      <w:r w:rsidRPr="00FB23DD">
        <w:rPr>
          <w:rFonts w:asciiTheme="minorHAnsi" w:eastAsia="+mj-ea" w:hAnsiTheme="minorHAnsi" w:cstheme="minorHAnsi"/>
          <w:bCs/>
          <w:kern w:val="24"/>
          <w:sz w:val="22"/>
        </w:rPr>
        <w:t xml:space="preserve">Under the </w:t>
      </w:r>
      <w:r w:rsidR="00E21FF6" w:rsidRPr="00FB23DD">
        <w:rPr>
          <w:rFonts w:asciiTheme="minorHAnsi" w:eastAsia="+mj-ea" w:hAnsiTheme="minorHAnsi" w:cstheme="minorHAnsi"/>
          <w:bCs/>
          <w:kern w:val="24"/>
          <w:sz w:val="22"/>
        </w:rPr>
        <w:t>NTEP</w:t>
      </w:r>
      <w:r w:rsidRPr="00FB23DD">
        <w:rPr>
          <w:rFonts w:asciiTheme="minorHAnsi" w:eastAsia="+mj-ea" w:hAnsiTheme="minorHAnsi" w:cstheme="minorHAnsi"/>
          <w:bCs/>
          <w:kern w:val="24"/>
          <w:sz w:val="22"/>
        </w:rPr>
        <w:t xml:space="preserve">, </w:t>
      </w:r>
      <w:r w:rsidR="00E21FF6" w:rsidRPr="00FB23DD">
        <w:rPr>
          <w:rFonts w:asciiTheme="minorHAnsi" w:eastAsia="+mj-ea" w:hAnsiTheme="minorHAnsi" w:cstheme="minorHAnsi"/>
          <w:bCs/>
          <w:kern w:val="24"/>
          <w:sz w:val="22"/>
        </w:rPr>
        <w:t>HIV-TB</w:t>
      </w:r>
      <w:r w:rsidRPr="00FB23DD">
        <w:rPr>
          <w:rFonts w:asciiTheme="minorHAnsi" w:eastAsia="+mj-ea" w:hAnsiTheme="minorHAnsi" w:cstheme="minorHAnsi"/>
          <w:bCs/>
          <w:kern w:val="24"/>
          <w:sz w:val="22"/>
        </w:rPr>
        <w:t xml:space="preserve"> </w:t>
      </w:r>
      <w:r w:rsidR="00FB23DD" w:rsidRPr="00FB23DD">
        <w:rPr>
          <w:rFonts w:asciiTheme="minorHAnsi" w:eastAsia="+mj-ea" w:hAnsiTheme="minorHAnsi" w:cstheme="minorHAnsi"/>
          <w:bCs/>
          <w:kern w:val="24"/>
          <w:sz w:val="22"/>
        </w:rPr>
        <w:t>collaboration has</w:t>
      </w:r>
      <w:r w:rsidRPr="00FB23DD">
        <w:rPr>
          <w:rFonts w:asciiTheme="minorHAnsi" w:eastAsia="+mj-ea" w:hAnsiTheme="minorHAnsi" w:cstheme="minorHAnsi"/>
          <w:bCs/>
          <w:kern w:val="24"/>
          <w:sz w:val="22"/>
        </w:rPr>
        <w:t xml:space="preserve"> been a success story. The collaboration has not only improved care of TB among PLHIV and </w:t>
      </w:r>
      <w:r w:rsidR="00E21FF6" w:rsidRPr="00FB23DD">
        <w:rPr>
          <w:rFonts w:asciiTheme="minorHAnsi" w:eastAsia="+mj-ea" w:hAnsiTheme="minorHAnsi" w:cstheme="minorHAnsi"/>
          <w:bCs/>
          <w:kern w:val="24"/>
          <w:sz w:val="22"/>
        </w:rPr>
        <w:t>HIV</w:t>
      </w:r>
      <w:r w:rsidRPr="00FB23DD">
        <w:rPr>
          <w:rFonts w:asciiTheme="minorHAnsi" w:eastAsia="+mj-ea" w:hAnsiTheme="minorHAnsi" w:cstheme="minorHAnsi"/>
          <w:bCs/>
          <w:kern w:val="24"/>
          <w:sz w:val="22"/>
        </w:rPr>
        <w:t xml:space="preserve"> care among </w:t>
      </w:r>
      <w:r w:rsidR="00E21FF6" w:rsidRPr="00FB23DD">
        <w:rPr>
          <w:rFonts w:asciiTheme="minorHAnsi" w:eastAsia="+mj-ea" w:hAnsiTheme="minorHAnsi" w:cstheme="minorHAnsi"/>
          <w:bCs/>
          <w:kern w:val="24"/>
          <w:sz w:val="22"/>
        </w:rPr>
        <w:t>TB</w:t>
      </w:r>
      <w:r w:rsidRPr="00FB23DD">
        <w:rPr>
          <w:rFonts w:asciiTheme="minorHAnsi" w:eastAsia="+mj-ea" w:hAnsiTheme="minorHAnsi" w:cstheme="minorHAnsi"/>
          <w:bCs/>
          <w:kern w:val="24"/>
          <w:sz w:val="22"/>
        </w:rPr>
        <w:t xml:space="preserve"> patients, systematic arrangements like single window delivery addressed patient care in a more holistic manner. The </w:t>
      </w:r>
      <w:r w:rsidR="00E21FF6" w:rsidRPr="00FB23DD">
        <w:rPr>
          <w:rFonts w:asciiTheme="minorHAnsi" w:eastAsia="+mj-ea" w:hAnsiTheme="minorHAnsi" w:cstheme="minorHAnsi"/>
          <w:bCs/>
          <w:kern w:val="24"/>
          <w:sz w:val="22"/>
        </w:rPr>
        <w:t>NTEP</w:t>
      </w:r>
      <w:r w:rsidRPr="00FB23DD">
        <w:rPr>
          <w:rFonts w:asciiTheme="minorHAnsi" w:eastAsia="+mj-ea" w:hAnsiTheme="minorHAnsi" w:cstheme="minorHAnsi"/>
          <w:bCs/>
          <w:kern w:val="24"/>
          <w:sz w:val="22"/>
        </w:rPr>
        <w:t xml:space="preserve"> has been now moving further and has engaged with </w:t>
      </w:r>
      <w:r w:rsidR="00E21FF6" w:rsidRPr="00FB23DD">
        <w:rPr>
          <w:rFonts w:asciiTheme="minorHAnsi" w:eastAsia="+mj-ea" w:hAnsiTheme="minorHAnsi" w:cstheme="minorHAnsi"/>
          <w:bCs/>
          <w:kern w:val="24"/>
          <w:sz w:val="22"/>
        </w:rPr>
        <w:t>NPCDC</w:t>
      </w:r>
      <w:r w:rsidRPr="00FB23DD">
        <w:rPr>
          <w:rFonts w:asciiTheme="minorHAnsi" w:eastAsia="+mj-ea" w:hAnsiTheme="minorHAnsi" w:cstheme="minorHAnsi"/>
          <w:bCs/>
          <w:kern w:val="24"/>
          <w:sz w:val="22"/>
        </w:rPr>
        <w:t xml:space="preserve"> to address diabetes among </w:t>
      </w:r>
      <w:r w:rsidR="00E21FF6" w:rsidRPr="00FB23DD">
        <w:rPr>
          <w:rFonts w:asciiTheme="minorHAnsi" w:eastAsia="+mj-ea" w:hAnsiTheme="minorHAnsi" w:cstheme="minorHAnsi"/>
          <w:bCs/>
          <w:kern w:val="24"/>
          <w:sz w:val="22"/>
        </w:rPr>
        <w:t>TB</w:t>
      </w:r>
      <w:r w:rsidRPr="00FB23DD">
        <w:rPr>
          <w:rFonts w:asciiTheme="minorHAnsi" w:eastAsia="+mj-ea" w:hAnsiTheme="minorHAnsi" w:cstheme="minorHAnsi"/>
          <w:bCs/>
          <w:kern w:val="24"/>
          <w:sz w:val="22"/>
        </w:rPr>
        <w:t xml:space="preserve"> patients and vice versa. </w:t>
      </w:r>
      <w:r w:rsidR="00E21FF6" w:rsidRPr="00FB23DD">
        <w:rPr>
          <w:rFonts w:asciiTheme="minorHAnsi" w:eastAsia="+mj-ea" w:hAnsiTheme="minorHAnsi" w:cstheme="minorHAnsi"/>
          <w:bCs/>
          <w:kern w:val="24"/>
          <w:sz w:val="22"/>
        </w:rPr>
        <w:t>NTCP</w:t>
      </w:r>
      <w:r w:rsidRPr="00FB23DD">
        <w:rPr>
          <w:rFonts w:asciiTheme="minorHAnsi" w:eastAsia="+mj-ea" w:hAnsiTheme="minorHAnsi" w:cstheme="minorHAnsi"/>
          <w:bCs/>
          <w:kern w:val="24"/>
          <w:sz w:val="22"/>
        </w:rPr>
        <w:t xml:space="preserve"> has been engaged to address </w:t>
      </w:r>
      <w:r w:rsidR="00E21FF6" w:rsidRPr="00FB23DD">
        <w:rPr>
          <w:rFonts w:asciiTheme="minorHAnsi" w:eastAsia="+mj-ea" w:hAnsiTheme="minorHAnsi" w:cstheme="minorHAnsi"/>
          <w:bCs/>
          <w:kern w:val="24"/>
          <w:sz w:val="22"/>
        </w:rPr>
        <w:t>TB</w:t>
      </w:r>
      <w:r w:rsidRPr="00FB23DD">
        <w:rPr>
          <w:rFonts w:asciiTheme="minorHAnsi" w:eastAsia="+mj-ea" w:hAnsiTheme="minorHAnsi" w:cstheme="minorHAnsi"/>
          <w:bCs/>
          <w:kern w:val="24"/>
          <w:sz w:val="22"/>
        </w:rPr>
        <w:t xml:space="preserve">-tobacco comorbidity and it is in the process of establishing close collaboration with </w:t>
      </w:r>
      <w:r w:rsidR="00E21FF6" w:rsidRPr="00FB23DD">
        <w:rPr>
          <w:rFonts w:asciiTheme="minorHAnsi" w:eastAsia="+mj-ea" w:hAnsiTheme="minorHAnsi" w:cstheme="minorHAnsi"/>
          <w:bCs/>
          <w:kern w:val="24"/>
          <w:sz w:val="22"/>
        </w:rPr>
        <w:t>MCH</w:t>
      </w:r>
      <w:r w:rsidRPr="00FB23DD">
        <w:rPr>
          <w:rFonts w:asciiTheme="minorHAnsi" w:eastAsia="+mj-ea" w:hAnsiTheme="minorHAnsi" w:cstheme="minorHAnsi"/>
          <w:bCs/>
          <w:kern w:val="24"/>
          <w:sz w:val="22"/>
        </w:rPr>
        <w:t xml:space="preserve"> division for </w:t>
      </w:r>
      <w:r w:rsidR="00E21FF6" w:rsidRPr="00FB23DD">
        <w:rPr>
          <w:rFonts w:asciiTheme="minorHAnsi" w:eastAsia="+mj-ea" w:hAnsiTheme="minorHAnsi" w:cstheme="minorHAnsi"/>
          <w:bCs/>
          <w:kern w:val="24"/>
          <w:sz w:val="22"/>
        </w:rPr>
        <w:t>TB</w:t>
      </w:r>
      <w:r w:rsidRPr="00FB23DD">
        <w:rPr>
          <w:rFonts w:asciiTheme="minorHAnsi" w:eastAsia="+mj-ea" w:hAnsiTheme="minorHAnsi" w:cstheme="minorHAnsi"/>
          <w:bCs/>
          <w:kern w:val="24"/>
          <w:sz w:val="22"/>
        </w:rPr>
        <w:t xml:space="preserve"> management in pregnancy and among children. The programme has also formed a </w:t>
      </w:r>
      <w:r w:rsidR="00E21FF6" w:rsidRPr="00FB23DD">
        <w:rPr>
          <w:rFonts w:asciiTheme="minorHAnsi" w:eastAsia="+mj-ea" w:hAnsiTheme="minorHAnsi" w:cstheme="minorHAnsi"/>
          <w:bCs/>
          <w:kern w:val="24"/>
          <w:sz w:val="22"/>
        </w:rPr>
        <w:t>TB</w:t>
      </w:r>
      <w:r w:rsidRPr="00FB23DD">
        <w:rPr>
          <w:rFonts w:asciiTheme="minorHAnsi" w:eastAsia="+mj-ea" w:hAnsiTheme="minorHAnsi" w:cstheme="minorHAnsi"/>
          <w:bCs/>
          <w:kern w:val="24"/>
          <w:sz w:val="22"/>
        </w:rPr>
        <w:t>-comorbidity committee, replacing individual disease specific committees.</w:t>
      </w:r>
      <w:r w:rsidR="00E21FF6" w:rsidRPr="00FB23DD">
        <w:rPr>
          <w:rFonts w:asciiTheme="minorHAnsi" w:eastAsia="+mj-ea" w:hAnsiTheme="minorHAnsi" w:cstheme="minorHAnsi"/>
          <w:bCs/>
          <w:kern w:val="24"/>
          <w:sz w:val="22"/>
        </w:rPr>
        <w:t xml:space="preserve"> </w:t>
      </w:r>
    </w:p>
    <w:p w14:paraId="1B692FFA" w14:textId="34E53EB6" w:rsidR="002F2E11" w:rsidRPr="00FB23DD" w:rsidRDefault="00E21FF6" w:rsidP="002F2E11">
      <w:pPr>
        <w:spacing w:before="0" w:after="0"/>
        <w:rPr>
          <w:rFonts w:asciiTheme="minorHAnsi" w:hAnsiTheme="minorHAnsi" w:cstheme="minorHAnsi"/>
          <w:sz w:val="22"/>
        </w:rPr>
      </w:pPr>
      <w:r w:rsidRPr="00FB23DD">
        <w:rPr>
          <w:rFonts w:asciiTheme="minorHAnsi" w:hAnsiTheme="minorHAnsi" w:cstheme="minorHAnsi"/>
          <w:sz w:val="22"/>
        </w:rPr>
        <w:t>T</w:t>
      </w:r>
      <w:r w:rsidR="002F2E11" w:rsidRPr="00FB23DD">
        <w:rPr>
          <w:rFonts w:asciiTheme="minorHAnsi" w:hAnsiTheme="minorHAnsi" w:cstheme="minorHAnsi"/>
          <w:sz w:val="22"/>
        </w:rPr>
        <w:t xml:space="preserve">o address </w:t>
      </w:r>
      <w:r w:rsidRPr="00FB23DD">
        <w:rPr>
          <w:rFonts w:asciiTheme="minorHAnsi" w:hAnsiTheme="minorHAnsi" w:cstheme="minorHAnsi"/>
          <w:sz w:val="22"/>
        </w:rPr>
        <w:t>TB</w:t>
      </w:r>
      <w:r w:rsidR="002F2E11" w:rsidRPr="00FB23DD">
        <w:rPr>
          <w:rFonts w:asciiTheme="minorHAnsi" w:hAnsiTheme="minorHAnsi" w:cstheme="minorHAnsi"/>
          <w:sz w:val="22"/>
        </w:rPr>
        <w:t xml:space="preserve"> in a more holistic way and increase the reach with the approach of “go where patient goes”, </w:t>
      </w:r>
      <w:r w:rsidRPr="00FB23DD">
        <w:rPr>
          <w:rFonts w:asciiTheme="minorHAnsi" w:hAnsiTheme="minorHAnsi" w:cstheme="minorHAnsi"/>
          <w:sz w:val="22"/>
        </w:rPr>
        <w:t>NTEP</w:t>
      </w:r>
      <w:r w:rsidR="002F2E11" w:rsidRPr="00FB23DD">
        <w:rPr>
          <w:rFonts w:asciiTheme="minorHAnsi" w:hAnsiTheme="minorHAnsi" w:cstheme="minorHAnsi"/>
          <w:sz w:val="22"/>
        </w:rPr>
        <w:t xml:space="preserve"> will collaborate with the following departments.</w:t>
      </w:r>
    </w:p>
    <w:tbl>
      <w:tblPr>
        <w:tblW w:w="9029" w:type="dxa"/>
        <w:tblInd w:w="100" w:type="dxa"/>
        <w:shd w:val="clear" w:color="auto" w:fill="C6D9F1" w:themeFill="text2" w:themeFillTint="33"/>
        <w:tblLayout w:type="fixed"/>
        <w:tblLook w:val="0600" w:firstRow="0" w:lastRow="0" w:firstColumn="0" w:lastColumn="0" w:noHBand="1" w:noVBand="1"/>
      </w:tblPr>
      <w:tblGrid>
        <w:gridCol w:w="3250"/>
        <w:gridCol w:w="5779"/>
      </w:tblGrid>
      <w:tr w:rsidR="00FB23DD" w:rsidRPr="00FB23DD" w14:paraId="4BF44D15" w14:textId="77777777" w:rsidTr="007C7DFE">
        <w:trPr>
          <w:trHeight w:val="375"/>
        </w:trPr>
        <w:tc>
          <w:tcPr>
            <w:tcW w:w="3250" w:type="dxa"/>
            <w:shd w:val="clear" w:color="auto" w:fill="C6D9F1" w:themeFill="text2" w:themeFillTint="33"/>
            <w:tcMar>
              <w:top w:w="0" w:type="dxa"/>
              <w:left w:w="43" w:type="dxa"/>
              <w:bottom w:w="0" w:type="dxa"/>
              <w:right w:w="0" w:type="dxa"/>
            </w:tcMar>
          </w:tcPr>
          <w:p w14:paraId="12FC28E7" w14:textId="77777777" w:rsidR="002F2E11" w:rsidRPr="00BF1177" w:rsidRDefault="002F2E11" w:rsidP="002F2E11">
            <w:pPr>
              <w:widowControl w:val="0"/>
              <w:pBdr>
                <w:top w:val="nil"/>
                <w:left w:val="nil"/>
                <w:bottom w:val="nil"/>
                <w:right w:val="nil"/>
                <w:between w:val="nil"/>
              </w:pBdr>
              <w:spacing w:before="0" w:after="0"/>
              <w:rPr>
                <w:rFonts w:asciiTheme="minorHAnsi" w:hAnsiTheme="minorHAnsi" w:cstheme="minorHAnsi"/>
                <w:b/>
                <w:sz w:val="22"/>
              </w:rPr>
            </w:pPr>
            <w:r w:rsidRPr="00BF1177">
              <w:rPr>
                <w:rFonts w:asciiTheme="minorHAnsi" w:hAnsiTheme="minorHAnsi" w:cstheme="minorHAnsi"/>
                <w:b/>
                <w:sz w:val="22"/>
              </w:rPr>
              <w:t>Department of Health Research</w:t>
            </w:r>
          </w:p>
        </w:tc>
        <w:tc>
          <w:tcPr>
            <w:tcW w:w="5779" w:type="dxa"/>
            <w:shd w:val="clear" w:color="auto" w:fill="C6D9F1" w:themeFill="text2" w:themeFillTint="33"/>
            <w:tcMar>
              <w:top w:w="0" w:type="dxa"/>
              <w:left w:w="43" w:type="dxa"/>
              <w:bottom w:w="0" w:type="dxa"/>
              <w:right w:w="0" w:type="dxa"/>
            </w:tcMar>
          </w:tcPr>
          <w:p w14:paraId="6EB9E335"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Ongoing collaboration for TB Prevalence Survey and ITRC</w:t>
            </w:r>
          </w:p>
          <w:p w14:paraId="6C4E586B"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Health technology assessment</w:t>
            </w:r>
          </w:p>
          <w:p w14:paraId="14A2FDEE"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Validation and feasibility study of newer tools</w:t>
            </w:r>
          </w:p>
        </w:tc>
      </w:tr>
      <w:tr w:rsidR="00FB23DD" w:rsidRPr="00FB23DD" w14:paraId="60D4A4C3" w14:textId="77777777" w:rsidTr="007C7DFE">
        <w:tc>
          <w:tcPr>
            <w:tcW w:w="3250" w:type="dxa"/>
            <w:shd w:val="clear" w:color="auto" w:fill="F2F2F2" w:themeFill="background1" w:themeFillShade="F2"/>
            <w:tcMar>
              <w:top w:w="0" w:type="dxa"/>
              <w:left w:w="43" w:type="dxa"/>
              <w:bottom w:w="0" w:type="dxa"/>
              <w:right w:w="0" w:type="dxa"/>
            </w:tcMar>
          </w:tcPr>
          <w:p w14:paraId="763DEC40" w14:textId="77777777" w:rsidR="002F2E11" w:rsidRPr="00BF1177" w:rsidRDefault="002F2E11" w:rsidP="002F2E11">
            <w:pPr>
              <w:widowControl w:val="0"/>
              <w:pBdr>
                <w:top w:val="nil"/>
                <w:left w:val="nil"/>
                <w:bottom w:val="nil"/>
                <w:right w:val="nil"/>
                <w:between w:val="nil"/>
              </w:pBdr>
              <w:spacing w:before="0" w:after="0"/>
              <w:rPr>
                <w:rFonts w:asciiTheme="minorHAnsi" w:hAnsiTheme="minorHAnsi" w:cstheme="minorHAnsi"/>
                <w:b/>
                <w:sz w:val="22"/>
              </w:rPr>
            </w:pPr>
            <w:r w:rsidRPr="00BF1177">
              <w:rPr>
                <w:rFonts w:asciiTheme="minorHAnsi" w:hAnsiTheme="minorHAnsi" w:cstheme="minorHAnsi"/>
                <w:b/>
                <w:sz w:val="22"/>
              </w:rPr>
              <w:t>NCDC</w:t>
            </w:r>
          </w:p>
        </w:tc>
        <w:tc>
          <w:tcPr>
            <w:tcW w:w="5779" w:type="dxa"/>
            <w:shd w:val="clear" w:color="auto" w:fill="F2F2F2" w:themeFill="background1" w:themeFillShade="F2"/>
            <w:tcMar>
              <w:top w:w="0" w:type="dxa"/>
              <w:left w:w="43" w:type="dxa"/>
              <w:bottom w:w="0" w:type="dxa"/>
              <w:right w:w="0" w:type="dxa"/>
            </w:tcMar>
          </w:tcPr>
          <w:p w14:paraId="409D5A59"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Surveillance</w:t>
            </w:r>
          </w:p>
          <w:p w14:paraId="6F9FCEFD"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IHIP Integration</w:t>
            </w:r>
          </w:p>
        </w:tc>
      </w:tr>
      <w:tr w:rsidR="00FB23DD" w:rsidRPr="00FB23DD" w14:paraId="7BF8E883" w14:textId="77777777" w:rsidTr="007C7DFE">
        <w:tc>
          <w:tcPr>
            <w:tcW w:w="3250" w:type="dxa"/>
            <w:shd w:val="clear" w:color="auto" w:fill="C6D9F1" w:themeFill="text2" w:themeFillTint="33"/>
            <w:tcMar>
              <w:top w:w="0" w:type="dxa"/>
              <w:left w:w="43" w:type="dxa"/>
              <w:bottom w:w="0" w:type="dxa"/>
              <w:right w:w="0" w:type="dxa"/>
            </w:tcMar>
          </w:tcPr>
          <w:p w14:paraId="58C1B98F" w14:textId="77777777" w:rsidR="002F2E11" w:rsidRPr="00BF1177" w:rsidRDefault="002F2E11" w:rsidP="002F2E11">
            <w:pPr>
              <w:widowControl w:val="0"/>
              <w:pBdr>
                <w:top w:val="nil"/>
                <w:left w:val="nil"/>
                <w:bottom w:val="nil"/>
                <w:right w:val="nil"/>
                <w:between w:val="nil"/>
              </w:pBdr>
              <w:spacing w:before="0" w:after="0"/>
              <w:rPr>
                <w:rFonts w:asciiTheme="minorHAnsi" w:hAnsiTheme="minorHAnsi" w:cstheme="minorHAnsi"/>
                <w:b/>
                <w:sz w:val="22"/>
              </w:rPr>
            </w:pPr>
            <w:r w:rsidRPr="00BF1177">
              <w:rPr>
                <w:rFonts w:asciiTheme="minorHAnsi" w:hAnsiTheme="minorHAnsi" w:cstheme="minorHAnsi"/>
                <w:b/>
                <w:sz w:val="22"/>
              </w:rPr>
              <w:t>e-Health</w:t>
            </w:r>
          </w:p>
        </w:tc>
        <w:tc>
          <w:tcPr>
            <w:tcW w:w="5779" w:type="dxa"/>
            <w:shd w:val="clear" w:color="auto" w:fill="C6D9F1" w:themeFill="text2" w:themeFillTint="33"/>
            <w:tcMar>
              <w:top w:w="0" w:type="dxa"/>
              <w:left w:w="43" w:type="dxa"/>
              <w:bottom w:w="0" w:type="dxa"/>
              <w:right w:w="0" w:type="dxa"/>
            </w:tcMar>
          </w:tcPr>
          <w:p w14:paraId="1AF8924C"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Electronic Health Records</w:t>
            </w:r>
          </w:p>
          <w:p w14:paraId="4D111DF0"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MDDS compliance</w:t>
            </w:r>
          </w:p>
          <w:p w14:paraId="24B66019"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Integration with Mera Aspatal</w:t>
            </w:r>
          </w:p>
          <w:p w14:paraId="039165BE"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Integration with other digital intervention of the Ministry</w:t>
            </w:r>
          </w:p>
        </w:tc>
      </w:tr>
      <w:tr w:rsidR="00FB23DD" w:rsidRPr="00FB23DD" w14:paraId="246A7CC8" w14:textId="77777777" w:rsidTr="007C7DFE">
        <w:tc>
          <w:tcPr>
            <w:tcW w:w="3250" w:type="dxa"/>
            <w:shd w:val="clear" w:color="auto" w:fill="F2F2F2" w:themeFill="background1" w:themeFillShade="F2"/>
            <w:tcMar>
              <w:top w:w="0" w:type="dxa"/>
              <w:left w:w="43" w:type="dxa"/>
              <w:bottom w:w="0" w:type="dxa"/>
              <w:right w:w="0" w:type="dxa"/>
            </w:tcMar>
          </w:tcPr>
          <w:p w14:paraId="16FCD62A" w14:textId="77777777" w:rsidR="002F2E11" w:rsidRPr="00BF1177" w:rsidRDefault="002F2E11" w:rsidP="002F2E11">
            <w:pPr>
              <w:widowControl w:val="0"/>
              <w:pBdr>
                <w:top w:val="nil"/>
                <w:left w:val="nil"/>
                <w:bottom w:val="nil"/>
                <w:right w:val="nil"/>
                <w:between w:val="nil"/>
              </w:pBdr>
              <w:spacing w:before="0" w:after="0"/>
              <w:rPr>
                <w:rFonts w:asciiTheme="minorHAnsi" w:hAnsiTheme="minorHAnsi" w:cstheme="minorHAnsi"/>
                <w:b/>
                <w:sz w:val="22"/>
              </w:rPr>
            </w:pPr>
            <w:r w:rsidRPr="00BF1177">
              <w:rPr>
                <w:rFonts w:asciiTheme="minorHAnsi" w:hAnsiTheme="minorHAnsi" w:cstheme="minorHAnsi"/>
                <w:b/>
                <w:sz w:val="22"/>
              </w:rPr>
              <w:t>Mental Health</w:t>
            </w:r>
          </w:p>
        </w:tc>
        <w:tc>
          <w:tcPr>
            <w:tcW w:w="5779" w:type="dxa"/>
            <w:shd w:val="clear" w:color="auto" w:fill="F2F2F2" w:themeFill="background1" w:themeFillShade="F2"/>
            <w:tcMar>
              <w:top w:w="0" w:type="dxa"/>
              <w:left w:w="43" w:type="dxa"/>
              <w:bottom w:w="0" w:type="dxa"/>
              <w:right w:w="0" w:type="dxa"/>
            </w:tcMar>
          </w:tcPr>
          <w:p w14:paraId="7CB0C45F"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Patient Support</w:t>
            </w:r>
          </w:p>
        </w:tc>
      </w:tr>
      <w:tr w:rsidR="00FB23DD" w:rsidRPr="00FB23DD" w14:paraId="4223D7D2" w14:textId="77777777" w:rsidTr="007C7DFE">
        <w:tc>
          <w:tcPr>
            <w:tcW w:w="3250" w:type="dxa"/>
            <w:shd w:val="clear" w:color="auto" w:fill="C6D9F1" w:themeFill="text2" w:themeFillTint="33"/>
            <w:tcMar>
              <w:top w:w="0" w:type="dxa"/>
              <w:left w:w="43" w:type="dxa"/>
              <w:bottom w:w="0" w:type="dxa"/>
              <w:right w:w="0" w:type="dxa"/>
            </w:tcMar>
          </w:tcPr>
          <w:p w14:paraId="2441B955" w14:textId="77777777" w:rsidR="002F2E11" w:rsidRPr="00BF1177" w:rsidRDefault="002F2E11" w:rsidP="002F2E11">
            <w:pPr>
              <w:widowControl w:val="0"/>
              <w:pBdr>
                <w:top w:val="nil"/>
                <w:left w:val="nil"/>
                <w:bottom w:val="nil"/>
                <w:right w:val="nil"/>
                <w:between w:val="nil"/>
              </w:pBdr>
              <w:spacing w:before="0" w:after="0"/>
              <w:rPr>
                <w:rFonts w:asciiTheme="minorHAnsi" w:hAnsiTheme="minorHAnsi" w:cstheme="minorHAnsi"/>
                <w:b/>
                <w:sz w:val="22"/>
              </w:rPr>
            </w:pPr>
            <w:r w:rsidRPr="00BF1177">
              <w:rPr>
                <w:rFonts w:asciiTheme="minorHAnsi" w:hAnsiTheme="minorHAnsi" w:cstheme="minorHAnsi"/>
                <w:b/>
                <w:sz w:val="22"/>
              </w:rPr>
              <w:t>Medical Council of India</w:t>
            </w:r>
          </w:p>
        </w:tc>
        <w:tc>
          <w:tcPr>
            <w:tcW w:w="5779" w:type="dxa"/>
            <w:shd w:val="clear" w:color="auto" w:fill="C6D9F1" w:themeFill="text2" w:themeFillTint="33"/>
            <w:tcMar>
              <w:top w:w="0" w:type="dxa"/>
              <w:left w:w="43" w:type="dxa"/>
              <w:bottom w:w="0" w:type="dxa"/>
              <w:right w:w="0" w:type="dxa"/>
            </w:tcMar>
          </w:tcPr>
          <w:p w14:paraId="086FBFF5"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Medical College Involvement</w:t>
            </w:r>
          </w:p>
        </w:tc>
      </w:tr>
      <w:tr w:rsidR="00FB23DD" w:rsidRPr="00FB23DD" w14:paraId="00EC9310" w14:textId="77777777" w:rsidTr="007C7DFE">
        <w:tc>
          <w:tcPr>
            <w:tcW w:w="3250" w:type="dxa"/>
            <w:shd w:val="clear" w:color="auto" w:fill="F2F2F2" w:themeFill="background1" w:themeFillShade="F2"/>
            <w:tcMar>
              <w:top w:w="0" w:type="dxa"/>
              <w:left w:w="43" w:type="dxa"/>
              <w:bottom w:w="0" w:type="dxa"/>
              <w:right w:w="0" w:type="dxa"/>
            </w:tcMar>
          </w:tcPr>
          <w:p w14:paraId="741B6781" w14:textId="77777777" w:rsidR="002F2E11" w:rsidRPr="00BF1177" w:rsidRDefault="002F2E11" w:rsidP="002F2E11">
            <w:pPr>
              <w:widowControl w:val="0"/>
              <w:pBdr>
                <w:top w:val="nil"/>
                <w:left w:val="nil"/>
                <w:bottom w:val="nil"/>
                <w:right w:val="nil"/>
                <w:between w:val="nil"/>
              </w:pBdr>
              <w:spacing w:before="0" w:after="0"/>
              <w:rPr>
                <w:rFonts w:asciiTheme="minorHAnsi" w:hAnsiTheme="minorHAnsi" w:cstheme="minorHAnsi"/>
                <w:b/>
                <w:sz w:val="22"/>
              </w:rPr>
            </w:pPr>
            <w:r w:rsidRPr="00BF1177">
              <w:rPr>
                <w:rFonts w:asciiTheme="minorHAnsi" w:hAnsiTheme="minorHAnsi" w:cstheme="minorHAnsi"/>
                <w:b/>
                <w:sz w:val="22"/>
              </w:rPr>
              <w:t>Nursing Council of India</w:t>
            </w:r>
          </w:p>
        </w:tc>
        <w:tc>
          <w:tcPr>
            <w:tcW w:w="5779" w:type="dxa"/>
            <w:shd w:val="clear" w:color="auto" w:fill="F2F2F2" w:themeFill="background1" w:themeFillShade="F2"/>
            <w:tcMar>
              <w:top w:w="0" w:type="dxa"/>
              <w:left w:w="43" w:type="dxa"/>
              <w:bottom w:w="0" w:type="dxa"/>
              <w:right w:w="0" w:type="dxa"/>
            </w:tcMar>
          </w:tcPr>
          <w:p w14:paraId="5A5EC65C"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Involvement of Nursing Colleges</w:t>
            </w:r>
          </w:p>
        </w:tc>
      </w:tr>
      <w:tr w:rsidR="00FB23DD" w:rsidRPr="00FB23DD" w14:paraId="59A8FA46" w14:textId="77777777" w:rsidTr="007C7DFE">
        <w:tc>
          <w:tcPr>
            <w:tcW w:w="3250" w:type="dxa"/>
            <w:shd w:val="clear" w:color="auto" w:fill="C6D9F1" w:themeFill="text2" w:themeFillTint="33"/>
            <w:tcMar>
              <w:top w:w="0" w:type="dxa"/>
              <w:left w:w="43" w:type="dxa"/>
              <w:bottom w:w="0" w:type="dxa"/>
              <w:right w:w="0" w:type="dxa"/>
            </w:tcMar>
          </w:tcPr>
          <w:p w14:paraId="0ED285E9" w14:textId="77777777" w:rsidR="002F2E11" w:rsidRPr="00BF1177" w:rsidRDefault="002F2E11" w:rsidP="002F2E11">
            <w:pPr>
              <w:widowControl w:val="0"/>
              <w:pBdr>
                <w:top w:val="nil"/>
                <w:left w:val="nil"/>
                <w:bottom w:val="nil"/>
                <w:right w:val="nil"/>
                <w:between w:val="nil"/>
              </w:pBdr>
              <w:spacing w:before="0" w:after="0"/>
              <w:rPr>
                <w:rFonts w:asciiTheme="minorHAnsi" w:hAnsiTheme="minorHAnsi" w:cstheme="minorHAnsi"/>
                <w:b/>
                <w:sz w:val="22"/>
              </w:rPr>
            </w:pPr>
            <w:r w:rsidRPr="00BF1177">
              <w:rPr>
                <w:rFonts w:asciiTheme="minorHAnsi" w:hAnsiTheme="minorHAnsi" w:cstheme="minorHAnsi"/>
                <w:b/>
                <w:sz w:val="22"/>
              </w:rPr>
              <w:t>CGHS</w:t>
            </w:r>
          </w:p>
        </w:tc>
        <w:tc>
          <w:tcPr>
            <w:tcW w:w="5779" w:type="dxa"/>
            <w:shd w:val="clear" w:color="auto" w:fill="C6D9F1" w:themeFill="text2" w:themeFillTint="33"/>
            <w:tcMar>
              <w:top w:w="0" w:type="dxa"/>
              <w:left w:w="43" w:type="dxa"/>
              <w:bottom w:w="0" w:type="dxa"/>
              <w:right w:w="0" w:type="dxa"/>
            </w:tcMar>
          </w:tcPr>
          <w:p w14:paraId="3D67FEDB" w14:textId="70E43820"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 xml:space="preserve">TB services at CGHS health facilities and CGHS </w:t>
            </w:r>
            <w:r w:rsidR="00693FC5" w:rsidRPr="00FB23DD">
              <w:rPr>
                <w:rFonts w:asciiTheme="minorHAnsi" w:hAnsiTheme="minorHAnsi" w:cstheme="minorHAnsi"/>
                <w:sz w:val="22"/>
              </w:rPr>
              <w:t>empaneled</w:t>
            </w:r>
            <w:r w:rsidRPr="00FB23DD">
              <w:rPr>
                <w:rFonts w:asciiTheme="minorHAnsi" w:hAnsiTheme="minorHAnsi" w:cstheme="minorHAnsi"/>
                <w:sz w:val="22"/>
              </w:rPr>
              <w:t xml:space="preserve"> private hospitals</w:t>
            </w:r>
          </w:p>
        </w:tc>
      </w:tr>
      <w:tr w:rsidR="00FB23DD" w:rsidRPr="00FB23DD" w14:paraId="0BEEF619" w14:textId="77777777" w:rsidTr="007C7DFE">
        <w:tc>
          <w:tcPr>
            <w:tcW w:w="3250" w:type="dxa"/>
            <w:shd w:val="clear" w:color="auto" w:fill="F2F2F2" w:themeFill="background1" w:themeFillShade="F2"/>
            <w:tcMar>
              <w:top w:w="0" w:type="dxa"/>
              <w:left w:w="43" w:type="dxa"/>
              <w:bottom w:w="0" w:type="dxa"/>
              <w:right w:w="0" w:type="dxa"/>
            </w:tcMar>
          </w:tcPr>
          <w:p w14:paraId="4296485D" w14:textId="77777777" w:rsidR="002F2E11" w:rsidRPr="00BF1177" w:rsidRDefault="002F2E11" w:rsidP="002F2E11">
            <w:pPr>
              <w:widowControl w:val="0"/>
              <w:pBdr>
                <w:top w:val="nil"/>
                <w:left w:val="nil"/>
                <w:bottom w:val="nil"/>
                <w:right w:val="nil"/>
                <w:between w:val="nil"/>
              </w:pBdr>
              <w:spacing w:before="0" w:after="0"/>
              <w:rPr>
                <w:rFonts w:asciiTheme="minorHAnsi" w:hAnsiTheme="minorHAnsi" w:cstheme="minorHAnsi"/>
                <w:b/>
                <w:sz w:val="22"/>
              </w:rPr>
            </w:pPr>
            <w:r w:rsidRPr="00BF1177">
              <w:rPr>
                <w:rFonts w:asciiTheme="minorHAnsi" w:hAnsiTheme="minorHAnsi" w:cstheme="minorHAnsi"/>
                <w:b/>
                <w:sz w:val="22"/>
              </w:rPr>
              <w:t>National Health Authority</w:t>
            </w:r>
          </w:p>
        </w:tc>
        <w:tc>
          <w:tcPr>
            <w:tcW w:w="5779" w:type="dxa"/>
            <w:shd w:val="clear" w:color="auto" w:fill="F2F2F2" w:themeFill="background1" w:themeFillShade="F2"/>
            <w:tcMar>
              <w:top w:w="0" w:type="dxa"/>
              <w:left w:w="43" w:type="dxa"/>
              <w:bottom w:w="0" w:type="dxa"/>
              <w:right w:w="0" w:type="dxa"/>
            </w:tcMar>
          </w:tcPr>
          <w:p w14:paraId="1A62F812" w14:textId="79EEF48F"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 xml:space="preserve">Engagement with PMJAY </w:t>
            </w:r>
            <w:r w:rsidR="00693FC5" w:rsidRPr="00FB23DD">
              <w:rPr>
                <w:rFonts w:asciiTheme="minorHAnsi" w:hAnsiTheme="minorHAnsi" w:cstheme="minorHAnsi"/>
                <w:sz w:val="22"/>
              </w:rPr>
              <w:t>empaneled</w:t>
            </w:r>
            <w:r w:rsidRPr="00FB23DD">
              <w:rPr>
                <w:rFonts w:asciiTheme="minorHAnsi" w:hAnsiTheme="minorHAnsi" w:cstheme="minorHAnsi"/>
                <w:sz w:val="22"/>
              </w:rPr>
              <w:t xml:space="preserve"> hospitals</w:t>
            </w:r>
          </w:p>
          <w:p w14:paraId="61D38DAC"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TB service package under PMJAY</w:t>
            </w:r>
          </w:p>
        </w:tc>
      </w:tr>
      <w:tr w:rsidR="00FB23DD" w:rsidRPr="00FB23DD" w14:paraId="11F8ECAA" w14:textId="77777777" w:rsidTr="007C7DFE">
        <w:tc>
          <w:tcPr>
            <w:tcW w:w="3250" w:type="dxa"/>
            <w:shd w:val="clear" w:color="auto" w:fill="C6D9F1" w:themeFill="text2" w:themeFillTint="33"/>
            <w:tcMar>
              <w:top w:w="0" w:type="dxa"/>
              <w:left w:w="43" w:type="dxa"/>
              <w:bottom w:w="0" w:type="dxa"/>
              <w:right w:w="0" w:type="dxa"/>
            </w:tcMar>
          </w:tcPr>
          <w:p w14:paraId="6963E529" w14:textId="77777777" w:rsidR="002F2E11" w:rsidRPr="00BF1177" w:rsidRDefault="002F2E11" w:rsidP="002F2E11">
            <w:pPr>
              <w:widowControl w:val="0"/>
              <w:pBdr>
                <w:top w:val="nil"/>
                <w:left w:val="nil"/>
                <w:bottom w:val="nil"/>
                <w:right w:val="nil"/>
                <w:between w:val="nil"/>
              </w:pBdr>
              <w:spacing w:before="0" w:after="0"/>
              <w:rPr>
                <w:rFonts w:asciiTheme="minorHAnsi" w:hAnsiTheme="minorHAnsi" w:cstheme="minorHAnsi"/>
                <w:b/>
                <w:sz w:val="22"/>
              </w:rPr>
            </w:pPr>
            <w:r w:rsidRPr="00BF1177">
              <w:rPr>
                <w:rFonts w:asciiTheme="minorHAnsi" w:hAnsiTheme="minorHAnsi" w:cstheme="minorHAnsi"/>
                <w:b/>
                <w:sz w:val="22"/>
              </w:rPr>
              <w:t>CDCSO</w:t>
            </w:r>
          </w:p>
        </w:tc>
        <w:tc>
          <w:tcPr>
            <w:tcW w:w="5779" w:type="dxa"/>
            <w:shd w:val="clear" w:color="auto" w:fill="C6D9F1" w:themeFill="text2" w:themeFillTint="33"/>
            <w:tcMar>
              <w:top w:w="0" w:type="dxa"/>
              <w:left w:w="43" w:type="dxa"/>
              <w:bottom w:w="0" w:type="dxa"/>
              <w:right w:w="0" w:type="dxa"/>
            </w:tcMar>
          </w:tcPr>
          <w:p w14:paraId="385B4C0F"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Leverage Schedule H1 provisions</w:t>
            </w:r>
          </w:p>
          <w:p w14:paraId="2181A016"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Access to anti-TB drugs in private market</w:t>
            </w:r>
          </w:p>
          <w:p w14:paraId="04E72E28"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lastRenderedPageBreak/>
              <w:t>Engagement with pharmaceutical agencies for drug access</w:t>
            </w:r>
          </w:p>
          <w:p w14:paraId="33E276EB" w14:textId="77777777" w:rsidR="002F2E11" w:rsidRPr="00FB23DD" w:rsidRDefault="002F2E11" w:rsidP="009136E5">
            <w:pPr>
              <w:pStyle w:val="ListParagraph"/>
              <w:widowControl w:val="0"/>
              <w:numPr>
                <w:ilvl w:val="0"/>
                <w:numId w:val="121"/>
              </w:numPr>
              <w:pBdr>
                <w:top w:val="nil"/>
                <w:left w:val="nil"/>
                <w:bottom w:val="nil"/>
                <w:right w:val="nil"/>
                <w:between w:val="nil"/>
              </w:pBdr>
              <w:spacing w:before="0" w:after="0"/>
              <w:rPr>
                <w:rFonts w:asciiTheme="minorHAnsi" w:hAnsiTheme="minorHAnsi" w:cstheme="minorHAnsi"/>
                <w:sz w:val="22"/>
              </w:rPr>
            </w:pPr>
            <w:r w:rsidRPr="00FB23DD">
              <w:rPr>
                <w:rFonts w:asciiTheme="minorHAnsi" w:hAnsiTheme="minorHAnsi" w:cstheme="minorHAnsi"/>
                <w:sz w:val="22"/>
              </w:rPr>
              <w:t>Drug sales surveillance</w:t>
            </w:r>
          </w:p>
        </w:tc>
      </w:tr>
    </w:tbl>
    <w:p w14:paraId="4A5E09F8" w14:textId="5B204D1B" w:rsidR="00FB23DD" w:rsidRDefault="00053613" w:rsidP="00FB23DD">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lastRenderedPageBreak/>
        <w:t xml:space="preserve">11.1.3 </w:t>
      </w:r>
      <w:r w:rsidR="002F2E11" w:rsidRPr="00FB23DD">
        <w:rPr>
          <w:rFonts w:asciiTheme="minorHAnsi" w:hAnsiTheme="minorHAnsi" w:cstheme="minorHAnsi"/>
          <w:b/>
          <w:color w:val="C86A07" w:themeColor="accent2" w:themeShade="BF"/>
          <w:sz w:val="28"/>
          <w:lang w:val="en"/>
        </w:rPr>
        <w:t>Involveme</w:t>
      </w:r>
      <w:r w:rsidR="00FB23DD">
        <w:rPr>
          <w:rFonts w:asciiTheme="minorHAnsi" w:hAnsiTheme="minorHAnsi" w:cstheme="minorHAnsi"/>
          <w:b/>
          <w:color w:val="C86A07" w:themeColor="accent2" w:themeShade="BF"/>
          <w:sz w:val="28"/>
          <w:lang w:val="en"/>
        </w:rPr>
        <w:t xml:space="preserve">nt of Medical colleges in RNTCP </w:t>
      </w:r>
    </w:p>
    <w:p w14:paraId="7F9C2F40" w14:textId="14B15EBD" w:rsidR="002F2E11" w:rsidRPr="00FB23DD" w:rsidRDefault="002F2E11" w:rsidP="00FB23DD">
      <w:pPr>
        <w:jc w:val="both"/>
        <w:rPr>
          <w:rFonts w:asciiTheme="minorHAnsi" w:hAnsiTheme="minorHAnsi" w:cstheme="minorHAnsi"/>
          <w:b/>
          <w:sz w:val="28"/>
          <w:lang w:val="en"/>
        </w:rPr>
      </w:pPr>
      <w:r w:rsidRPr="00FB23DD">
        <w:rPr>
          <w:rFonts w:asciiTheme="minorHAnsi" w:hAnsiTheme="minorHAnsi" w:cstheme="minorHAnsi"/>
          <w:sz w:val="22"/>
        </w:rPr>
        <w:t xml:space="preserve">To widen access and improving the quality of TB services, involvement of medical colleges and their hospitals is of paramount importance. The current mechanism of their involvement through structured task forces at national, zonal and state levels will be continued during the NSP period.  The role of the task forces will continue to be as it is. The main role of the NTF will be to recommend policy suggestion regarding medical colleges’ involvement in the RNTCP and monitor the activities of the ZTF. The ZTF will facilitate the establishment, functioning, and monitoring of State Task Forces (STF), and coordinate between the NTF and STF. The STF will facilitate establishment of DMCs and DOT centres, in all the medical colleges in the respective states. </w:t>
      </w:r>
    </w:p>
    <w:p w14:paraId="25CD9F24" w14:textId="77777777" w:rsidR="002F2E11" w:rsidRPr="00FB23DD" w:rsidRDefault="002F2E11" w:rsidP="002F2E11">
      <w:pPr>
        <w:spacing w:before="0" w:after="0"/>
        <w:jc w:val="both"/>
        <w:rPr>
          <w:rFonts w:asciiTheme="minorHAnsi" w:hAnsiTheme="minorHAnsi" w:cstheme="minorHAnsi"/>
          <w:sz w:val="22"/>
        </w:rPr>
      </w:pPr>
      <w:r w:rsidRPr="00FB23DD">
        <w:rPr>
          <w:rFonts w:asciiTheme="minorHAnsi" w:hAnsiTheme="minorHAnsi" w:cstheme="minorHAnsi"/>
          <w:sz w:val="22"/>
        </w:rPr>
        <w:t>Scope of activities of medical colleges are going to be expanded with increasing diagnostic and treatment services in newer areas of TB control efforts. This will include following:</w:t>
      </w:r>
    </w:p>
    <w:p w14:paraId="402A9076" w14:textId="77777777" w:rsidR="002F2E11" w:rsidRPr="00FB23DD" w:rsidRDefault="002F2E11" w:rsidP="009136E5">
      <w:pPr>
        <w:numPr>
          <w:ilvl w:val="0"/>
          <w:numId w:val="120"/>
        </w:numPr>
        <w:spacing w:before="0" w:after="0"/>
        <w:jc w:val="both"/>
        <w:rPr>
          <w:rFonts w:asciiTheme="minorHAnsi" w:hAnsiTheme="minorHAnsi" w:cstheme="minorHAnsi"/>
          <w:sz w:val="22"/>
        </w:rPr>
      </w:pPr>
      <w:r w:rsidRPr="00FB23DD">
        <w:rPr>
          <w:rFonts w:asciiTheme="minorHAnsi" w:hAnsiTheme="minorHAnsi" w:cstheme="minorHAnsi"/>
          <w:sz w:val="22"/>
        </w:rPr>
        <w:t xml:space="preserve">Decentralized drug resistant TB services: DR-TB wards will be expanded to more number of medical colleges to support district level DR-TB treatment services.  These DR-TB centres in medical colleges will be useful for management of not only MDR-TB but, for DST-guided treatment, newer regimen use and management of complicated cases of drug resistant TB. Existing staff of medical college i.e. medical officer and TB-HV will be utilized for these DR-TB wards for coordination with the programme and DTC data entry operator will support e-communications  and for MIS operations.   </w:t>
      </w:r>
    </w:p>
    <w:p w14:paraId="3BF4E140" w14:textId="77777777" w:rsidR="002F2E11" w:rsidRPr="00FB23DD" w:rsidRDefault="002F2E11" w:rsidP="009136E5">
      <w:pPr>
        <w:numPr>
          <w:ilvl w:val="0"/>
          <w:numId w:val="120"/>
        </w:numPr>
        <w:spacing w:before="0" w:after="0"/>
        <w:jc w:val="both"/>
        <w:rPr>
          <w:rFonts w:asciiTheme="minorHAnsi" w:hAnsiTheme="minorHAnsi" w:cstheme="minorHAnsi"/>
          <w:sz w:val="22"/>
        </w:rPr>
      </w:pPr>
      <w:r w:rsidRPr="00FB23DD">
        <w:rPr>
          <w:rFonts w:asciiTheme="minorHAnsi" w:hAnsiTheme="minorHAnsi" w:cstheme="minorHAnsi"/>
          <w:sz w:val="22"/>
        </w:rPr>
        <w:t xml:space="preserve">Culture service support: With follow up of drug sensitive TB patients with culture at the end of treatment and post treatment follow up with culture for all TB patients, additional capacity of laboratories with culture facilities will be needed. To support this strategy, the programme will engage medical colleges to expand its microbiology laboratory for RNTCP. The programme will support identify and support these microbiology laboratories through existing HR and infrastructural norms for culture laboratories. </w:t>
      </w:r>
    </w:p>
    <w:p w14:paraId="3C721AAF" w14:textId="77777777" w:rsidR="002F2E11" w:rsidRPr="00FB23DD" w:rsidRDefault="002F2E11" w:rsidP="009136E5">
      <w:pPr>
        <w:numPr>
          <w:ilvl w:val="0"/>
          <w:numId w:val="120"/>
        </w:numPr>
        <w:spacing w:before="0" w:after="0"/>
        <w:jc w:val="both"/>
        <w:rPr>
          <w:rFonts w:asciiTheme="minorHAnsi" w:hAnsiTheme="minorHAnsi" w:cstheme="minorHAnsi"/>
          <w:sz w:val="22"/>
        </w:rPr>
      </w:pPr>
      <w:r w:rsidRPr="00FB23DD">
        <w:rPr>
          <w:rFonts w:asciiTheme="minorHAnsi" w:hAnsiTheme="minorHAnsi" w:cstheme="minorHAnsi"/>
          <w:sz w:val="22"/>
        </w:rPr>
        <w:t>Air borne infection control measures in health care facilities in districts: Under the air borne infection control committee of the districts, medical college faculties will be involved to execute AIC measure in all health care settings in the district. The faculties from medical colleges will be trained at the state level and then support in assessment, recommendations and monitoring of AIC implementation in all health facilities in the districts.</w:t>
      </w:r>
    </w:p>
    <w:p w14:paraId="00767B87" w14:textId="77777777" w:rsidR="002F2E11" w:rsidRPr="00FB23DD" w:rsidRDefault="002F2E11" w:rsidP="009136E5">
      <w:pPr>
        <w:numPr>
          <w:ilvl w:val="0"/>
          <w:numId w:val="120"/>
        </w:numPr>
        <w:spacing w:before="0" w:after="0"/>
        <w:jc w:val="both"/>
        <w:rPr>
          <w:rFonts w:asciiTheme="minorHAnsi" w:hAnsiTheme="minorHAnsi" w:cstheme="minorHAnsi"/>
          <w:sz w:val="22"/>
        </w:rPr>
      </w:pPr>
      <w:r w:rsidRPr="00FB23DD">
        <w:rPr>
          <w:rFonts w:asciiTheme="minorHAnsi" w:hAnsiTheme="minorHAnsi" w:cstheme="minorHAnsi"/>
          <w:sz w:val="22"/>
        </w:rPr>
        <w:t xml:space="preserve">Planning, surveillance and quality improvement support to districts: Faculties of medical colleges will be involved in planning of RNTCP services and subsequent monitoring and evaluation. The department of community medicine will be involved to in monitoring and surveillance of disease including carrying out local surveys. For quality assurance of laboratory services, the department of microbiology will be involved and appropriate capacity enhancement will be done. </w:t>
      </w:r>
    </w:p>
    <w:p w14:paraId="5C6D9640" w14:textId="77777777" w:rsidR="002F2E11" w:rsidRPr="00FB23DD" w:rsidRDefault="002F2E11" w:rsidP="009136E5">
      <w:pPr>
        <w:numPr>
          <w:ilvl w:val="0"/>
          <w:numId w:val="120"/>
        </w:numPr>
        <w:spacing w:before="0" w:after="0"/>
        <w:jc w:val="both"/>
        <w:rPr>
          <w:rFonts w:asciiTheme="minorHAnsi" w:hAnsiTheme="minorHAnsi" w:cstheme="minorHAnsi"/>
          <w:sz w:val="22"/>
        </w:rPr>
      </w:pPr>
      <w:r w:rsidRPr="00FB23DD">
        <w:rPr>
          <w:rFonts w:asciiTheme="minorHAnsi" w:hAnsiTheme="minorHAnsi" w:cstheme="minorHAnsi"/>
          <w:sz w:val="22"/>
        </w:rPr>
        <w:t>Private provider engagement: Support of medical colleges will be sought for peer education, dissemination of diagnostic and treatment practices and advocacy with professional associations.</w:t>
      </w:r>
    </w:p>
    <w:p w14:paraId="7329F588" w14:textId="77777777" w:rsidR="002F2E11" w:rsidRPr="00FB23DD" w:rsidRDefault="002F2E11" w:rsidP="009136E5">
      <w:pPr>
        <w:numPr>
          <w:ilvl w:val="0"/>
          <w:numId w:val="120"/>
        </w:numPr>
        <w:spacing w:before="0" w:after="0"/>
        <w:jc w:val="both"/>
        <w:rPr>
          <w:rFonts w:asciiTheme="minorHAnsi" w:hAnsiTheme="minorHAnsi" w:cstheme="minorHAnsi"/>
          <w:sz w:val="22"/>
        </w:rPr>
      </w:pPr>
      <w:r w:rsidRPr="00FB23DD">
        <w:rPr>
          <w:rFonts w:asciiTheme="minorHAnsi" w:hAnsiTheme="minorHAnsi" w:cstheme="minorHAnsi"/>
          <w:sz w:val="22"/>
        </w:rPr>
        <w:t>Research: Operational Research mechanisms will be strengthened. Uniform systems of protocol development and capacity building workshops will be implemented. An online system of protocol submission, protocol review, approval and quick release of funds will be established.</w:t>
      </w:r>
    </w:p>
    <w:p w14:paraId="2BBD575F" w14:textId="77777777" w:rsidR="002F2E11" w:rsidRPr="00FB23DD" w:rsidRDefault="002F2E11" w:rsidP="009136E5">
      <w:pPr>
        <w:numPr>
          <w:ilvl w:val="0"/>
          <w:numId w:val="120"/>
        </w:numPr>
        <w:spacing w:before="0" w:after="0"/>
        <w:jc w:val="both"/>
        <w:rPr>
          <w:rFonts w:asciiTheme="minorHAnsi" w:hAnsiTheme="minorHAnsi" w:cstheme="minorHAnsi"/>
          <w:sz w:val="22"/>
        </w:rPr>
      </w:pPr>
      <w:r w:rsidRPr="00FB23DD">
        <w:rPr>
          <w:rFonts w:asciiTheme="minorHAnsi" w:hAnsiTheme="minorHAnsi" w:cstheme="minorHAnsi"/>
          <w:sz w:val="22"/>
        </w:rPr>
        <w:t xml:space="preserve">Centers of excellence (COEs): Select medical colleges will be designated COE for a particular thematic area of the programme on the lines of AIIMS being designated a COE for extra pulmonary TB.   </w:t>
      </w:r>
    </w:p>
    <w:p w14:paraId="120D65B8" w14:textId="4D92D469" w:rsidR="00D52992" w:rsidRPr="00C45A90" w:rsidRDefault="00B65B0C" w:rsidP="00D52992">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11</w:t>
      </w:r>
      <w:r w:rsidR="0033007D">
        <w:rPr>
          <w:rFonts w:asciiTheme="minorHAnsi" w:hAnsiTheme="minorHAnsi" w:cstheme="minorHAnsi"/>
          <w:b/>
          <w:color w:val="C86A07" w:themeColor="accent2" w:themeShade="BF"/>
          <w:sz w:val="28"/>
          <w:lang w:val="en"/>
        </w:rPr>
        <w:t>.</w:t>
      </w:r>
      <w:r w:rsidR="00053613">
        <w:rPr>
          <w:rFonts w:asciiTheme="minorHAnsi" w:hAnsiTheme="minorHAnsi" w:cstheme="minorHAnsi"/>
          <w:b/>
          <w:color w:val="C86A07" w:themeColor="accent2" w:themeShade="BF"/>
          <w:sz w:val="28"/>
          <w:lang w:val="en"/>
        </w:rPr>
        <w:t>2</w:t>
      </w:r>
      <w:r w:rsidR="0033007D">
        <w:rPr>
          <w:rFonts w:asciiTheme="minorHAnsi" w:hAnsiTheme="minorHAnsi" w:cstheme="minorHAnsi"/>
          <w:b/>
          <w:color w:val="C86A07" w:themeColor="accent2" w:themeShade="BF"/>
          <w:sz w:val="28"/>
          <w:lang w:val="en"/>
        </w:rPr>
        <w:t xml:space="preserve"> </w:t>
      </w:r>
      <w:r w:rsidR="00D52992" w:rsidRPr="00C45A90">
        <w:rPr>
          <w:rFonts w:asciiTheme="minorHAnsi" w:hAnsiTheme="minorHAnsi" w:cstheme="minorHAnsi"/>
          <w:b/>
          <w:color w:val="C86A07" w:themeColor="accent2" w:themeShade="BF"/>
          <w:sz w:val="28"/>
          <w:lang w:val="en"/>
        </w:rPr>
        <w:t>THE PROGRESS SO FAR:</w:t>
      </w:r>
    </w:p>
    <w:p w14:paraId="2703FA2B" w14:textId="77777777" w:rsidR="00D52992" w:rsidRPr="00063FED" w:rsidRDefault="00D52992" w:rsidP="009136E5">
      <w:pPr>
        <w:pStyle w:val="ListParagraph"/>
        <w:numPr>
          <w:ilvl w:val="0"/>
          <w:numId w:val="76"/>
        </w:numPr>
        <w:spacing w:before="0" w:after="0"/>
        <w:jc w:val="both"/>
        <w:rPr>
          <w:rFonts w:ascii="Calibri" w:hAnsi="Calibri" w:cs="Calibri"/>
          <w:kern w:val="24"/>
          <w:sz w:val="22"/>
          <w:lang w:eastAsia="en-IN"/>
        </w:rPr>
      </w:pPr>
      <w:r w:rsidRPr="00063FED">
        <w:rPr>
          <w:rFonts w:ascii="Calibri" w:hAnsi="Calibri" w:cs="Calibri"/>
          <w:kern w:val="24"/>
          <w:sz w:val="22"/>
          <w:lang w:eastAsia="en-IN"/>
        </w:rPr>
        <w:lastRenderedPageBreak/>
        <w:t>The Ministry of Health and Family Welfare has established an Inter-Ministerial Committee for TB with 25 ministries participating so far. It has set its Terms of Reference, and has the intention to create a joint operational working group.</w:t>
      </w:r>
    </w:p>
    <w:p w14:paraId="5EA1118C" w14:textId="77777777" w:rsidR="00D52992" w:rsidRPr="00063FED" w:rsidRDefault="00D52992" w:rsidP="009136E5">
      <w:pPr>
        <w:pStyle w:val="ListParagraph"/>
        <w:numPr>
          <w:ilvl w:val="0"/>
          <w:numId w:val="76"/>
        </w:numPr>
        <w:spacing w:before="0" w:after="0"/>
        <w:jc w:val="both"/>
        <w:rPr>
          <w:rFonts w:ascii="Calibri" w:hAnsi="Calibri" w:cs="Calibri"/>
          <w:kern w:val="24"/>
          <w:sz w:val="22"/>
          <w:lang w:eastAsia="en-IN"/>
        </w:rPr>
      </w:pPr>
      <w:r>
        <w:rPr>
          <w:rFonts w:ascii="Calibri" w:hAnsi="Calibri" w:cs="Calibri"/>
          <w:kern w:val="24"/>
          <w:sz w:val="22"/>
          <w:lang w:eastAsia="en-IN"/>
        </w:rPr>
        <w:t>NTEP p</w:t>
      </w:r>
      <w:r w:rsidRPr="00063FED">
        <w:rPr>
          <w:rFonts w:ascii="Calibri" w:hAnsi="Calibri" w:cs="Calibri"/>
          <w:kern w:val="24"/>
          <w:sz w:val="22"/>
          <w:lang w:eastAsia="en-IN"/>
        </w:rPr>
        <w:t>ublished a Multisectoral Action Framework</w:t>
      </w:r>
      <w:r>
        <w:rPr>
          <w:rFonts w:ascii="Calibri" w:hAnsi="Calibri" w:cs="Calibri"/>
          <w:kern w:val="24"/>
          <w:sz w:val="22"/>
          <w:lang w:eastAsia="en-IN"/>
        </w:rPr>
        <w:t xml:space="preserve">. </w:t>
      </w:r>
      <w:r w:rsidRPr="00063FED">
        <w:rPr>
          <w:rFonts w:ascii="Calibri" w:hAnsi="Calibri" w:cs="Calibri"/>
          <w:kern w:val="24"/>
          <w:sz w:val="22"/>
          <w:lang w:eastAsia="en-IN"/>
        </w:rPr>
        <w:t>It sets out key efforts planned, particularly with regard to health workplaces and corporate contributions and engagement.</w:t>
      </w:r>
    </w:p>
    <w:p w14:paraId="642AFE1A" w14:textId="6A639901" w:rsidR="00D52992" w:rsidRDefault="00D52992" w:rsidP="009136E5">
      <w:pPr>
        <w:pStyle w:val="ListParagraph"/>
        <w:numPr>
          <w:ilvl w:val="0"/>
          <w:numId w:val="76"/>
        </w:numPr>
        <w:spacing w:before="0" w:after="0"/>
        <w:jc w:val="both"/>
        <w:rPr>
          <w:rFonts w:ascii="Calibri" w:hAnsi="Calibri" w:cs="Calibri"/>
          <w:kern w:val="24"/>
          <w:sz w:val="22"/>
          <w:lang w:eastAsia="en-IN"/>
        </w:rPr>
      </w:pPr>
      <w:r w:rsidRPr="00063FED">
        <w:rPr>
          <w:rFonts w:ascii="Calibri" w:hAnsi="Calibri" w:cs="Calibri"/>
          <w:kern w:val="24"/>
          <w:sz w:val="22"/>
          <w:lang w:eastAsia="en-IN"/>
        </w:rPr>
        <w:t>MOUs have been signed with Ministrie</w:t>
      </w:r>
      <w:r w:rsidR="00021402">
        <w:rPr>
          <w:rFonts w:ascii="Calibri" w:hAnsi="Calibri" w:cs="Calibri"/>
          <w:kern w:val="24"/>
          <w:sz w:val="22"/>
          <w:lang w:eastAsia="en-IN"/>
        </w:rPr>
        <w:t>s of Defence, Railway, and AYUSH</w:t>
      </w:r>
      <w:r w:rsidRPr="00063FED">
        <w:rPr>
          <w:rFonts w:ascii="Calibri" w:hAnsi="Calibri" w:cs="Calibri"/>
          <w:kern w:val="24"/>
          <w:sz w:val="22"/>
          <w:lang w:eastAsia="en-IN"/>
        </w:rPr>
        <w:t xml:space="preserve"> for activities to be undertaken on tuberculosis.  Special initiatives have been launched with the Department of Post, Ministry of Labour and Employment, Ministry of Panchayati Raj, Ministry of Women and Child Development</w:t>
      </w:r>
      <w:r w:rsidR="00505AB4" w:rsidRPr="00063FED">
        <w:rPr>
          <w:rFonts w:ascii="Calibri" w:hAnsi="Calibri" w:cs="Calibri"/>
          <w:kern w:val="24"/>
          <w:sz w:val="22"/>
          <w:lang w:eastAsia="en-IN"/>
        </w:rPr>
        <w:t>, and</w:t>
      </w:r>
      <w:r w:rsidRPr="00063FED">
        <w:rPr>
          <w:rFonts w:ascii="Calibri" w:hAnsi="Calibri" w:cs="Calibri"/>
          <w:kern w:val="24"/>
          <w:sz w:val="22"/>
          <w:lang w:eastAsia="en-IN"/>
        </w:rPr>
        <w:t xml:space="preserve"> for TB-free Workplaces.</w:t>
      </w:r>
      <w:r w:rsidR="00106862">
        <w:rPr>
          <w:rFonts w:ascii="Calibri" w:hAnsi="Calibri" w:cs="Calibri"/>
          <w:kern w:val="24"/>
          <w:sz w:val="22"/>
          <w:lang w:eastAsia="en-IN"/>
        </w:rPr>
        <w:t xml:space="preserve"> </w:t>
      </w:r>
    </w:p>
    <w:p w14:paraId="5D37C0FC" w14:textId="612BB7CD" w:rsidR="00AC73DE" w:rsidRPr="00106862" w:rsidRDefault="00C45232" w:rsidP="009136E5">
      <w:pPr>
        <w:pStyle w:val="ListParagraph"/>
        <w:numPr>
          <w:ilvl w:val="0"/>
          <w:numId w:val="76"/>
        </w:numPr>
        <w:spacing w:before="0"/>
        <w:jc w:val="both"/>
        <w:rPr>
          <w:rFonts w:ascii="Calibri" w:hAnsi="Calibri" w:cs="Calibri"/>
          <w:kern w:val="24"/>
          <w:sz w:val="22"/>
          <w:lang w:val="en-IN" w:eastAsia="en-IN"/>
        </w:rPr>
      </w:pPr>
      <w:r w:rsidRPr="00106862">
        <w:rPr>
          <w:rFonts w:ascii="Calibri" w:hAnsi="Calibri" w:cs="Calibri"/>
          <w:kern w:val="24"/>
          <w:sz w:val="22"/>
          <w:lang w:eastAsia="en-IN"/>
        </w:rPr>
        <w:t xml:space="preserve">Under the NTEP, </w:t>
      </w:r>
      <w:r w:rsidR="00E21FF6">
        <w:rPr>
          <w:rFonts w:ascii="Calibri" w:hAnsi="Calibri" w:cs="Calibri"/>
          <w:kern w:val="24"/>
          <w:sz w:val="22"/>
          <w:lang w:eastAsia="en-IN"/>
        </w:rPr>
        <w:t>HIV</w:t>
      </w:r>
      <w:r w:rsidRPr="00106862">
        <w:rPr>
          <w:rFonts w:ascii="Calibri" w:hAnsi="Calibri" w:cs="Calibri"/>
          <w:kern w:val="24"/>
          <w:sz w:val="22"/>
          <w:lang w:eastAsia="en-IN"/>
        </w:rPr>
        <w:t xml:space="preserve">-TB collaboration has been a success story. </w:t>
      </w:r>
    </w:p>
    <w:p w14:paraId="3EF36747" w14:textId="79F83230" w:rsidR="00AC73DE" w:rsidRPr="00106862" w:rsidRDefault="00C45232" w:rsidP="009136E5">
      <w:pPr>
        <w:pStyle w:val="ListParagraph"/>
        <w:numPr>
          <w:ilvl w:val="0"/>
          <w:numId w:val="76"/>
        </w:numPr>
        <w:spacing w:before="0"/>
        <w:jc w:val="both"/>
        <w:rPr>
          <w:rFonts w:ascii="Calibri" w:hAnsi="Calibri" w:cs="Calibri"/>
          <w:kern w:val="24"/>
          <w:sz w:val="22"/>
          <w:lang w:val="en-IN" w:eastAsia="en-IN"/>
        </w:rPr>
      </w:pPr>
      <w:r w:rsidRPr="00106862">
        <w:rPr>
          <w:rFonts w:ascii="Calibri" w:hAnsi="Calibri" w:cs="Calibri"/>
          <w:kern w:val="24"/>
          <w:sz w:val="22"/>
          <w:lang w:eastAsia="en-IN"/>
        </w:rPr>
        <w:t>The NTEP has engaged with NPCDC</w:t>
      </w:r>
      <w:r w:rsidR="00B63197">
        <w:rPr>
          <w:rFonts w:ascii="Calibri" w:hAnsi="Calibri" w:cs="Calibri"/>
          <w:kern w:val="24"/>
          <w:sz w:val="22"/>
          <w:lang w:eastAsia="en-IN"/>
        </w:rPr>
        <w:t>S</w:t>
      </w:r>
      <w:r w:rsidRPr="00106862">
        <w:rPr>
          <w:rFonts w:ascii="Calibri" w:hAnsi="Calibri" w:cs="Calibri"/>
          <w:kern w:val="24"/>
          <w:sz w:val="22"/>
          <w:lang w:eastAsia="en-IN"/>
        </w:rPr>
        <w:t xml:space="preserve"> to address diabetes among TB patients and vice versa.</w:t>
      </w:r>
    </w:p>
    <w:p w14:paraId="1ACDDF91" w14:textId="2D7AC7F4" w:rsidR="00AC73DE" w:rsidRPr="00106862" w:rsidRDefault="00C45232" w:rsidP="009136E5">
      <w:pPr>
        <w:pStyle w:val="ListParagraph"/>
        <w:numPr>
          <w:ilvl w:val="0"/>
          <w:numId w:val="76"/>
        </w:numPr>
        <w:spacing w:before="0"/>
        <w:jc w:val="both"/>
        <w:rPr>
          <w:rFonts w:ascii="Calibri" w:hAnsi="Calibri" w:cs="Calibri"/>
          <w:kern w:val="24"/>
          <w:sz w:val="22"/>
          <w:lang w:val="en-IN" w:eastAsia="en-IN"/>
        </w:rPr>
      </w:pPr>
      <w:r w:rsidRPr="00106862">
        <w:rPr>
          <w:rFonts w:ascii="Calibri" w:hAnsi="Calibri" w:cs="Calibri"/>
          <w:kern w:val="24"/>
          <w:sz w:val="22"/>
          <w:lang w:eastAsia="en-IN"/>
        </w:rPr>
        <w:t xml:space="preserve"> N</w:t>
      </w:r>
      <w:r w:rsidR="00106862">
        <w:rPr>
          <w:rFonts w:ascii="Calibri" w:hAnsi="Calibri" w:cs="Calibri"/>
          <w:kern w:val="24"/>
          <w:sz w:val="22"/>
          <w:lang w:eastAsia="en-IN"/>
        </w:rPr>
        <w:t xml:space="preserve">ational </w:t>
      </w:r>
      <w:r w:rsidR="001C5396">
        <w:rPr>
          <w:rFonts w:ascii="Calibri" w:hAnsi="Calibri" w:cs="Calibri"/>
          <w:kern w:val="24"/>
          <w:sz w:val="22"/>
          <w:lang w:eastAsia="en-IN"/>
        </w:rPr>
        <w:t>Tobacco</w:t>
      </w:r>
      <w:r w:rsidR="00A14C71">
        <w:rPr>
          <w:rFonts w:ascii="Calibri" w:hAnsi="Calibri" w:cs="Calibri"/>
          <w:kern w:val="24"/>
          <w:sz w:val="22"/>
          <w:lang w:eastAsia="en-IN"/>
        </w:rPr>
        <w:t xml:space="preserve"> </w:t>
      </w:r>
      <w:r w:rsidRPr="00106862">
        <w:rPr>
          <w:rFonts w:ascii="Calibri" w:hAnsi="Calibri" w:cs="Calibri"/>
          <w:kern w:val="24"/>
          <w:sz w:val="22"/>
          <w:lang w:eastAsia="en-IN"/>
        </w:rPr>
        <w:t>C</w:t>
      </w:r>
      <w:r w:rsidR="00106862">
        <w:rPr>
          <w:rFonts w:ascii="Calibri" w:hAnsi="Calibri" w:cs="Calibri"/>
          <w:kern w:val="24"/>
          <w:sz w:val="22"/>
          <w:lang w:eastAsia="en-IN"/>
        </w:rPr>
        <w:t xml:space="preserve">ontrol </w:t>
      </w:r>
      <w:r w:rsidRPr="00106862">
        <w:rPr>
          <w:rFonts w:ascii="Calibri" w:hAnsi="Calibri" w:cs="Calibri"/>
          <w:kern w:val="24"/>
          <w:sz w:val="22"/>
          <w:lang w:eastAsia="en-IN"/>
        </w:rPr>
        <w:t>P</w:t>
      </w:r>
      <w:r w:rsidR="00106862">
        <w:rPr>
          <w:rFonts w:ascii="Calibri" w:hAnsi="Calibri" w:cs="Calibri"/>
          <w:kern w:val="24"/>
          <w:sz w:val="22"/>
          <w:lang w:eastAsia="en-IN"/>
        </w:rPr>
        <w:t xml:space="preserve">rogramme </w:t>
      </w:r>
      <w:r w:rsidRPr="00106862">
        <w:rPr>
          <w:rFonts w:ascii="Calibri" w:hAnsi="Calibri" w:cs="Calibri"/>
          <w:kern w:val="24"/>
          <w:sz w:val="22"/>
          <w:lang w:eastAsia="en-IN"/>
        </w:rPr>
        <w:t xml:space="preserve">has been engaged to address TB-Tobacco comorbidity </w:t>
      </w:r>
    </w:p>
    <w:p w14:paraId="6706902B" w14:textId="35285BDF" w:rsidR="00AC73DE" w:rsidRPr="00106862" w:rsidRDefault="00C45232" w:rsidP="009136E5">
      <w:pPr>
        <w:pStyle w:val="ListParagraph"/>
        <w:numPr>
          <w:ilvl w:val="0"/>
          <w:numId w:val="76"/>
        </w:numPr>
        <w:spacing w:before="0"/>
        <w:jc w:val="both"/>
        <w:rPr>
          <w:rFonts w:ascii="Calibri" w:hAnsi="Calibri" w:cs="Calibri"/>
          <w:kern w:val="24"/>
          <w:sz w:val="22"/>
          <w:lang w:val="en-IN" w:eastAsia="en-IN"/>
        </w:rPr>
      </w:pPr>
      <w:r w:rsidRPr="00106862">
        <w:rPr>
          <w:rFonts w:ascii="Calibri" w:hAnsi="Calibri" w:cs="Calibri"/>
          <w:kern w:val="24"/>
          <w:sz w:val="22"/>
          <w:lang w:eastAsia="en-IN"/>
        </w:rPr>
        <w:t xml:space="preserve">Collaboration with MCH division for TB management in pregnancy and among children </w:t>
      </w:r>
      <w:r w:rsidR="001C5396">
        <w:rPr>
          <w:rFonts w:ascii="Calibri" w:hAnsi="Calibri" w:cs="Calibri"/>
          <w:kern w:val="24"/>
          <w:sz w:val="22"/>
          <w:lang w:eastAsia="en-IN"/>
        </w:rPr>
        <w:t>has been designed</w:t>
      </w:r>
      <w:r w:rsidRPr="00106862">
        <w:rPr>
          <w:rFonts w:ascii="Calibri" w:hAnsi="Calibri" w:cs="Calibri"/>
          <w:kern w:val="24"/>
          <w:sz w:val="22"/>
          <w:lang w:eastAsia="en-IN"/>
        </w:rPr>
        <w:t>.</w:t>
      </w:r>
    </w:p>
    <w:p w14:paraId="003C6E69" w14:textId="33C652F6" w:rsidR="00106862" w:rsidRPr="00106862" w:rsidRDefault="00C45232" w:rsidP="009136E5">
      <w:pPr>
        <w:pStyle w:val="ListParagraph"/>
        <w:numPr>
          <w:ilvl w:val="0"/>
          <w:numId w:val="76"/>
        </w:numPr>
        <w:spacing w:before="0"/>
        <w:jc w:val="both"/>
        <w:rPr>
          <w:rFonts w:ascii="Calibri" w:hAnsi="Calibri" w:cs="Calibri"/>
          <w:kern w:val="24"/>
          <w:sz w:val="22"/>
          <w:lang w:val="en-IN" w:eastAsia="en-IN"/>
        </w:rPr>
      </w:pPr>
      <w:r w:rsidRPr="00106862">
        <w:rPr>
          <w:rFonts w:ascii="Calibri" w:hAnsi="Calibri" w:cs="Calibri"/>
          <w:kern w:val="24"/>
          <w:sz w:val="22"/>
          <w:lang w:eastAsia="en-IN"/>
        </w:rPr>
        <w:t xml:space="preserve"> The Programme has also formed a TB-Comorbidity Committee, replacing individual disease specific committees.</w:t>
      </w:r>
    </w:p>
    <w:p w14:paraId="606307E8" w14:textId="585A4ADF" w:rsidR="00D52992" w:rsidRPr="00C45A90" w:rsidRDefault="0033007D" w:rsidP="00D52992">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65B0C">
        <w:rPr>
          <w:rFonts w:asciiTheme="minorHAnsi" w:hAnsiTheme="minorHAnsi" w:cstheme="minorHAnsi"/>
          <w:b/>
          <w:color w:val="C86A07" w:themeColor="accent2" w:themeShade="BF"/>
          <w:sz w:val="28"/>
          <w:lang w:val="en"/>
        </w:rPr>
        <w:t>1</w:t>
      </w:r>
      <w:r>
        <w:rPr>
          <w:rFonts w:asciiTheme="minorHAnsi" w:hAnsiTheme="minorHAnsi" w:cstheme="minorHAnsi"/>
          <w:b/>
          <w:color w:val="C86A07" w:themeColor="accent2" w:themeShade="BF"/>
          <w:sz w:val="28"/>
          <w:lang w:val="en"/>
        </w:rPr>
        <w:t xml:space="preserve">.3 </w:t>
      </w:r>
      <w:r w:rsidR="00D52992" w:rsidRPr="00C45A90">
        <w:rPr>
          <w:rFonts w:asciiTheme="minorHAnsi" w:hAnsiTheme="minorHAnsi" w:cstheme="minorHAnsi"/>
          <w:b/>
          <w:color w:val="C86A07" w:themeColor="accent2" w:themeShade="BF"/>
          <w:sz w:val="28"/>
          <w:lang w:val="en"/>
        </w:rPr>
        <w:t>CHALLENGES REMAIN</w:t>
      </w:r>
    </w:p>
    <w:p w14:paraId="52332EAA" w14:textId="77777777" w:rsidR="00D52992" w:rsidRPr="00063FED" w:rsidRDefault="00D52992" w:rsidP="00D52992">
      <w:pPr>
        <w:spacing w:before="0" w:after="0"/>
        <w:rPr>
          <w:rFonts w:ascii="Calibri" w:hAnsi="Calibri" w:cs="Calibri"/>
          <w:kern w:val="24"/>
          <w:sz w:val="22"/>
          <w:lang w:eastAsia="en-IN"/>
        </w:rPr>
      </w:pPr>
      <w:r w:rsidRPr="00063FED">
        <w:rPr>
          <w:rFonts w:ascii="Calibri" w:hAnsi="Calibri" w:cs="Calibri"/>
          <w:kern w:val="24"/>
          <w:sz w:val="22"/>
          <w:lang w:eastAsia="en-IN"/>
        </w:rPr>
        <w:t xml:space="preserve">As these are relatively early days for many elements of multisectoral engagement, significant challenges </w:t>
      </w:r>
      <w:r>
        <w:rPr>
          <w:rFonts w:ascii="Calibri" w:hAnsi="Calibri" w:cs="Calibri"/>
          <w:kern w:val="24"/>
          <w:sz w:val="22"/>
          <w:lang w:eastAsia="en-IN"/>
        </w:rPr>
        <w:t>are also faced by the programme</w:t>
      </w:r>
      <w:r w:rsidRPr="00063FED">
        <w:rPr>
          <w:rFonts w:ascii="Calibri" w:hAnsi="Calibri" w:cs="Calibri"/>
          <w:kern w:val="24"/>
          <w:sz w:val="22"/>
          <w:lang w:eastAsia="en-IN"/>
        </w:rPr>
        <w:t>.</w:t>
      </w:r>
    </w:p>
    <w:p w14:paraId="094394E8" w14:textId="3D45DD73" w:rsidR="001C5396" w:rsidRPr="00063FED" w:rsidRDefault="001C5396" w:rsidP="009136E5">
      <w:pPr>
        <w:pStyle w:val="ListParagraph"/>
        <w:numPr>
          <w:ilvl w:val="0"/>
          <w:numId w:val="77"/>
        </w:numPr>
        <w:spacing w:before="0" w:after="0"/>
        <w:rPr>
          <w:rFonts w:ascii="Calibri" w:hAnsi="Calibri" w:cs="Calibri"/>
          <w:kern w:val="24"/>
          <w:sz w:val="22"/>
          <w:lang w:eastAsia="en-IN"/>
        </w:rPr>
      </w:pPr>
      <w:r>
        <w:rPr>
          <w:rFonts w:ascii="Calibri" w:hAnsi="Calibri" w:cs="Calibri"/>
          <w:kern w:val="24"/>
          <w:sz w:val="22"/>
          <w:lang w:eastAsia="en-IN"/>
        </w:rPr>
        <w:t>A</w:t>
      </w:r>
      <w:r w:rsidRPr="00063FED">
        <w:rPr>
          <w:rFonts w:ascii="Calibri" w:hAnsi="Calibri" w:cs="Calibri"/>
          <w:kern w:val="24"/>
          <w:sz w:val="22"/>
          <w:lang w:eastAsia="en-IN"/>
        </w:rPr>
        <w:t xml:space="preserve">ccountability of the Inter-Ministerial Committee, including </w:t>
      </w:r>
      <w:r>
        <w:rPr>
          <w:rFonts w:ascii="Calibri" w:hAnsi="Calibri" w:cs="Calibri"/>
          <w:kern w:val="24"/>
          <w:sz w:val="22"/>
          <w:lang w:eastAsia="en-IN"/>
        </w:rPr>
        <w:t>frequency of meetings and monitoring progress of activities</w:t>
      </w:r>
      <w:r w:rsidRPr="00063FED">
        <w:rPr>
          <w:rFonts w:ascii="Calibri" w:hAnsi="Calibri" w:cs="Calibri"/>
          <w:kern w:val="24"/>
          <w:sz w:val="22"/>
          <w:lang w:eastAsia="en-IN"/>
        </w:rPr>
        <w:t xml:space="preserve">. </w:t>
      </w:r>
    </w:p>
    <w:p w14:paraId="4ED7551F" w14:textId="68126698" w:rsidR="00D52992" w:rsidRPr="001C5396" w:rsidRDefault="001C5396" w:rsidP="009136E5">
      <w:pPr>
        <w:pStyle w:val="ListParagraph"/>
        <w:numPr>
          <w:ilvl w:val="0"/>
          <w:numId w:val="77"/>
        </w:numPr>
        <w:spacing w:before="0" w:after="0"/>
        <w:rPr>
          <w:rFonts w:ascii="Calibri" w:hAnsi="Calibri" w:cs="Calibri"/>
          <w:kern w:val="24"/>
          <w:sz w:val="22"/>
          <w:lang w:eastAsia="en-IN"/>
        </w:rPr>
      </w:pPr>
      <w:r>
        <w:rPr>
          <w:rFonts w:ascii="Calibri" w:hAnsi="Calibri" w:cs="Calibri"/>
          <w:kern w:val="24"/>
          <w:sz w:val="22"/>
          <w:lang w:eastAsia="en-IN"/>
        </w:rPr>
        <w:t xml:space="preserve"> The collaborations / MoUs already signed needs to be operationalized and actions being implemented at the facility / implementation levels</w:t>
      </w:r>
    </w:p>
    <w:p w14:paraId="35E97036" w14:textId="1701C637" w:rsidR="00D52992" w:rsidRPr="00C45A90" w:rsidRDefault="0033007D" w:rsidP="00D52992">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65B0C">
        <w:rPr>
          <w:rFonts w:asciiTheme="minorHAnsi" w:hAnsiTheme="minorHAnsi" w:cstheme="minorHAnsi"/>
          <w:b/>
          <w:color w:val="C86A07" w:themeColor="accent2" w:themeShade="BF"/>
          <w:sz w:val="28"/>
          <w:lang w:val="en"/>
        </w:rPr>
        <w:t>1</w:t>
      </w:r>
      <w:r>
        <w:rPr>
          <w:rFonts w:asciiTheme="minorHAnsi" w:hAnsiTheme="minorHAnsi" w:cstheme="minorHAnsi"/>
          <w:b/>
          <w:color w:val="C86A07" w:themeColor="accent2" w:themeShade="BF"/>
          <w:sz w:val="28"/>
          <w:lang w:val="en"/>
        </w:rPr>
        <w:t xml:space="preserve">.4 </w:t>
      </w:r>
      <w:r w:rsidR="00D52992" w:rsidRPr="00C45A90">
        <w:rPr>
          <w:rFonts w:asciiTheme="minorHAnsi" w:hAnsiTheme="minorHAnsi" w:cstheme="minorHAnsi"/>
          <w:b/>
          <w:color w:val="C86A07" w:themeColor="accent2" w:themeShade="BF"/>
          <w:sz w:val="28"/>
          <w:lang w:val="en"/>
        </w:rPr>
        <w:t xml:space="preserve">THE WAY FORWARD </w:t>
      </w:r>
    </w:p>
    <w:p w14:paraId="050A035A" w14:textId="158F3C13" w:rsidR="00213555" w:rsidRDefault="00D52992" w:rsidP="00C66051">
      <w:pPr>
        <w:jc w:val="both"/>
        <w:rPr>
          <w:rFonts w:asciiTheme="minorHAnsi" w:eastAsia="+mj-ea" w:hAnsiTheme="minorHAnsi" w:cstheme="minorHAnsi"/>
          <w:bCs/>
          <w:color w:val="000000"/>
          <w:kern w:val="24"/>
          <w:sz w:val="22"/>
        </w:rPr>
      </w:pPr>
      <w:r w:rsidRPr="00850944">
        <w:rPr>
          <w:rFonts w:asciiTheme="minorHAnsi" w:eastAsia="+mj-ea" w:hAnsiTheme="minorHAnsi" w:cstheme="minorHAnsi"/>
          <w:bCs/>
          <w:color w:val="000000"/>
          <w:kern w:val="24"/>
          <w:sz w:val="22"/>
        </w:rPr>
        <w:t xml:space="preserve">To overcome critical bottlenecks in implementation and pursue a whole-of-government approach, including multisectoral engagement, a </w:t>
      </w:r>
      <w:r w:rsidRPr="00850944">
        <w:rPr>
          <w:rFonts w:asciiTheme="minorHAnsi" w:eastAsia="+mj-ea" w:hAnsiTheme="minorHAnsi" w:cstheme="minorHAnsi"/>
          <w:b/>
          <w:bCs/>
          <w:color w:val="000000"/>
          <w:kern w:val="24"/>
          <w:sz w:val="22"/>
        </w:rPr>
        <w:t>TB Elimination Board,</w:t>
      </w:r>
      <w:r w:rsidRPr="00850944">
        <w:rPr>
          <w:rFonts w:asciiTheme="minorHAnsi" w:eastAsia="+mj-ea" w:hAnsiTheme="minorHAnsi" w:cstheme="minorHAnsi"/>
          <w:bCs/>
          <w:color w:val="000000"/>
          <w:kern w:val="24"/>
          <w:sz w:val="22"/>
        </w:rPr>
        <w:t xml:space="preserve"> as envisioned in the NSP, urgently needs to be established with highest-level participation from central and state levels, and from all major stakeholders including civil society representation.  An operational body could accompany this high-level board to help manage regular interaction.</w:t>
      </w:r>
      <w:r>
        <w:rPr>
          <w:rFonts w:asciiTheme="minorHAnsi" w:eastAsia="+mj-ea" w:hAnsiTheme="minorHAnsi" w:cstheme="minorHAnsi"/>
          <w:bCs/>
          <w:color w:val="000000"/>
          <w:kern w:val="24"/>
          <w:sz w:val="22"/>
        </w:rPr>
        <w:t xml:space="preserve"> T</w:t>
      </w:r>
      <w:r w:rsidRPr="00850944">
        <w:rPr>
          <w:rFonts w:asciiTheme="minorHAnsi" w:eastAsia="+mj-ea" w:hAnsiTheme="minorHAnsi" w:cstheme="minorHAnsi"/>
          <w:bCs/>
          <w:color w:val="000000"/>
          <w:kern w:val="24"/>
          <w:sz w:val="22"/>
        </w:rPr>
        <w:t xml:space="preserve">his TB Elimination Board could also serve the critical need for a periodic review body.  </w:t>
      </w:r>
      <w:r>
        <w:rPr>
          <w:rFonts w:asciiTheme="minorHAnsi" w:eastAsia="+mj-ea" w:hAnsiTheme="minorHAnsi" w:cstheme="minorHAnsi"/>
          <w:bCs/>
          <w:color w:val="000000"/>
          <w:kern w:val="24"/>
          <w:sz w:val="22"/>
        </w:rPr>
        <w:t>Th</w:t>
      </w:r>
      <w:r w:rsidRPr="00850944">
        <w:rPr>
          <w:rFonts w:asciiTheme="minorHAnsi" w:eastAsia="+mj-ea" w:hAnsiTheme="minorHAnsi" w:cstheme="minorHAnsi"/>
          <w:bCs/>
          <w:color w:val="000000"/>
          <w:kern w:val="24"/>
          <w:sz w:val="22"/>
        </w:rPr>
        <w:t xml:space="preserve">e </w:t>
      </w:r>
      <w:r w:rsidRPr="00850944">
        <w:rPr>
          <w:rFonts w:asciiTheme="minorHAnsi" w:eastAsia="+mj-ea" w:hAnsiTheme="minorHAnsi" w:cstheme="minorHAnsi"/>
          <w:b/>
          <w:bCs/>
          <w:color w:val="000000"/>
          <w:kern w:val="24"/>
          <w:sz w:val="22"/>
        </w:rPr>
        <w:t>Civil Society Fora</w:t>
      </w:r>
      <w:r w:rsidRPr="00850944">
        <w:rPr>
          <w:rFonts w:asciiTheme="minorHAnsi" w:eastAsia="+mj-ea" w:hAnsiTheme="minorHAnsi" w:cstheme="minorHAnsi"/>
          <w:bCs/>
          <w:color w:val="000000"/>
          <w:kern w:val="24"/>
          <w:sz w:val="22"/>
        </w:rPr>
        <w:t xml:space="preserve"> established at national and state/district levels need to be activated and robustly operated as another key lever of multisectoral accountability and to drive scaled-up action.</w:t>
      </w:r>
      <w:r>
        <w:rPr>
          <w:rFonts w:asciiTheme="minorHAnsi" w:eastAsia="+mj-ea" w:hAnsiTheme="minorHAnsi" w:cstheme="minorHAnsi"/>
          <w:bCs/>
          <w:color w:val="000000"/>
          <w:kern w:val="24"/>
          <w:sz w:val="22"/>
        </w:rPr>
        <w:t xml:space="preserve"> </w:t>
      </w:r>
    </w:p>
    <w:p w14:paraId="1ADB1A43" w14:textId="30117812" w:rsidR="00D52992" w:rsidRDefault="00C66051" w:rsidP="00C66051">
      <w:pPr>
        <w:spacing w:before="0"/>
        <w:jc w:val="both"/>
        <w:rPr>
          <w:rFonts w:ascii="Calibri" w:hAnsi="Calibri" w:cs="Calibri"/>
          <w:b/>
          <w:kern w:val="24"/>
          <w:sz w:val="22"/>
          <w:lang w:eastAsia="en-IN"/>
        </w:rPr>
      </w:pPr>
      <w:r w:rsidRPr="00E511FF">
        <w:rPr>
          <w:rFonts w:ascii="Calibri" w:hAnsi="Calibri" w:cs="Calibri"/>
          <w:b/>
          <w:kern w:val="24"/>
          <w:sz w:val="22"/>
          <w:lang w:eastAsia="en-IN"/>
        </w:rPr>
        <w:t>1.4.1</w:t>
      </w:r>
      <w:r>
        <w:rPr>
          <w:rFonts w:asciiTheme="minorHAnsi" w:eastAsia="+mj-ea" w:hAnsiTheme="minorHAnsi" w:cstheme="minorHAnsi"/>
          <w:bCs/>
          <w:color w:val="000000"/>
          <w:kern w:val="24"/>
          <w:sz w:val="22"/>
        </w:rPr>
        <w:t xml:space="preserve"> </w:t>
      </w:r>
      <w:r w:rsidR="00D52992" w:rsidRPr="007D274E">
        <w:rPr>
          <w:rFonts w:ascii="Calibri" w:hAnsi="Calibri" w:cs="Calibri"/>
          <w:kern w:val="24"/>
          <w:sz w:val="22"/>
          <w:lang w:eastAsia="en-IN"/>
        </w:rPr>
        <w:t>Drive multisectoral action, based on the right to health, via</w:t>
      </w:r>
      <w:r w:rsidR="00D52992" w:rsidRPr="007D274E">
        <w:rPr>
          <w:rFonts w:ascii="Calibri" w:hAnsi="Calibri" w:cs="Calibri"/>
          <w:b/>
          <w:kern w:val="24"/>
          <w:sz w:val="22"/>
          <w:lang w:eastAsia="en-IN"/>
        </w:rPr>
        <w:t xml:space="preserve"> a TB Elimination Board and state/local counterparts, and inter-sectoral Committees, </w:t>
      </w:r>
      <w:r w:rsidR="00D52992" w:rsidRPr="007D274E">
        <w:rPr>
          <w:rFonts w:ascii="Calibri" w:hAnsi="Calibri" w:cs="Calibri"/>
          <w:kern w:val="24"/>
          <w:sz w:val="22"/>
          <w:lang w:eastAsia="en-IN"/>
        </w:rPr>
        <w:t>operational plans (with ambitious and achievable deliverables for priority sectors, with indicators and accountability, and stakeholder engagement.</w:t>
      </w:r>
      <w:r w:rsidR="00D52992" w:rsidRPr="00595104">
        <w:rPr>
          <w:rFonts w:ascii="Calibri" w:hAnsi="Calibri" w:cs="Calibri"/>
          <w:b/>
          <w:kern w:val="24"/>
          <w:sz w:val="22"/>
          <w:lang w:eastAsia="en-IN"/>
        </w:rPr>
        <w:t xml:space="preserve"> </w:t>
      </w:r>
      <w:r w:rsidR="00D52992">
        <w:rPr>
          <w:rFonts w:ascii="Calibri" w:hAnsi="Calibri" w:cs="Calibri"/>
          <w:b/>
          <w:kern w:val="24"/>
          <w:sz w:val="22"/>
          <w:lang w:eastAsia="en-IN"/>
        </w:rPr>
        <w:t>(Refer details in</w:t>
      </w:r>
      <w:r w:rsidR="00505AB4">
        <w:rPr>
          <w:rFonts w:ascii="Calibri" w:hAnsi="Calibri" w:cs="Calibri"/>
          <w:b/>
          <w:kern w:val="24"/>
          <w:sz w:val="22"/>
          <w:lang w:eastAsia="en-IN"/>
        </w:rPr>
        <w:t xml:space="preserve"> Strategic area 1.</w:t>
      </w:r>
      <w:r w:rsidR="00053613">
        <w:rPr>
          <w:rFonts w:ascii="Calibri" w:hAnsi="Calibri" w:cs="Calibri"/>
          <w:b/>
          <w:kern w:val="24"/>
          <w:sz w:val="22"/>
          <w:lang w:eastAsia="en-IN"/>
        </w:rPr>
        <w:t>3</w:t>
      </w:r>
      <w:r w:rsidR="00505AB4">
        <w:rPr>
          <w:rFonts w:ascii="Calibri" w:hAnsi="Calibri" w:cs="Calibri"/>
          <w:b/>
          <w:kern w:val="24"/>
          <w:sz w:val="22"/>
          <w:lang w:eastAsia="en-IN"/>
        </w:rPr>
        <w:t>,</w:t>
      </w:r>
      <w:r w:rsidR="00D52992">
        <w:rPr>
          <w:rFonts w:ascii="Calibri" w:hAnsi="Calibri" w:cs="Calibri"/>
          <w:b/>
          <w:kern w:val="24"/>
          <w:sz w:val="22"/>
          <w:lang w:eastAsia="en-IN"/>
        </w:rPr>
        <w:t xml:space="preserve"> Chapter </w:t>
      </w:r>
      <w:r w:rsidR="00505AB4">
        <w:rPr>
          <w:rFonts w:ascii="Calibri" w:hAnsi="Calibri" w:cs="Calibri"/>
          <w:b/>
          <w:kern w:val="24"/>
          <w:sz w:val="22"/>
          <w:lang w:eastAsia="en-IN"/>
        </w:rPr>
        <w:t xml:space="preserve">10 </w:t>
      </w:r>
      <w:r w:rsidR="00D52992">
        <w:rPr>
          <w:rFonts w:ascii="Calibri" w:hAnsi="Calibri" w:cs="Calibri"/>
          <w:b/>
          <w:kern w:val="24"/>
          <w:sz w:val="22"/>
          <w:lang w:eastAsia="en-IN"/>
        </w:rPr>
        <w:t xml:space="preserve">on Governance and management of NTEP) </w:t>
      </w:r>
    </w:p>
    <w:p w14:paraId="628B35F5" w14:textId="2E12B2D5" w:rsidR="00D52992" w:rsidRPr="00C66051" w:rsidRDefault="00C66051" w:rsidP="00C66051">
      <w:pPr>
        <w:spacing w:before="0"/>
        <w:jc w:val="both"/>
        <w:rPr>
          <w:rFonts w:ascii="Calibri" w:hAnsi="Calibri" w:cs="Calibri"/>
          <w:kern w:val="24"/>
          <w:sz w:val="22"/>
          <w:lang w:eastAsia="en-IN"/>
        </w:rPr>
      </w:pPr>
      <w:r w:rsidRPr="00C66051">
        <w:rPr>
          <w:rFonts w:ascii="Calibri" w:hAnsi="Calibri" w:cs="Calibri"/>
          <w:b/>
          <w:kern w:val="24"/>
          <w:sz w:val="22"/>
          <w:lang w:eastAsia="en-IN"/>
        </w:rPr>
        <w:t>1.4.2</w:t>
      </w:r>
      <w:r>
        <w:rPr>
          <w:rFonts w:ascii="Calibri" w:hAnsi="Calibri" w:cs="Calibri"/>
          <w:kern w:val="24"/>
          <w:sz w:val="22"/>
          <w:lang w:eastAsia="en-IN"/>
        </w:rPr>
        <w:t xml:space="preserve"> </w:t>
      </w:r>
      <w:r w:rsidR="00D52992" w:rsidRPr="00C66051">
        <w:rPr>
          <w:rFonts w:ascii="Calibri" w:hAnsi="Calibri" w:cs="Calibri"/>
          <w:kern w:val="24"/>
          <w:sz w:val="22"/>
          <w:lang w:eastAsia="en-IN"/>
        </w:rPr>
        <w:t xml:space="preserve">Strengthen the </w:t>
      </w:r>
      <w:r w:rsidR="00D52992" w:rsidRPr="00C66051">
        <w:rPr>
          <w:rFonts w:ascii="Calibri" w:hAnsi="Calibri" w:cs="Calibri"/>
          <w:b/>
          <w:kern w:val="24"/>
          <w:sz w:val="22"/>
          <w:lang w:eastAsia="en-IN"/>
        </w:rPr>
        <w:t>Inter ministerial committee</w:t>
      </w:r>
      <w:r w:rsidR="00D52992" w:rsidRPr="00C66051">
        <w:rPr>
          <w:rFonts w:ascii="Calibri" w:hAnsi="Calibri" w:cs="Calibri"/>
          <w:kern w:val="24"/>
          <w:sz w:val="22"/>
          <w:lang w:eastAsia="en-IN"/>
        </w:rPr>
        <w:t xml:space="preserve"> with a focus on clarification of roles and responsibilities, including how this Committee relates to actions to be taken at state and district level, and budgetary responsibilities. Indicators of performance need to be defined. There needs to be a clear secretariat/focal point within the Ministry of Health and Family Welfare. </w:t>
      </w:r>
    </w:p>
    <w:p w14:paraId="11A1EBFF" w14:textId="3B256033" w:rsidR="00D52992" w:rsidRPr="00C66051" w:rsidRDefault="00C66051" w:rsidP="00C66051">
      <w:pPr>
        <w:ind w:left="540"/>
        <w:jc w:val="both"/>
        <w:rPr>
          <w:rFonts w:ascii="Calibri" w:hAnsi="Calibri" w:cs="Calibri"/>
          <w:kern w:val="24"/>
          <w:sz w:val="22"/>
          <w:lang w:eastAsia="en-IN"/>
        </w:rPr>
      </w:pPr>
      <w:r w:rsidRPr="00C66051">
        <w:rPr>
          <w:rFonts w:ascii="Calibri" w:hAnsi="Calibri" w:cs="Calibri"/>
          <w:b/>
          <w:kern w:val="24"/>
          <w:sz w:val="22"/>
          <w:lang w:eastAsia="en-IN"/>
        </w:rPr>
        <w:t>1.4.2.1</w:t>
      </w:r>
      <w:r>
        <w:rPr>
          <w:rFonts w:ascii="Calibri" w:hAnsi="Calibri" w:cs="Calibri"/>
          <w:kern w:val="24"/>
          <w:sz w:val="22"/>
          <w:lang w:eastAsia="en-IN"/>
        </w:rPr>
        <w:t xml:space="preserve"> </w:t>
      </w:r>
      <w:r w:rsidR="00D52992" w:rsidRPr="00C66051">
        <w:rPr>
          <w:rFonts w:ascii="Calibri" w:hAnsi="Calibri" w:cs="Calibri"/>
          <w:kern w:val="24"/>
          <w:sz w:val="22"/>
          <w:lang w:eastAsia="en-IN"/>
        </w:rPr>
        <w:t xml:space="preserve">Given the limited capacity to support the multisectoral engagement so far, focused intensive efforts with a few ministries that drive budgetary commitments and accountable actions may be wise in the first year as first examples that drive much greater commitments from more ministries thereafter. As a major step for focused high-priority multisectoral engagement, specific actions with the Ministry of Home Affairs and state counterparts, as well </w:t>
      </w:r>
      <w:r w:rsidR="00D52992" w:rsidRPr="00C66051">
        <w:rPr>
          <w:rFonts w:ascii="Calibri" w:hAnsi="Calibri" w:cs="Calibri"/>
          <w:kern w:val="24"/>
          <w:sz w:val="22"/>
          <w:lang w:eastAsia="en-IN"/>
        </w:rPr>
        <w:lastRenderedPageBreak/>
        <w:t xml:space="preserve">as with the Ministry of Mines </w:t>
      </w:r>
      <w:r w:rsidR="00C517BE" w:rsidRPr="00C66051">
        <w:rPr>
          <w:rFonts w:ascii="Calibri" w:hAnsi="Calibri" w:cs="Calibri"/>
          <w:kern w:val="24"/>
          <w:sz w:val="22"/>
          <w:lang w:eastAsia="en-IN"/>
        </w:rPr>
        <w:t>and Ministry</w:t>
      </w:r>
      <w:r w:rsidR="00D52992" w:rsidRPr="00C66051">
        <w:rPr>
          <w:rFonts w:ascii="Calibri" w:hAnsi="Calibri" w:cs="Calibri"/>
          <w:kern w:val="24"/>
          <w:sz w:val="22"/>
          <w:lang w:eastAsia="en-IN"/>
        </w:rPr>
        <w:t xml:space="preserve"> of Labour and Employment, are needed to increase systematic screening efforts, reporting on results, and actions taken for diagnosis and care based on the results. </w:t>
      </w:r>
    </w:p>
    <w:p w14:paraId="0BE75002" w14:textId="7511EB77" w:rsidR="00D52992" w:rsidRPr="00C66051" w:rsidRDefault="00C66051" w:rsidP="00C66051">
      <w:pPr>
        <w:ind w:left="720"/>
        <w:jc w:val="both"/>
        <w:rPr>
          <w:rFonts w:ascii="Calibri" w:hAnsi="Calibri" w:cs="Calibri"/>
          <w:kern w:val="24"/>
          <w:sz w:val="22"/>
          <w:lang w:eastAsia="en-IN"/>
        </w:rPr>
      </w:pPr>
      <w:r w:rsidRPr="00C66051">
        <w:rPr>
          <w:rFonts w:ascii="Calibri" w:hAnsi="Calibri" w:cs="Calibri"/>
          <w:b/>
          <w:kern w:val="24"/>
          <w:sz w:val="22"/>
          <w:lang w:eastAsia="en-IN"/>
        </w:rPr>
        <w:t>1.4.2.2</w:t>
      </w:r>
      <w:r>
        <w:rPr>
          <w:rFonts w:ascii="Calibri" w:hAnsi="Calibri" w:cs="Calibri"/>
          <w:kern w:val="24"/>
          <w:sz w:val="22"/>
          <w:lang w:eastAsia="en-IN"/>
        </w:rPr>
        <w:t xml:space="preserve"> </w:t>
      </w:r>
      <w:r w:rsidR="00D52992" w:rsidRPr="00C66051">
        <w:rPr>
          <w:rFonts w:ascii="Calibri" w:hAnsi="Calibri" w:cs="Calibri"/>
          <w:kern w:val="24"/>
          <w:sz w:val="22"/>
          <w:lang w:eastAsia="en-IN"/>
        </w:rPr>
        <w:t>Provide human resources and financial support from key ministries beyond health for successful mission-mode actions across sectors and these should be measured carefully yearly.</w:t>
      </w:r>
    </w:p>
    <w:p w14:paraId="66A9634C" w14:textId="77777777" w:rsidR="00C66051" w:rsidRDefault="00C66051" w:rsidP="00C66051">
      <w:pPr>
        <w:spacing w:before="0"/>
        <w:jc w:val="both"/>
        <w:rPr>
          <w:rFonts w:ascii="Calibri" w:hAnsi="Calibri" w:cs="Calibri"/>
          <w:kern w:val="24"/>
          <w:sz w:val="22"/>
          <w:lang w:eastAsia="en-IN"/>
        </w:rPr>
      </w:pPr>
      <w:r w:rsidRPr="00C66051">
        <w:rPr>
          <w:rFonts w:ascii="Calibri" w:hAnsi="Calibri" w:cs="Calibri"/>
          <w:b/>
          <w:kern w:val="24"/>
          <w:sz w:val="22"/>
          <w:lang w:eastAsia="en-IN"/>
        </w:rPr>
        <w:t>1.4.3</w:t>
      </w:r>
      <w:r>
        <w:rPr>
          <w:rFonts w:ascii="Calibri" w:hAnsi="Calibri" w:cs="Calibri"/>
          <w:kern w:val="24"/>
          <w:sz w:val="22"/>
          <w:lang w:eastAsia="en-IN"/>
        </w:rPr>
        <w:t xml:space="preserve"> </w:t>
      </w:r>
      <w:r w:rsidR="00D52992" w:rsidRPr="00C66051">
        <w:rPr>
          <w:rFonts w:ascii="Calibri" w:hAnsi="Calibri" w:cs="Calibri"/>
          <w:kern w:val="24"/>
          <w:sz w:val="22"/>
          <w:lang w:eastAsia="en-IN"/>
        </w:rPr>
        <w:t xml:space="preserve">Actions to </w:t>
      </w:r>
      <w:r w:rsidR="00D822E0" w:rsidRPr="00C66051">
        <w:rPr>
          <w:rFonts w:ascii="Calibri" w:hAnsi="Calibri" w:cs="Calibri"/>
          <w:kern w:val="24"/>
          <w:sz w:val="22"/>
          <w:lang w:eastAsia="en-IN"/>
        </w:rPr>
        <w:t>ensure</w:t>
      </w:r>
      <w:r w:rsidR="00D52992" w:rsidRPr="00C66051">
        <w:rPr>
          <w:rFonts w:ascii="Calibri" w:hAnsi="Calibri" w:cs="Calibri"/>
          <w:kern w:val="24"/>
          <w:sz w:val="22"/>
          <w:lang w:eastAsia="en-IN"/>
        </w:rPr>
        <w:t xml:space="preserve"> major national initiatives/programmes are and can contribute to ending TB given their scope and potential:  including, Ayushman Bharat, Public Distribution System (PDS), supplementary nutrition programs, Smart Cities, Ujjwala Yojana, Swachh Bharat.</w:t>
      </w:r>
      <w:r w:rsidR="00106862" w:rsidRPr="00C66051">
        <w:rPr>
          <w:rFonts w:ascii="Calibri" w:hAnsi="Calibri" w:cs="Calibri"/>
          <w:kern w:val="24"/>
          <w:sz w:val="22"/>
          <w:lang w:eastAsia="en-IN"/>
        </w:rPr>
        <w:t xml:space="preserve"> </w:t>
      </w:r>
    </w:p>
    <w:p w14:paraId="36361574" w14:textId="12B6A9F4" w:rsidR="00AC73DE" w:rsidRPr="00C66051" w:rsidRDefault="00C66051" w:rsidP="00C66051">
      <w:pPr>
        <w:spacing w:before="0"/>
        <w:jc w:val="both"/>
        <w:rPr>
          <w:rFonts w:ascii="Calibri" w:hAnsi="Calibri" w:cs="Calibri"/>
          <w:kern w:val="24"/>
          <w:sz w:val="22"/>
          <w:lang w:eastAsia="en-IN"/>
        </w:rPr>
      </w:pPr>
      <w:r w:rsidRPr="00C66051">
        <w:rPr>
          <w:rFonts w:ascii="Calibri" w:hAnsi="Calibri" w:cs="Calibri"/>
          <w:b/>
          <w:kern w:val="24"/>
          <w:sz w:val="22"/>
          <w:lang w:eastAsia="en-IN"/>
        </w:rPr>
        <w:t>1.4.4</w:t>
      </w:r>
      <w:r>
        <w:rPr>
          <w:rFonts w:ascii="Calibri" w:hAnsi="Calibri" w:cs="Calibri"/>
          <w:kern w:val="24"/>
          <w:sz w:val="22"/>
          <w:lang w:eastAsia="en-IN"/>
        </w:rPr>
        <w:t xml:space="preserve"> </w:t>
      </w:r>
      <w:r w:rsidR="00106862" w:rsidRPr="00106862">
        <w:rPr>
          <w:rFonts w:ascii="Calibri" w:hAnsi="Calibri" w:cs="Calibri"/>
          <w:kern w:val="24"/>
          <w:sz w:val="22"/>
          <w:lang w:eastAsia="en-IN"/>
        </w:rPr>
        <w:t>Collaboration with Departments/Divisions within MoHFW</w:t>
      </w:r>
      <w:r w:rsidR="00106862">
        <w:rPr>
          <w:rFonts w:ascii="Calibri" w:hAnsi="Calibri" w:cs="Calibri"/>
          <w:kern w:val="24"/>
          <w:sz w:val="22"/>
          <w:lang w:eastAsia="en-IN"/>
        </w:rPr>
        <w:t xml:space="preserve">: </w:t>
      </w:r>
      <w:r w:rsidR="00C45232" w:rsidRPr="00106862">
        <w:rPr>
          <w:rFonts w:ascii="Calibri" w:hAnsi="Calibri" w:cs="Calibri"/>
          <w:kern w:val="24"/>
          <w:sz w:val="22"/>
          <w:lang w:eastAsia="en-IN"/>
        </w:rPr>
        <w:t>To address TB in a more holistic way and increase the reach with the approach of “go where patient goes”, NTEP will collaborate with the following departments.</w:t>
      </w:r>
      <w:r w:rsidR="00933C76">
        <w:rPr>
          <w:rFonts w:ascii="Calibri" w:hAnsi="Calibri" w:cs="Calibri"/>
          <w:kern w:val="24"/>
          <w:sz w:val="22"/>
          <w:lang w:eastAsia="en-IN"/>
        </w:rPr>
        <w:t xml:space="preserve"> </w:t>
      </w:r>
    </w:p>
    <w:p w14:paraId="110FC574" w14:textId="3065DFE8" w:rsidR="00933C76" w:rsidRPr="00933C76" w:rsidRDefault="00933C76" w:rsidP="00933C76">
      <w:pPr>
        <w:pStyle w:val="ListParagraph"/>
        <w:spacing w:before="0" w:after="0"/>
        <w:ind w:left="504"/>
        <w:jc w:val="both"/>
        <w:rPr>
          <w:rFonts w:ascii="Calibri" w:hAnsi="Calibri" w:cs="Calibri"/>
          <w:kern w:val="24"/>
          <w:lang w:val="en-IN" w:eastAsia="en-IN"/>
        </w:rPr>
      </w:pPr>
      <w:r w:rsidRPr="00933C76">
        <w:rPr>
          <w:rFonts w:ascii="Calibri" w:hAnsi="Calibri" w:cs="Calibri"/>
          <w:b/>
          <w:kern w:val="24"/>
          <w:lang w:eastAsia="en-IN"/>
        </w:rPr>
        <w:t xml:space="preserve">Table </w:t>
      </w:r>
      <w:r w:rsidR="00571659">
        <w:rPr>
          <w:rFonts w:ascii="Calibri" w:hAnsi="Calibri" w:cs="Calibri"/>
          <w:b/>
          <w:kern w:val="24"/>
          <w:lang w:eastAsia="en-IN"/>
        </w:rPr>
        <w:t>1</w:t>
      </w:r>
      <w:r w:rsidR="001852EA">
        <w:rPr>
          <w:rFonts w:ascii="Calibri" w:hAnsi="Calibri" w:cs="Calibri"/>
          <w:b/>
          <w:kern w:val="24"/>
          <w:lang w:eastAsia="en-IN"/>
        </w:rPr>
        <w:t>2</w:t>
      </w:r>
      <w:r w:rsidRPr="00933C76">
        <w:rPr>
          <w:rFonts w:ascii="Calibri" w:hAnsi="Calibri" w:cs="Calibri"/>
          <w:b/>
          <w:kern w:val="24"/>
          <w:lang w:eastAsia="en-IN"/>
        </w:rPr>
        <w:t>: NTEP collaboration with MOHFW departments</w:t>
      </w:r>
    </w:p>
    <w:p w14:paraId="25EB36CC" w14:textId="5BFAA4C4" w:rsidR="00106862" w:rsidRPr="00106862" w:rsidRDefault="00106862" w:rsidP="00933C76">
      <w:pPr>
        <w:spacing w:before="0" w:after="0"/>
        <w:ind w:left="504"/>
        <w:rPr>
          <w:rFonts w:ascii="Calibri" w:hAnsi="Calibri" w:cs="Calibri"/>
          <w:kern w:val="24"/>
          <w:sz w:val="22"/>
          <w:lang w:eastAsia="en-IN"/>
        </w:rPr>
      </w:pPr>
      <w:r w:rsidRPr="00106862">
        <w:rPr>
          <w:noProof/>
          <w:lang w:val="en-IN" w:eastAsia="en-IN"/>
        </w:rPr>
        <w:drawing>
          <wp:inline distT="0" distB="0" distL="0" distR="0" wp14:anchorId="398FDF53" wp14:editId="65D8413A">
            <wp:extent cx="4867275" cy="47686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67275" cy="4768603"/>
                    </a:xfrm>
                    <a:prstGeom prst="rect">
                      <a:avLst/>
                    </a:prstGeom>
                  </pic:spPr>
                </pic:pic>
              </a:graphicData>
            </a:graphic>
          </wp:inline>
        </w:drawing>
      </w:r>
    </w:p>
    <w:p w14:paraId="55A7102B" w14:textId="41BACB82" w:rsidR="00106862" w:rsidRPr="00106862" w:rsidRDefault="00106862" w:rsidP="00106862">
      <w:pPr>
        <w:spacing w:before="0" w:after="0"/>
        <w:jc w:val="both"/>
        <w:rPr>
          <w:rFonts w:ascii="Calibri" w:hAnsi="Calibri" w:cs="Calibri"/>
          <w:kern w:val="24"/>
          <w:sz w:val="22"/>
          <w:lang w:eastAsia="en-IN"/>
        </w:rPr>
      </w:pPr>
      <w:r w:rsidRPr="00106862">
        <w:rPr>
          <w:rFonts w:ascii="Calibri" w:hAnsi="Calibri" w:cs="Calibri"/>
          <w:kern w:val="24"/>
          <w:sz w:val="22"/>
          <w:lang w:eastAsia="en-IN"/>
        </w:rPr>
        <w:t xml:space="preserve"> </w:t>
      </w:r>
    </w:p>
    <w:p w14:paraId="228D64A9" w14:textId="77777777" w:rsidR="00053613" w:rsidRPr="00053613" w:rsidRDefault="00053613" w:rsidP="00053613">
      <w:pPr>
        <w:pStyle w:val="ListParagraph"/>
        <w:numPr>
          <w:ilvl w:val="1"/>
          <w:numId w:val="75"/>
        </w:numPr>
        <w:spacing w:before="0"/>
        <w:contextualSpacing w:val="0"/>
        <w:jc w:val="both"/>
        <w:rPr>
          <w:rFonts w:asciiTheme="minorHAnsi" w:hAnsiTheme="minorHAnsi" w:cstheme="minorHAnsi"/>
          <w:b/>
          <w:vanish/>
          <w:sz w:val="22"/>
          <w:lang w:val="en-IN"/>
        </w:rPr>
      </w:pPr>
    </w:p>
    <w:p w14:paraId="4171385E" w14:textId="77777777" w:rsidR="00053613" w:rsidRPr="00053613" w:rsidRDefault="00053613" w:rsidP="00053613">
      <w:pPr>
        <w:pStyle w:val="ListParagraph"/>
        <w:numPr>
          <w:ilvl w:val="2"/>
          <w:numId w:val="75"/>
        </w:numPr>
        <w:spacing w:before="0"/>
        <w:contextualSpacing w:val="0"/>
        <w:jc w:val="both"/>
        <w:rPr>
          <w:rFonts w:asciiTheme="minorHAnsi" w:hAnsiTheme="minorHAnsi" w:cstheme="minorHAnsi"/>
          <w:b/>
          <w:vanish/>
          <w:sz w:val="22"/>
          <w:lang w:val="en-IN"/>
        </w:rPr>
      </w:pPr>
    </w:p>
    <w:p w14:paraId="32F4CF1E" w14:textId="77777777" w:rsidR="00053613" w:rsidRPr="00053613" w:rsidRDefault="00053613" w:rsidP="00053613">
      <w:pPr>
        <w:pStyle w:val="ListParagraph"/>
        <w:numPr>
          <w:ilvl w:val="2"/>
          <w:numId w:val="75"/>
        </w:numPr>
        <w:spacing w:before="0"/>
        <w:contextualSpacing w:val="0"/>
        <w:jc w:val="both"/>
        <w:rPr>
          <w:rFonts w:asciiTheme="minorHAnsi" w:hAnsiTheme="minorHAnsi" w:cstheme="minorHAnsi"/>
          <w:b/>
          <w:vanish/>
          <w:sz w:val="22"/>
          <w:lang w:val="en-IN"/>
        </w:rPr>
      </w:pPr>
    </w:p>
    <w:p w14:paraId="34029E29" w14:textId="77777777" w:rsidR="00053613" w:rsidRPr="00053613" w:rsidRDefault="00053613" w:rsidP="00053613">
      <w:pPr>
        <w:pStyle w:val="ListParagraph"/>
        <w:numPr>
          <w:ilvl w:val="2"/>
          <w:numId w:val="75"/>
        </w:numPr>
        <w:spacing w:before="0"/>
        <w:contextualSpacing w:val="0"/>
        <w:jc w:val="both"/>
        <w:rPr>
          <w:rFonts w:asciiTheme="minorHAnsi" w:hAnsiTheme="minorHAnsi" w:cstheme="minorHAnsi"/>
          <w:b/>
          <w:vanish/>
          <w:sz w:val="22"/>
          <w:lang w:val="en-IN"/>
        </w:rPr>
      </w:pPr>
    </w:p>
    <w:p w14:paraId="67B6E624" w14:textId="77777777" w:rsidR="00053613" w:rsidRPr="00053613" w:rsidRDefault="00053613" w:rsidP="00053613">
      <w:pPr>
        <w:pStyle w:val="ListParagraph"/>
        <w:numPr>
          <w:ilvl w:val="2"/>
          <w:numId w:val="75"/>
        </w:numPr>
        <w:spacing w:before="0"/>
        <w:contextualSpacing w:val="0"/>
        <w:jc w:val="both"/>
        <w:rPr>
          <w:rFonts w:asciiTheme="minorHAnsi" w:hAnsiTheme="minorHAnsi" w:cstheme="minorHAnsi"/>
          <w:b/>
          <w:vanish/>
          <w:sz w:val="22"/>
          <w:lang w:val="en-IN"/>
        </w:rPr>
      </w:pPr>
    </w:p>
    <w:p w14:paraId="3AB733A4" w14:textId="77777777" w:rsidR="00053613" w:rsidRPr="00053613" w:rsidRDefault="00053613" w:rsidP="00053613">
      <w:pPr>
        <w:pStyle w:val="ListParagraph"/>
        <w:numPr>
          <w:ilvl w:val="2"/>
          <w:numId w:val="75"/>
        </w:numPr>
        <w:spacing w:before="0"/>
        <w:contextualSpacing w:val="0"/>
        <w:jc w:val="both"/>
        <w:rPr>
          <w:rFonts w:asciiTheme="minorHAnsi" w:hAnsiTheme="minorHAnsi" w:cstheme="minorHAnsi"/>
          <w:b/>
          <w:vanish/>
          <w:sz w:val="22"/>
          <w:lang w:val="en-IN"/>
        </w:rPr>
      </w:pPr>
    </w:p>
    <w:p w14:paraId="2EE082A0" w14:textId="6EA7E98A" w:rsidR="00B25D05" w:rsidRPr="0037236C" w:rsidRDefault="00B25D05" w:rsidP="00053613">
      <w:pPr>
        <w:pStyle w:val="ListParagraph"/>
        <w:numPr>
          <w:ilvl w:val="2"/>
          <w:numId w:val="75"/>
        </w:numPr>
        <w:spacing w:before="0"/>
        <w:ind w:left="504"/>
        <w:contextualSpacing w:val="0"/>
        <w:jc w:val="both"/>
        <w:rPr>
          <w:rFonts w:asciiTheme="minorHAnsi" w:hAnsiTheme="minorHAnsi" w:cstheme="minorHAnsi"/>
          <w:b/>
          <w:sz w:val="22"/>
          <w:lang w:val="en-IN"/>
        </w:rPr>
      </w:pPr>
      <w:r w:rsidRPr="0037236C">
        <w:rPr>
          <w:rFonts w:asciiTheme="minorHAnsi" w:hAnsiTheme="minorHAnsi" w:cstheme="minorHAnsi"/>
          <w:b/>
          <w:sz w:val="22"/>
          <w:lang w:val="en-IN"/>
        </w:rPr>
        <w:t xml:space="preserve">Involvement of AYUSH Providers (3,598 hospitals and 25,723 dispensaries) </w:t>
      </w:r>
    </w:p>
    <w:p w14:paraId="76000652" w14:textId="77777777" w:rsidR="00B25D05" w:rsidRPr="00397572" w:rsidRDefault="00B25D05"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 xml:space="preserve">AYUSH providers will be provided with informant incentives for referring presumptive TB and detection of TB patients. </w:t>
      </w:r>
    </w:p>
    <w:p w14:paraId="79FF5B97" w14:textId="77777777" w:rsidR="00B25D05" w:rsidRPr="00397572" w:rsidRDefault="00B25D05"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 xml:space="preserve">AYUSH providers may work as treatment supporters along with incentives associated with it. Drugs may be supplied from public sector to the AYUSH providers. </w:t>
      </w:r>
    </w:p>
    <w:p w14:paraId="5469ADF5" w14:textId="77777777" w:rsidR="00B25D05" w:rsidRPr="00397572" w:rsidRDefault="00B25D05" w:rsidP="009136E5">
      <w:pPr>
        <w:pStyle w:val="ListParagraph"/>
        <w:numPr>
          <w:ilvl w:val="3"/>
          <w:numId w:val="75"/>
        </w:numPr>
        <w:ind w:left="1267" w:hanging="720"/>
        <w:contextualSpacing w:val="0"/>
        <w:jc w:val="both"/>
        <w:rPr>
          <w:rFonts w:asciiTheme="minorHAnsi" w:hAnsiTheme="minorHAnsi" w:cstheme="minorHAnsi"/>
          <w:sz w:val="22"/>
        </w:rPr>
      </w:pPr>
      <w:r w:rsidRPr="00397572">
        <w:rPr>
          <w:rFonts w:asciiTheme="minorHAnsi" w:hAnsiTheme="minorHAnsi" w:cstheme="minorHAnsi"/>
          <w:sz w:val="22"/>
        </w:rPr>
        <w:lastRenderedPageBreak/>
        <w:t xml:space="preserve">Under the MoU with Ministry of AYUSH, additional role of AYUSH providers will be explored to reduce delay and improve treatment completion rates.  </w:t>
      </w:r>
    </w:p>
    <w:p w14:paraId="754384D0" w14:textId="77777777" w:rsidR="00B25D05" w:rsidRPr="0037236C" w:rsidRDefault="00B25D05" w:rsidP="009136E5">
      <w:pPr>
        <w:pStyle w:val="ListParagraph"/>
        <w:numPr>
          <w:ilvl w:val="2"/>
          <w:numId w:val="75"/>
        </w:numPr>
        <w:ind w:left="504"/>
        <w:contextualSpacing w:val="0"/>
        <w:jc w:val="both"/>
        <w:rPr>
          <w:rFonts w:asciiTheme="minorHAnsi" w:hAnsiTheme="minorHAnsi" w:cstheme="minorHAnsi"/>
          <w:b/>
          <w:sz w:val="22"/>
          <w:lang w:val="en-IN"/>
        </w:rPr>
      </w:pPr>
      <w:r w:rsidRPr="0037236C">
        <w:rPr>
          <w:rFonts w:asciiTheme="minorHAnsi" w:hAnsiTheme="minorHAnsi" w:cstheme="minorHAnsi"/>
          <w:b/>
          <w:sz w:val="22"/>
          <w:lang w:val="en-IN"/>
        </w:rPr>
        <w:t>Involvement of Health Establishments under other Ministries, PSUs, Corporates and other organized groups</w:t>
      </w:r>
    </w:p>
    <w:p w14:paraId="3A4B2695" w14:textId="56F38E39" w:rsidR="00B25D05" w:rsidRPr="0037236C" w:rsidRDefault="00B25D05" w:rsidP="00B25D05">
      <w:pPr>
        <w:spacing w:before="0" w:after="0"/>
        <w:ind w:left="504"/>
        <w:jc w:val="both"/>
        <w:rPr>
          <w:rFonts w:asciiTheme="minorHAnsi" w:hAnsiTheme="minorHAnsi" w:cstheme="minorHAnsi"/>
          <w:sz w:val="22"/>
          <w:lang w:val="en-IN"/>
        </w:rPr>
      </w:pPr>
      <w:r w:rsidRPr="0037236C">
        <w:rPr>
          <w:rFonts w:asciiTheme="minorHAnsi" w:hAnsiTheme="minorHAnsi" w:cstheme="minorHAnsi"/>
          <w:sz w:val="22"/>
          <w:lang w:val="en-IN"/>
        </w:rPr>
        <w:t>There are large numbers of health facilities run by public sector other than MoH</w:t>
      </w:r>
      <w:r w:rsidR="00213A6B">
        <w:rPr>
          <w:rFonts w:asciiTheme="minorHAnsi" w:hAnsiTheme="minorHAnsi" w:cstheme="minorHAnsi"/>
          <w:sz w:val="22"/>
          <w:lang w:val="en-IN"/>
        </w:rPr>
        <w:t>&amp;</w:t>
      </w:r>
      <w:r w:rsidRPr="0037236C">
        <w:rPr>
          <w:rFonts w:asciiTheme="minorHAnsi" w:hAnsiTheme="minorHAnsi" w:cstheme="minorHAnsi"/>
          <w:sz w:val="22"/>
          <w:lang w:val="en-IN"/>
        </w:rPr>
        <w:t>FW under different ministries of Centre/State Governments. Ministri</w:t>
      </w:r>
      <w:r w:rsidR="00213A6B">
        <w:rPr>
          <w:rFonts w:asciiTheme="minorHAnsi" w:hAnsiTheme="minorHAnsi" w:cstheme="minorHAnsi"/>
          <w:sz w:val="22"/>
          <w:lang w:val="en-IN"/>
        </w:rPr>
        <w:t>es like defence, railways, home,</w:t>
      </w:r>
      <w:r w:rsidRPr="0037236C">
        <w:rPr>
          <w:rFonts w:asciiTheme="minorHAnsi" w:hAnsiTheme="minorHAnsi" w:cstheme="minorHAnsi"/>
          <w:sz w:val="22"/>
          <w:lang w:val="en-IN"/>
        </w:rPr>
        <w:t xml:space="preserve"> etc. have their own medical services set up. There are public sector</w:t>
      </w:r>
      <w:r w:rsidR="00213A6B">
        <w:rPr>
          <w:rFonts w:asciiTheme="minorHAnsi" w:hAnsiTheme="minorHAnsi" w:cstheme="minorHAnsi"/>
          <w:sz w:val="22"/>
          <w:lang w:val="en-IN"/>
        </w:rPr>
        <w:t xml:space="preserve"> undertakings</w:t>
      </w:r>
      <w:r w:rsidRPr="0037236C">
        <w:rPr>
          <w:rFonts w:asciiTheme="minorHAnsi" w:hAnsiTheme="minorHAnsi" w:cstheme="minorHAnsi"/>
          <w:sz w:val="22"/>
          <w:lang w:val="en-IN"/>
        </w:rPr>
        <w:t xml:space="preserve"> like Coal India, SAIL etc. which run their own healthcare set ups. Usually these facilities cater to a “captive population” who receive subsidized or free services from said facilities. </w:t>
      </w:r>
    </w:p>
    <w:p w14:paraId="70140841" w14:textId="77777777" w:rsidR="00B25D05" w:rsidRPr="004B2F25" w:rsidRDefault="00B25D05" w:rsidP="009136E5">
      <w:pPr>
        <w:pStyle w:val="ListParagraph"/>
        <w:numPr>
          <w:ilvl w:val="3"/>
          <w:numId w:val="75"/>
        </w:numPr>
        <w:ind w:left="1260" w:hanging="720"/>
        <w:jc w:val="both"/>
        <w:rPr>
          <w:rFonts w:asciiTheme="minorHAnsi" w:hAnsiTheme="minorHAnsi" w:cstheme="minorHAnsi"/>
          <w:sz w:val="22"/>
        </w:rPr>
      </w:pPr>
      <w:r w:rsidRPr="004B2F25">
        <w:rPr>
          <w:rFonts w:asciiTheme="minorHAnsi" w:hAnsiTheme="minorHAnsi" w:cstheme="minorHAnsi"/>
          <w:sz w:val="22"/>
        </w:rPr>
        <w:t>NTEP already has MoUs with Ministry of Railway, Ministry of AYUSH, and Department of ECHS. The programme will continue to establish formal MoUs with other such Ministries. Under the overall umbrella of such collaboration, the NTEP will ensure coverage of all health facilities run by these Ministries.</w:t>
      </w:r>
    </w:p>
    <w:p w14:paraId="2C14A3E6" w14:textId="2EB621DD" w:rsidR="00B25D05" w:rsidRPr="00B25D05" w:rsidRDefault="00B25D05" w:rsidP="009136E5">
      <w:pPr>
        <w:pStyle w:val="ListParagraph"/>
        <w:numPr>
          <w:ilvl w:val="3"/>
          <w:numId w:val="75"/>
        </w:numPr>
        <w:ind w:left="1267" w:hanging="720"/>
        <w:contextualSpacing w:val="0"/>
        <w:jc w:val="both"/>
        <w:rPr>
          <w:rFonts w:asciiTheme="minorHAnsi" w:hAnsiTheme="minorHAnsi" w:cstheme="minorHAnsi"/>
          <w:sz w:val="22"/>
          <w:lang w:val="en-IN"/>
        </w:rPr>
      </w:pPr>
      <w:r w:rsidRPr="0037236C">
        <w:rPr>
          <w:rFonts w:asciiTheme="minorHAnsi" w:hAnsiTheme="minorHAnsi" w:cstheme="minorHAnsi"/>
          <w:sz w:val="22"/>
          <w:lang w:val="en-IN"/>
        </w:rPr>
        <w:t xml:space="preserve">Private sector engagement mechanism of these departments will be leveraged like empanelled health facilities under the ESI, CGHS, ECHS etc. will have mandatory notification and STCI adherence as a mandate in the empanelment conditions </w:t>
      </w:r>
    </w:p>
    <w:p w14:paraId="2E586B96" w14:textId="77777777" w:rsidR="00D52992" w:rsidRPr="00063FED" w:rsidRDefault="00D52992" w:rsidP="009136E5">
      <w:pPr>
        <w:pStyle w:val="ListParagraph"/>
        <w:numPr>
          <w:ilvl w:val="2"/>
          <w:numId w:val="75"/>
        </w:numPr>
        <w:spacing w:before="0" w:after="0"/>
        <w:ind w:left="504"/>
        <w:jc w:val="both"/>
        <w:rPr>
          <w:rFonts w:asciiTheme="minorHAnsi" w:eastAsia="+mj-ea" w:hAnsiTheme="minorHAnsi" w:cstheme="minorHAnsi"/>
          <w:bCs/>
          <w:color w:val="000000"/>
          <w:kern w:val="24"/>
          <w:sz w:val="22"/>
        </w:rPr>
      </w:pPr>
      <w:r>
        <w:rPr>
          <w:rFonts w:asciiTheme="minorHAnsi" w:eastAsia="+mj-ea" w:hAnsiTheme="minorHAnsi" w:cstheme="minorHAnsi"/>
          <w:bCs/>
          <w:color w:val="000000"/>
          <w:kern w:val="24"/>
          <w:sz w:val="22"/>
        </w:rPr>
        <w:t xml:space="preserve">Undertake </w:t>
      </w:r>
      <w:r w:rsidRPr="00E9253D">
        <w:rPr>
          <w:rFonts w:asciiTheme="minorHAnsi" w:eastAsia="+mj-ea" w:hAnsiTheme="minorHAnsi" w:cstheme="minorHAnsi"/>
          <w:bCs/>
          <w:color w:val="000000"/>
          <w:kern w:val="24"/>
          <w:sz w:val="22"/>
        </w:rPr>
        <w:t xml:space="preserve">mapping </w:t>
      </w:r>
      <w:r>
        <w:rPr>
          <w:rFonts w:asciiTheme="minorHAnsi" w:eastAsia="+mj-ea" w:hAnsiTheme="minorHAnsi" w:cstheme="minorHAnsi"/>
          <w:bCs/>
          <w:color w:val="000000"/>
          <w:kern w:val="24"/>
          <w:sz w:val="22"/>
        </w:rPr>
        <w:t xml:space="preserve">of </w:t>
      </w:r>
      <w:r w:rsidRPr="00E9253D">
        <w:rPr>
          <w:rFonts w:asciiTheme="minorHAnsi" w:eastAsia="+mj-ea" w:hAnsiTheme="minorHAnsi" w:cstheme="minorHAnsi"/>
          <w:bCs/>
          <w:color w:val="000000"/>
          <w:kern w:val="24"/>
          <w:sz w:val="22"/>
        </w:rPr>
        <w:t>key populations and interventions</w:t>
      </w:r>
      <w:r>
        <w:rPr>
          <w:rFonts w:asciiTheme="minorHAnsi" w:eastAsia="+mj-ea" w:hAnsiTheme="minorHAnsi" w:cstheme="minorHAnsi"/>
          <w:bCs/>
          <w:color w:val="000000"/>
          <w:kern w:val="24"/>
          <w:sz w:val="22"/>
        </w:rPr>
        <w:t xml:space="preserve"> which will be a </w:t>
      </w:r>
      <w:r w:rsidRPr="00E9253D">
        <w:rPr>
          <w:rFonts w:asciiTheme="minorHAnsi" w:eastAsia="+mj-ea" w:hAnsiTheme="minorHAnsi" w:cstheme="minorHAnsi"/>
          <w:bCs/>
          <w:color w:val="000000"/>
          <w:kern w:val="24"/>
          <w:sz w:val="22"/>
        </w:rPr>
        <w:t>significant</w:t>
      </w:r>
      <w:r>
        <w:rPr>
          <w:rFonts w:asciiTheme="minorHAnsi" w:eastAsia="+mj-ea" w:hAnsiTheme="minorHAnsi" w:cstheme="minorHAnsi"/>
          <w:bCs/>
          <w:color w:val="000000"/>
          <w:kern w:val="24"/>
          <w:sz w:val="22"/>
        </w:rPr>
        <w:t xml:space="preserve"> element of baseline work that will</w:t>
      </w:r>
      <w:r w:rsidRPr="00E9253D">
        <w:rPr>
          <w:rFonts w:asciiTheme="minorHAnsi" w:eastAsia="+mj-ea" w:hAnsiTheme="minorHAnsi" w:cstheme="minorHAnsi"/>
          <w:bCs/>
          <w:color w:val="000000"/>
          <w:kern w:val="24"/>
          <w:sz w:val="22"/>
        </w:rPr>
        <w:t xml:space="preserve"> contribute to robust planning for multisectoral action</w:t>
      </w:r>
      <w:r>
        <w:rPr>
          <w:rFonts w:asciiTheme="minorHAnsi" w:eastAsia="+mj-ea" w:hAnsiTheme="minorHAnsi" w:cstheme="minorHAnsi"/>
          <w:bCs/>
          <w:color w:val="000000"/>
          <w:kern w:val="24"/>
          <w:sz w:val="22"/>
        </w:rPr>
        <w:t>.</w:t>
      </w:r>
    </w:p>
    <w:p w14:paraId="1F9D4148" w14:textId="77777777" w:rsidR="00D52992" w:rsidRDefault="00D52992">
      <w:pPr>
        <w:spacing w:before="0" w:after="0"/>
        <w:rPr>
          <w:rFonts w:asciiTheme="minorHAnsi" w:eastAsia="Times New Roman" w:hAnsiTheme="minorHAnsi" w:cstheme="minorHAnsi"/>
          <w:b/>
          <w:caps/>
          <w:snapToGrid w:val="0"/>
          <w:sz w:val="56"/>
          <w:szCs w:val="28"/>
        </w:rPr>
      </w:pPr>
      <w:r>
        <w:rPr>
          <w:rFonts w:asciiTheme="minorHAnsi" w:hAnsiTheme="minorHAnsi" w:cstheme="minorHAnsi"/>
          <w:b/>
          <w:snapToGrid w:val="0"/>
        </w:rPr>
        <w:br w:type="page"/>
      </w:r>
    </w:p>
    <w:p w14:paraId="3FA7CD10" w14:textId="27C49529" w:rsidR="00D52992" w:rsidRDefault="00D52992" w:rsidP="00D52992">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D514CD">
        <w:rPr>
          <w:rFonts w:asciiTheme="minorHAnsi" w:hAnsiTheme="minorHAnsi" w:cstheme="minorHAnsi"/>
          <w:b/>
          <w:snapToGrid w:val="0"/>
          <w:color w:val="auto"/>
          <w:sz w:val="36"/>
        </w:rPr>
        <w:t>1</w:t>
      </w:r>
      <w:r w:rsidR="00B65B0C">
        <w:rPr>
          <w:rFonts w:asciiTheme="minorHAnsi" w:hAnsiTheme="minorHAnsi" w:cstheme="minorHAnsi"/>
          <w:b/>
          <w:snapToGrid w:val="0"/>
          <w:color w:val="auto"/>
          <w:sz w:val="36"/>
        </w:rPr>
        <w:t>2</w:t>
      </w:r>
      <w:r w:rsidRPr="00734B6A">
        <w:rPr>
          <w:rFonts w:asciiTheme="minorHAnsi" w:hAnsiTheme="minorHAnsi" w:cstheme="minorHAnsi"/>
          <w:b/>
          <w:snapToGrid w:val="0"/>
          <w:color w:val="auto"/>
          <w:sz w:val="36"/>
        </w:rPr>
        <w:t xml:space="preserve"> </w:t>
      </w:r>
    </w:p>
    <w:p w14:paraId="2372BB93" w14:textId="77777777" w:rsidR="00D52992" w:rsidRPr="006B7923" w:rsidRDefault="00D52992" w:rsidP="00D52992">
      <w:pPr>
        <w:shd w:val="clear" w:color="auto" w:fill="17365D" w:themeFill="text2" w:themeFillShade="BF"/>
        <w:spacing w:before="0" w:after="0"/>
        <w:jc w:val="right"/>
      </w:pPr>
      <w:r>
        <w:rPr>
          <w:b/>
          <w:sz w:val="28"/>
        </w:rPr>
        <w:t>NSP STRATEGIC AREA 1.5</w:t>
      </w:r>
    </w:p>
    <w:p w14:paraId="5FB638B1" w14:textId="6A998C03" w:rsidR="00217C7F" w:rsidRPr="00734B6A" w:rsidRDefault="00217C7F" w:rsidP="00053613">
      <w:pPr>
        <w:pStyle w:val="Heading1"/>
        <w:tabs>
          <w:tab w:val="num" w:pos="5670"/>
        </w:tabs>
        <w:spacing w:after="960"/>
        <w:rPr>
          <w:rFonts w:asciiTheme="minorHAnsi" w:hAnsiTheme="minorHAnsi" w:cstheme="minorHAnsi"/>
          <w:b/>
          <w:snapToGrid w:val="0"/>
          <w:color w:val="auto"/>
        </w:rPr>
      </w:pPr>
      <w:r>
        <w:rPr>
          <w:rFonts w:asciiTheme="minorHAnsi" w:hAnsiTheme="minorHAnsi" w:cstheme="minorHAnsi"/>
          <w:b/>
          <w:snapToGrid w:val="0"/>
          <w:color w:val="auto"/>
        </w:rPr>
        <w:t>Private sector engagement</w:t>
      </w:r>
    </w:p>
    <w:p w14:paraId="198BA6AA" w14:textId="45406D75" w:rsidR="0075389F" w:rsidRPr="00C45A90" w:rsidRDefault="0033007D"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65B0C">
        <w:rPr>
          <w:rFonts w:asciiTheme="minorHAnsi" w:hAnsiTheme="minorHAnsi" w:cstheme="minorHAnsi"/>
          <w:b/>
          <w:color w:val="C86A07" w:themeColor="accent2" w:themeShade="BF"/>
          <w:sz w:val="28"/>
          <w:lang w:val="en"/>
        </w:rPr>
        <w:t>2</w:t>
      </w:r>
      <w:r>
        <w:rPr>
          <w:rFonts w:asciiTheme="minorHAnsi" w:hAnsiTheme="minorHAnsi" w:cstheme="minorHAnsi"/>
          <w:b/>
          <w:color w:val="C86A07" w:themeColor="accent2" w:themeShade="BF"/>
          <w:sz w:val="28"/>
          <w:lang w:val="en"/>
        </w:rPr>
        <w:t xml:space="preserve">. 1 </w:t>
      </w:r>
      <w:r w:rsidR="0075389F" w:rsidRPr="00C45A90">
        <w:rPr>
          <w:rFonts w:asciiTheme="minorHAnsi" w:hAnsiTheme="minorHAnsi" w:cstheme="minorHAnsi"/>
          <w:b/>
          <w:color w:val="C86A07" w:themeColor="accent2" w:themeShade="BF"/>
          <w:sz w:val="28"/>
          <w:lang w:val="en"/>
        </w:rPr>
        <w:t>INTRODUCTION</w:t>
      </w:r>
    </w:p>
    <w:p w14:paraId="4C37F08B" w14:textId="08C95F74" w:rsidR="00217C7F" w:rsidRDefault="00217C7F" w:rsidP="0028684C">
      <w:pPr>
        <w:pStyle w:val="ListParagraph"/>
        <w:spacing w:before="0" w:after="0"/>
        <w:ind w:left="0"/>
        <w:jc w:val="both"/>
        <w:rPr>
          <w:rFonts w:asciiTheme="minorHAnsi" w:hAnsiTheme="minorHAnsi" w:cstheme="minorHAnsi"/>
          <w:sz w:val="22"/>
        </w:rPr>
      </w:pPr>
      <w:r w:rsidRPr="00706B85">
        <w:rPr>
          <w:rFonts w:asciiTheme="minorHAnsi" w:hAnsiTheme="minorHAnsi" w:cstheme="minorHAnsi"/>
          <w:sz w:val="22"/>
        </w:rPr>
        <w:t>With</w:t>
      </w:r>
      <w:r w:rsidR="00B850D7">
        <w:rPr>
          <w:rFonts w:asciiTheme="minorHAnsi" w:hAnsiTheme="minorHAnsi" w:cstheme="minorHAnsi"/>
          <w:sz w:val="22"/>
        </w:rPr>
        <w:t xml:space="preserve"> an estimated</w:t>
      </w:r>
      <w:r w:rsidRPr="00706B85">
        <w:rPr>
          <w:rFonts w:asciiTheme="minorHAnsi" w:hAnsiTheme="minorHAnsi" w:cstheme="minorHAnsi"/>
          <w:sz w:val="22"/>
        </w:rPr>
        <w:t xml:space="preserve"> 70% of the TB patients seeking care in the private sector, the NSP</w:t>
      </w:r>
      <w:r>
        <w:rPr>
          <w:rFonts w:asciiTheme="minorHAnsi" w:hAnsiTheme="minorHAnsi" w:cstheme="minorHAnsi"/>
          <w:sz w:val="22"/>
        </w:rPr>
        <w:t xml:space="preserve"> 2017 2025</w:t>
      </w:r>
      <w:r w:rsidRPr="00706B85">
        <w:rPr>
          <w:rFonts w:asciiTheme="minorHAnsi" w:hAnsiTheme="minorHAnsi" w:cstheme="minorHAnsi"/>
          <w:sz w:val="22"/>
        </w:rPr>
        <w:t xml:space="preserve"> deemed it crucial to ensure that they receive timely diagnosis, good quality treatment, protection from high out-of-pocket expenditure and other public health services such as co-morbidity testing, contact investigation, counselling, adherence monitoring, nutritional support and outcome reporting.</w:t>
      </w:r>
      <w:r>
        <w:rPr>
          <w:rFonts w:asciiTheme="minorHAnsi" w:hAnsiTheme="minorHAnsi" w:cstheme="minorHAnsi"/>
          <w:sz w:val="22"/>
        </w:rPr>
        <w:t xml:space="preserve"> Over the last three years significant progress has been made </w:t>
      </w:r>
      <w:r w:rsidRPr="00706B85">
        <w:rPr>
          <w:rFonts w:asciiTheme="minorHAnsi" w:hAnsiTheme="minorHAnsi" w:cstheme="minorHAnsi"/>
          <w:sz w:val="22"/>
        </w:rPr>
        <w:t xml:space="preserve">under NTEP to </w:t>
      </w:r>
      <w:r>
        <w:rPr>
          <w:rFonts w:asciiTheme="minorHAnsi" w:hAnsiTheme="minorHAnsi" w:cstheme="minorHAnsi"/>
          <w:sz w:val="22"/>
        </w:rPr>
        <w:t xml:space="preserve">expand the coverage and involve more </w:t>
      </w:r>
      <w:r w:rsidRPr="00706B85">
        <w:rPr>
          <w:rFonts w:asciiTheme="minorHAnsi" w:hAnsiTheme="minorHAnsi" w:cstheme="minorHAnsi"/>
          <w:sz w:val="22"/>
        </w:rPr>
        <w:t>private sector</w:t>
      </w:r>
      <w:r>
        <w:rPr>
          <w:rFonts w:asciiTheme="minorHAnsi" w:hAnsiTheme="minorHAnsi" w:cstheme="minorHAnsi"/>
          <w:sz w:val="22"/>
        </w:rPr>
        <w:t xml:space="preserve"> providers in TB care. </w:t>
      </w:r>
      <w:r w:rsidR="0028684C">
        <w:rPr>
          <w:rFonts w:asciiTheme="minorHAnsi" w:hAnsiTheme="minorHAnsi" w:cstheme="minorHAnsi"/>
          <w:sz w:val="22"/>
        </w:rPr>
        <w:t xml:space="preserve">Interventions </w:t>
      </w:r>
      <w:r w:rsidR="00CE1B89">
        <w:rPr>
          <w:rFonts w:asciiTheme="minorHAnsi" w:hAnsiTheme="minorHAnsi" w:cstheme="minorHAnsi"/>
          <w:sz w:val="22"/>
        </w:rPr>
        <w:t>instituted nationwide</w:t>
      </w:r>
      <w:r w:rsidR="0028684C">
        <w:rPr>
          <w:rFonts w:asciiTheme="minorHAnsi" w:hAnsiTheme="minorHAnsi" w:cstheme="minorHAnsi"/>
          <w:sz w:val="22"/>
        </w:rPr>
        <w:t xml:space="preserve"> has been on a dual track</w:t>
      </w:r>
      <w:r w:rsidR="00CE1B89">
        <w:rPr>
          <w:rFonts w:asciiTheme="minorHAnsi" w:hAnsiTheme="minorHAnsi" w:cstheme="minorHAnsi"/>
          <w:sz w:val="22"/>
        </w:rPr>
        <w:t>:</w:t>
      </w:r>
      <w:r w:rsidR="0028684C">
        <w:rPr>
          <w:rFonts w:asciiTheme="minorHAnsi" w:hAnsiTheme="minorHAnsi" w:cstheme="minorHAnsi"/>
          <w:sz w:val="22"/>
        </w:rPr>
        <w:t xml:space="preserve"> 1) Public-Private p</w:t>
      </w:r>
      <w:r w:rsidR="0028684C" w:rsidRPr="0028684C">
        <w:rPr>
          <w:rFonts w:asciiTheme="minorHAnsi" w:hAnsiTheme="minorHAnsi" w:cstheme="minorHAnsi"/>
          <w:sz w:val="22"/>
        </w:rPr>
        <w:t>rogram collaboration and coordination</w:t>
      </w:r>
      <w:r w:rsidR="00CE1B89">
        <w:rPr>
          <w:rFonts w:asciiTheme="minorHAnsi" w:hAnsiTheme="minorHAnsi" w:cstheme="minorHAnsi"/>
          <w:sz w:val="22"/>
        </w:rPr>
        <w:t xml:space="preserve"> defined by the s</w:t>
      </w:r>
      <w:r w:rsidR="0028684C" w:rsidRPr="0028684C">
        <w:rPr>
          <w:rFonts w:asciiTheme="minorHAnsi" w:hAnsiTheme="minorHAnsi" w:cstheme="minorHAnsi"/>
          <w:sz w:val="22"/>
        </w:rPr>
        <w:t>cale up</w:t>
      </w:r>
      <w:r w:rsidR="00CE1B89">
        <w:rPr>
          <w:rFonts w:asciiTheme="minorHAnsi" w:hAnsiTheme="minorHAnsi" w:cstheme="minorHAnsi"/>
          <w:sz w:val="22"/>
        </w:rPr>
        <w:t xml:space="preserve"> of</w:t>
      </w:r>
      <w:r w:rsidR="0028684C" w:rsidRPr="0028684C">
        <w:rPr>
          <w:rFonts w:asciiTheme="minorHAnsi" w:hAnsiTheme="minorHAnsi" w:cstheme="minorHAnsi"/>
          <w:sz w:val="22"/>
        </w:rPr>
        <w:t xml:space="preserve"> private sector engagement programs and strengthen</w:t>
      </w:r>
      <w:r w:rsidR="00CE1B89">
        <w:rPr>
          <w:rFonts w:asciiTheme="minorHAnsi" w:hAnsiTheme="minorHAnsi" w:cstheme="minorHAnsi"/>
          <w:sz w:val="22"/>
        </w:rPr>
        <w:t xml:space="preserve">ing of </w:t>
      </w:r>
      <w:r w:rsidR="0028684C" w:rsidRPr="0028684C">
        <w:rPr>
          <w:rFonts w:asciiTheme="minorHAnsi" w:hAnsiTheme="minorHAnsi" w:cstheme="minorHAnsi"/>
          <w:sz w:val="22"/>
        </w:rPr>
        <w:t>link</w:t>
      </w:r>
      <w:r w:rsidR="00CE1B89">
        <w:rPr>
          <w:rFonts w:asciiTheme="minorHAnsi" w:hAnsiTheme="minorHAnsi" w:cstheme="minorHAnsi"/>
          <w:sz w:val="22"/>
        </w:rPr>
        <w:t>s</w:t>
      </w:r>
      <w:r w:rsidR="0028684C" w:rsidRPr="0028684C">
        <w:rPr>
          <w:rFonts w:asciiTheme="minorHAnsi" w:hAnsiTheme="minorHAnsi" w:cstheme="minorHAnsi"/>
          <w:sz w:val="22"/>
        </w:rPr>
        <w:t xml:space="preserve"> between public and private TB program. </w:t>
      </w:r>
      <w:r w:rsidR="00CE1B89">
        <w:rPr>
          <w:rFonts w:asciiTheme="minorHAnsi" w:hAnsiTheme="minorHAnsi" w:cstheme="minorHAnsi"/>
          <w:sz w:val="22"/>
        </w:rPr>
        <w:t>These included s</w:t>
      </w:r>
      <w:r w:rsidR="0028684C" w:rsidRPr="0028684C">
        <w:rPr>
          <w:rFonts w:asciiTheme="minorHAnsi" w:hAnsiTheme="minorHAnsi" w:cstheme="minorHAnsi"/>
          <w:sz w:val="22"/>
        </w:rPr>
        <w:t>trengthen</w:t>
      </w:r>
      <w:r w:rsidR="00CE1B89">
        <w:rPr>
          <w:rFonts w:asciiTheme="minorHAnsi" w:hAnsiTheme="minorHAnsi" w:cstheme="minorHAnsi"/>
          <w:sz w:val="22"/>
        </w:rPr>
        <w:t>ing</w:t>
      </w:r>
      <w:r w:rsidR="0028684C" w:rsidRPr="0028684C">
        <w:rPr>
          <w:rFonts w:asciiTheme="minorHAnsi" w:hAnsiTheme="minorHAnsi" w:cstheme="minorHAnsi"/>
          <w:sz w:val="22"/>
        </w:rPr>
        <w:t xml:space="preserve"> private sector notification, PPSA support, government supply medicines and tests to private providers, etc</w:t>
      </w:r>
      <w:r w:rsidR="0028684C">
        <w:rPr>
          <w:rFonts w:asciiTheme="minorHAnsi" w:hAnsiTheme="minorHAnsi" w:cstheme="minorHAnsi"/>
          <w:sz w:val="22"/>
        </w:rPr>
        <w:t>.</w:t>
      </w:r>
      <w:r w:rsidR="00CE1B89">
        <w:rPr>
          <w:rFonts w:asciiTheme="minorHAnsi" w:hAnsiTheme="minorHAnsi" w:cstheme="minorHAnsi"/>
          <w:sz w:val="22"/>
        </w:rPr>
        <w:t>;</w:t>
      </w:r>
      <w:r w:rsidR="0028684C">
        <w:rPr>
          <w:rFonts w:asciiTheme="minorHAnsi" w:hAnsiTheme="minorHAnsi" w:cstheme="minorHAnsi"/>
          <w:sz w:val="22"/>
        </w:rPr>
        <w:t xml:space="preserve"> and </w:t>
      </w:r>
      <w:r w:rsidR="0028684C" w:rsidRPr="0028684C">
        <w:rPr>
          <w:rFonts w:asciiTheme="minorHAnsi" w:hAnsiTheme="minorHAnsi" w:cstheme="minorHAnsi"/>
          <w:sz w:val="22"/>
        </w:rPr>
        <w:t>2)</w:t>
      </w:r>
      <w:r w:rsidR="0028684C">
        <w:rPr>
          <w:rFonts w:asciiTheme="minorHAnsi" w:hAnsiTheme="minorHAnsi" w:cstheme="minorHAnsi"/>
          <w:sz w:val="22"/>
        </w:rPr>
        <w:t xml:space="preserve"> P</w:t>
      </w:r>
      <w:r w:rsidR="0028684C" w:rsidRPr="0028684C">
        <w:rPr>
          <w:rFonts w:asciiTheme="minorHAnsi" w:hAnsiTheme="minorHAnsi" w:cstheme="minorHAnsi"/>
          <w:sz w:val="22"/>
        </w:rPr>
        <w:t xml:space="preserve">rivate market </w:t>
      </w:r>
      <w:r w:rsidR="0028684C">
        <w:rPr>
          <w:rFonts w:asciiTheme="minorHAnsi" w:hAnsiTheme="minorHAnsi" w:cstheme="minorHAnsi"/>
          <w:sz w:val="22"/>
        </w:rPr>
        <w:t>creation and service purchasing which included c</w:t>
      </w:r>
      <w:r w:rsidR="0028684C" w:rsidRPr="0028684C">
        <w:rPr>
          <w:rFonts w:asciiTheme="minorHAnsi" w:hAnsiTheme="minorHAnsi" w:cstheme="minorHAnsi"/>
          <w:sz w:val="22"/>
        </w:rPr>
        <w:t>reat</w:t>
      </w:r>
      <w:r w:rsidR="0028684C">
        <w:rPr>
          <w:rFonts w:asciiTheme="minorHAnsi" w:hAnsiTheme="minorHAnsi" w:cstheme="minorHAnsi"/>
          <w:sz w:val="22"/>
        </w:rPr>
        <w:t>ing an</w:t>
      </w:r>
      <w:r w:rsidR="0028684C" w:rsidRPr="0028684C">
        <w:rPr>
          <w:rFonts w:asciiTheme="minorHAnsi" w:hAnsiTheme="minorHAnsi" w:cstheme="minorHAnsi"/>
          <w:sz w:val="22"/>
        </w:rPr>
        <w:t xml:space="preserve"> enabling environment and market mechanism to encourage more private sector participation. </w:t>
      </w:r>
      <w:r w:rsidR="00CE1B89">
        <w:rPr>
          <w:rFonts w:asciiTheme="minorHAnsi" w:hAnsiTheme="minorHAnsi" w:cstheme="minorHAnsi"/>
          <w:sz w:val="22"/>
        </w:rPr>
        <w:t>It included</w:t>
      </w:r>
      <w:r w:rsidR="0028684C" w:rsidRPr="0028684C">
        <w:rPr>
          <w:rFonts w:asciiTheme="minorHAnsi" w:hAnsiTheme="minorHAnsi" w:cstheme="minorHAnsi"/>
          <w:sz w:val="22"/>
        </w:rPr>
        <w:t xml:space="preserve"> streamlin</w:t>
      </w:r>
      <w:r w:rsidR="00CE1B89">
        <w:rPr>
          <w:rFonts w:asciiTheme="minorHAnsi" w:hAnsiTheme="minorHAnsi" w:cstheme="minorHAnsi"/>
          <w:sz w:val="22"/>
        </w:rPr>
        <w:t>ing</w:t>
      </w:r>
      <w:r w:rsidR="0028684C" w:rsidRPr="0028684C">
        <w:rPr>
          <w:rFonts w:asciiTheme="minorHAnsi" w:hAnsiTheme="minorHAnsi" w:cstheme="minorHAnsi"/>
          <w:sz w:val="22"/>
        </w:rPr>
        <w:t xml:space="preserve"> private sector contracting, strategic purchasing for TB services, and enhance</w:t>
      </w:r>
      <w:r w:rsidR="00CE1B89">
        <w:rPr>
          <w:rFonts w:asciiTheme="minorHAnsi" w:hAnsiTheme="minorHAnsi" w:cstheme="minorHAnsi"/>
          <w:sz w:val="22"/>
        </w:rPr>
        <w:t>d</w:t>
      </w:r>
      <w:r w:rsidR="0028684C" w:rsidRPr="0028684C">
        <w:rPr>
          <w:rFonts w:asciiTheme="minorHAnsi" w:hAnsiTheme="minorHAnsi" w:cstheme="minorHAnsi"/>
          <w:sz w:val="22"/>
        </w:rPr>
        <w:t xml:space="preserve"> regulation of private sector TB service quality, use </w:t>
      </w:r>
      <w:r w:rsidR="00CE1B89">
        <w:rPr>
          <w:rFonts w:asciiTheme="minorHAnsi" w:hAnsiTheme="minorHAnsi" w:cstheme="minorHAnsi"/>
          <w:sz w:val="22"/>
        </w:rPr>
        <w:t xml:space="preserve">of </w:t>
      </w:r>
      <w:r w:rsidR="0028684C" w:rsidRPr="0028684C">
        <w:rPr>
          <w:rFonts w:asciiTheme="minorHAnsi" w:hAnsiTheme="minorHAnsi" w:cstheme="minorHAnsi"/>
          <w:sz w:val="22"/>
        </w:rPr>
        <w:t>DBT etc.</w:t>
      </w:r>
    </w:p>
    <w:p w14:paraId="1913DB7E" w14:textId="3A67F485" w:rsidR="00217C7F" w:rsidRPr="00C45A90" w:rsidRDefault="0033007D" w:rsidP="00217C7F">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65B0C">
        <w:rPr>
          <w:rFonts w:asciiTheme="minorHAnsi" w:hAnsiTheme="minorHAnsi" w:cstheme="minorHAnsi"/>
          <w:b/>
          <w:color w:val="C86A07" w:themeColor="accent2" w:themeShade="BF"/>
          <w:sz w:val="28"/>
          <w:lang w:val="en"/>
        </w:rPr>
        <w:t>2</w:t>
      </w:r>
      <w:r>
        <w:rPr>
          <w:rFonts w:asciiTheme="minorHAnsi" w:hAnsiTheme="minorHAnsi" w:cstheme="minorHAnsi"/>
          <w:b/>
          <w:color w:val="C86A07" w:themeColor="accent2" w:themeShade="BF"/>
          <w:sz w:val="28"/>
          <w:lang w:val="en"/>
        </w:rPr>
        <w:t xml:space="preserve">.2 </w:t>
      </w:r>
      <w:r w:rsidR="00217C7F" w:rsidRPr="00C45A90">
        <w:rPr>
          <w:rFonts w:asciiTheme="minorHAnsi" w:hAnsiTheme="minorHAnsi" w:cstheme="minorHAnsi"/>
          <w:b/>
          <w:color w:val="C86A07" w:themeColor="accent2" w:themeShade="BF"/>
          <w:sz w:val="28"/>
          <w:lang w:val="en"/>
        </w:rPr>
        <w:t>PROGRESS MADE SO FAR</w:t>
      </w:r>
    </w:p>
    <w:p w14:paraId="29D81FD5" w14:textId="5A6E1E1A" w:rsidR="00217C7F" w:rsidRDefault="00217C7F" w:rsidP="00442A67">
      <w:pPr>
        <w:pStyle w:val="ListParagraph"/>
        <w:numPr>
          <w:ilvl w:val="0"/>
          <w:numId w:val="32"/>
        </w:numPr>
        <w:spacing w:before="0" w:after="0"/>
        <w:jc w:val="both"/>
        <w:rPr>
          <w:rFonts w:asciiTheme="minorHAnsi" w:hAnsiTheme="minorHAnsi" w:cstheme="minorHAnsi"/>
          <w:sz w:val="22"/>
          <w:lang w:val="en-IN"/>
        </w:rPr>
      </w:pPr>
      <w:r w:rsidRPr="00706B85">
        <w:rPr>
          <w:rFonts w:asciiTheme="minorHAnsi" w:hAnsiTheme="minorHAnsi" w:cstheme="minorHAnsi"/>
          <w:sz w:val="22"/>
          <w:lang w:val="en-IN"/>
        </w:rPr>
        <w:t>Private sector notifications have increased dramatically to reach over half a million nationally</w:t>
      </w:r>
      <w:r>
        <w:rPr>
          <w:rFonts w:asciiTheme="minorHAnsi" w:hAnsiTheme="minorHAnsi" w:cstheme="minorHAnsi"/>
          <w:sz w:val="22"/>
          <w:lang w:val="en-IN"/>
        </w:rPr>
        <w:t xml:space="preserve"> and so has </w:t>
      </w:r>
      <w:r w:rsidRPr="00706B85">
        <w:rPr>
          <w:rFonts w:asciiTheme="minorHAnsi" w:hAnsiTheme="minorHAnsi" w:cstheme="minorHAnsi"/>
          <w:sz w:val="22"/>
          <w:lang w:val="en-IN"/>
        </w:rPr>
        <w:t>microbiological confirmation and treatment success</w:t>
      </w:r>
      <w:r>
        <w:rPr>
          <w:rFonts w:asciiTheme="minorHAnsi" w:hAnsiTheme="minorHAnsi" w:cstheme="minorHAnsi"/>
          <w:sz w:val="22"/>
          <w:lang w:val="en-IN"/>
        </w:rPr>
        <w:t xml:space="preserve"> amongst those reported from the private sector </w:t>
      </w:r>
      <w:r w:rsidRPr="00706B85">
        <w:rPr>
          <w:rFonts w:asciiTheme="minorHAnsi" w:hAnsiTheme="minorHAnsi" w:cstheme="minorHAnsi"/>
          <w:sz w:val="22"/>
          <w:lang w:val="en-IN"/>
        </w:rPr>
        <w:t xml:space="preserve">(see figure </w:t>
      </w:r>
      <w:r w:rsidR="004D3907">
        <w:rPr>
          <w:rFonts w:asciiTheme="minorHAnsi" w:hAnsiTheme="minorHAnsi" w:cstheme="minorHAnsi"/>
          <w:sz w:val="22"/>
          <w:lang w:val="en-IN"/>
        </w:rPr>
        <w:t>29</w:t>
      </w:r>
      <w:r w:rsidR="007D39BA">
        <w:rPr>
          <w:rFonts w:asciiTheme="minorHAnsi" w:hAnsiTheme="minorHAnsi" w:cstheme="minorHAnsi"/>
          <w:sz w:val="22"/>
          <w:lang w:val="en-IN"/>
        </w:rPr>
        <w:t xml:space="preserve"> </w:t>
      </w:r>
      <w:r w:rsidRPr="00706B85">
        <w:rPr>
          <w:rFonts w:asciiTheme="minorHAnsi" w:hAnsiTheme="minorHAnsi" w:cstheme="minorHAnsi"/>
          <w:sz w:val="22"/>
          <w:lang w:val="en-IN"/>
        </w:rPr>
        <w:t>below)</w:t>
      </w:r>
      <w:r>
        <w:rPr>
          <w:rFonts w:asciiTheme="minorHAnsi" w:hAnsiTheme="minorHAnsi" w:cstheme="minorHAnsi"/>
          <w:sz w:val="22"/>
          <w:lang w:val="en-IN"/>
        </w:rPr>
        <w:t xml:space="preserve">. </w:t>
      </w:r>
    </w:p>
    <w:p w14:paraId="20C8AF27" w14:textId="3733F17C" w:rsidR="007D39BA" w:rsidRPr="007D39BA" w:rsidRDefault="001852EA" w:rsidP="007D39BA">
      <w:pPr>
        <w:pStyle w:val="ListParagraph"/>
        <w:spacing w:before="0" w:after="0"/>
        <w:ind w:left="0"/>
        <w:jc w:val="both"/>
        <w:rPr>
          <w:rFonts w:asciiTheme="minorHAnsi" w:hAnsiTheme="minorHAnsi" w:cstheme="minorHAnsi"/>
          <w:b/>
          <w:sz w:val="18"/>
          <w:lang w:val="en-IN"/>
        </w:rPr>
      </w:pPr>
      <w:r>
        <w:rPr>
          <w:rFonts w:asciiTheme="minorHAnsi" w:hAnsiTheme="minorHAnsi" w:cstheme="minorHAnsi"/>
          <w:b/>
          <w:sz w:val="18"/>
          <w:lang w:val="en-IN"/>
        </w:rPr>
        <w:t>Figure 29</w:t>
      </w:r>
      <w:r w:rsidR="007D39BA" w:rsidRPr="007D39BA">
        <w:rPr>
          <w:rFonts w:asciiTheme="minorHAnsi" w:hAnsiTheme="minorHAnsi" w:cstheme="minorHAnsi"/>
          <w:b/>
          <w:sz w:val="18"/>
          <w:lang w:val="en-IN"/>
        </w:rPr>
        <w:t xml:space="preserve">: TB notifications </w:t>
      </w:r>
      <w:r w:rsidR="007A6DC9">
        <w:rPr>
          <w:rFonts w:asciiTheme="minorHAnsi" w:hAnsiTheme="minorHAnsi" w:cstheme="minorHAnsi"/>
          <w:b/>
          <w:sz w:val="18"/>
          <w:lang w:val="en-IN"/>
        </w:rPr>
        <w:t>from</w:t>
      </w:r>
      <w:r w:rsidR="007D39BA" w:rsidRPr="007D39BA">
        <w:rPr>
          <w:rFonts w:asciiTheme="minorHAnsi" w:hAnsiTheme="minorHAnsi" w:cstheme="minorHAnsi"/>
          <w:b/>
          <w:sz w:val="18"/>
          <w:lang w:val="en-IN"/>
        </w:rPr>
        <w:t xml:space="preserve"> the private sector</w:t>
      </w:r>
    </w:p>
    <w:p w14:paraId="6349E48D" w14:textId="0D51BCC2" w:rsidR="00217C7F" w:rsidRDefault="00500969" w:rsidP="00217C7F">
      <w:pPr>
        <w:pStyle w:val="ListParagraph"/>
        <w:spacing w:before="0" w:after="0"/>
        <w:ind w:left="0"/>
        <w:jc w:val="both"/>
        <w:rPr>
          <w:rFonts w:asciiTheme="minorHAnsi" w:hAnsiTheme="minorHAnsi" w:cstheme="minorHAnsi"/>
          <w:sz w:val="22"/>
          <w:lang w:val="en-IN"/>
        </w:rPr>
      </w:pPr>
      <w:r w:rsidRPr="00500969">
        <w:rPr>
          <w:noProof/>
          <w:lang w:val="en-IN" w:eastAsia="en-IN"/>
        </w:rPr>
        <w:drawing>
          <wp:inline distT="0" distB="0" distL="0" distR="0" wp14:anchorId="13C30DC2" wp14:editId="344B3339">
            <wp:extent cx="5732145" cy="322707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2145" cy="3227070"/>
                    </a:xfrm>
                    <a:prstGeom prst="rect">
                      <a:avLst/>
                    </a:prstGeom>
                  </pic:spPr>
                </pic:pic>
              </a:graphicData>
            </a:graphic>
          </wp:inline>
        </w:drawing>
      </w:r>
    </w:p>
    <w:p w14:paraId="24D1DB94" w14:textId="77777777" w:rsidR="00217C7F" w:rsidRPr="00920816" w:rsidRDefault="00217C7F" w:rsidP="00442A67">
      <w:pPr>
        <w:pStyle w:val="ListParagraph"/>
        <w:numPr>
          <w:ilvl w:val="0"/>
          <w:numId w:val="32"/>
        </w:numPr>
        <w:spacing w:before="0" w:after="0"/>
        <w:jc w:val="both"/>
        <w:rPr>
          <w:rFonts w:asciiTheme="minorHAnsi" w:hAnsiTheme="minorHAnsi" w:cstheme="minorHAnsi"/>
          <w:b/>
          <w:sz w:val="22"/>
          <w:lang w:val="en-IN"/>
        </w:rPr>
      </w:pPr>
      <w:r w:rsidRPr="00920816">
        <w:rPr>
          <w:rFonts w:asciiTheme="minorHAnsi" w:hAnsiTheme="minorHAnsi" w:cstheme="minorHAnsi"/>
          <w:b/>
          <w:sz w:val="22"/>
          <w:lang w:val="en-IN"/>
        </w:rPr>
        <w:lastRenderedPageBreak/>
        <w:t>Strengthening use of Schedule H1 Register</w:t>
      </w:r>
      <w:r>
        <w:rPr>
          <w:rFonts w:asciiTheme="minorHAnsi" w:hAnsiTheme="minorHAnsi" w:cstheme="minorHAnsi"/>
          <w:b/>
          <w:sz w:val="22"/>
          <w:lang w:val="en-IN"/>
        </w:rPr>
        <w:t xml:space="preserve">: </w:t>
      </w:r>
      <w:r>
        <w:rPr>
          <w:rFonts w:asciiTheme="minorHAnsi" w:hAnsiTheme="minorHAnsi" w:cstheme="minorHAnsi"/>
          <w:sz w:val="22"/>
          <w:lang w:val="en-IN"/>
        </w:rPr>
        <w:t xml:space="preserve">A government </w:t>
      </w:r>
      <w:r w:rsidRPr="00920816">
        <w:rPr>
          <w:rFonts w:asciiTheme="minorHAnsi" w:hAnsiTheme="minorHAnsi" w:cstheme="minorHAnsi"/>
          <w:sz w:val="22"/>
          <w:lang w:val="en-IN"/>
        </w:rPr>
        <w:t>direct</w:t>
      </w:r>
      <w:r>
        <w:rPr>
          <w:rFonts w:asciiTheme="minorHAnsi" w:hAnsiTheme="minorHAnsi" w:cstheme="minorHAnsi"/>
          <w:sz w:val="22"/>
          <w:lang w:val="en-IN"/>
        </w:rPr>
        <w:t>ive to all</w:t>
      </w:r>
      <w:r w:rsidRPr="00920816">
        <w:rPr>
          <w:rFonts w:asciiTheme="minorHAnsi" w:hAnsiTheme="minorHAnsi" w:cstheme="minorHAnsi"/>
          <w:sz w:val="22"/>
          <w:lang w:val="en-IN"/>
        </w:rPr>
        <w:t xml:space="preserve"> states</w:t>
      </w:r>
      <w:r>
        <w:rPr>
          <w:rFonts w:asciiTheme="minorHAnsi" w:hAnsiTheme="minorHAnsi" w:cstheme="minorHAnsi"/>
          <w:sz w:val="22"/>
          <w:lang w:val="en-IN"/>
        </w:rPr>
        <w:t xml:space="preserve"> </w:t>
      </w:r>
      <w:r w:rsidRPr="00920816">
        <w:rPr>
          <w:rFonts w:asciiTheme="minorHAnsi" w:hAnsiTheme="minorHAnsi" w:cstheme="minorHAnsi"/>
          <w:sz w:val="22"/>
          <w:lang w:val="en-IN"/>
        </w:rPr>
        <w:t>wherein drugs incorporated in the Schedule H1</w:t>
      </w:r>
      <w:r>
        <w:rPr>
          <w:rFonts w:asciiTheme="minorHAnsi" w:hAnsiTheme="minorHAnsi" w:cstheme="minorHAnsi"/>
          <w:sz w:val="22"/>
          <w:lang w:val="en-IN"/>
        </w:rPr>
        <w:t>, as is the case with Anti TB medicines,</w:t>
      </w:r>
      <w:r w:rsidRPr="00920816">
        <w:rPr>
          <w:rFonts w:asciiTheme="minorHAnsi" w:hAnsiTheme="minorHAnsi" w:cstheme="minorHAnsi"/>
          <w:sz w:val="22"/>
          <w:lang w:val="en-IN"/>
        </w:rPr>
        <w:t xml:space="preserve"> can only be sold in retail on prescription of a Registered Medical Practitioner and details</w:t>
      </w:r>
      <w:r>
        <w:rPr>
          <w:rFonts w:asciiTheme="minorHAnsi" w:hAnsiTheme="minorHAnsi" w:cstheme="minorHAnsi"/>
          <w:sz w:val="22"/>
          <w:lang w:val="en-IN"/>
        </w:rPr>
        <w:t xml:space="preserve"> </w:t>
      </w:r>
      <w:r w:rsidRPr="00920816">
        <w:rPr>
          <w:rFonts w:asciiTheme="minorHAnsi" w:hAnsiTheme="minorHAnsi" w:cstheme="minorHAnsi"/>
          <w:sz w:val="22"/>
          <w:lang w:val="en-IN"/>
        </w:rPr>
        <w:t>of the prescriber, the patient and the drug sold needs to be maintained</w:t>
      </w:r>
      <w:r>
        <w:rPr>
          <w:rFonts w:asciiTheme="minorHAnsi" w:hAnsiTheme="minorHAnsi" w:cstheme="minorHAnsi"/>
          <w:sz w:val="22"/>
          <w:lang w:val="en-IN"/>
        </w:rPr>
        <w:t xml:space="preserve">. This will regulate “over the counter” sale and prevent indiscriminate use of the drug. </w:t>
      </w:r>
    </w:p>
    <w:p w14:paraId="21E174E4" w14:textId="77777777" w:rsidR="00217C7F" w:rsidRPr="00920816" w:rsidRDefault="00217C7F" w:rsidP="00442A67">
      <w:pPr>
        <w:pStyle w:val="ListParagraph"/>
        <w:numPr>
          <w:ilvl w:val="0"/>
          <w:numId w:val="32"/>
        </w:numPr>
        <w:spacing w:before="0" w:after="0"/>
        <w:jc w:val="both"/>
        <w:rPr>
          <w:rFonts w:asciiTheme="minorHAnsi" w:hAnsiTheme="minorHAnsi" w:cstheme="minorHAnsi"/>
          <w:sz w:val="22"/>
          <w:lang w:val="en-IN"/>
        </w:rPr>
      </w:pPr>
      <w:r w:rsidRPr="00DA3806">
        <w:rPr>
          <w:rFonts w:asciiTheme="minorHAnsi" w:hAnsiTheme="minorHAnsi" w:cstheme="minorHAnsi"/>
          <w:b/>
          <w:sz w:val="22"/>
          <w:lang w:val="en-IN"/>
        </w:rPr>
        <w:t>Penalizing non-notification of TB cases</w:t>
      </w:r>
      <w:r w:rsidRPr="00DA3806">
        <w:rPr>
          <w:rFonts w:asciiTheme="minorHAnsi" w:hAnsiTheme="minorHAnsi" w:cstheme="minorHAnsi"/>
          <w:sz w:val="22"/>
          <w:lang w:val="en-IN"/>
        </w:rPr>
        <w:t xml:space="preserve">: </w:t>
      </w:r>
      <w:r>
        <w:rPr>
          <w:rFonts w:asciiTheme="minorHAnsi" w:hAnsiTheme="minorHAnsi" w:cstheme="minorHAnsi"/>
          <w:sz w:val="22"/>
          <w:lang w:val="en-IN"/>
        </w:rPr>
        <w:t xml:space="preserve">Following the </w:t>
      </w:r>
      <w:r w:rsidRPr="00DA3806">
        <w:rPr>
          <w:rFonts w:asciiTheme="minorHAnsi" w:hAnsiTheme="minorHAnsi" w:cstheme="minorHAnsi"/>
          <w:sz w:val="22"/>
          <w:lang w:val="en-IN"/>
        </w:rPr>
        <w:t>mandatory notification of all tuberculosis patients by all clinical establishments, pharmacists, chemists and druggists,</w:t>
      </w:r>
      <w:r>
        <w:rPr>
          <w:rFonts w:asciiTheme="minorHAnsi" w:hAnsiTheme="minorHAnsi" w:cstheme="minorHAnsi"/>
          <w:sz w:val="22"/>
          <w:lang w:val="en-IN"/>
        </w:rPr>
        <w:t xml:space="preserve"> another directive </w:t>
      </w:r>
      <w:r w:rsidRPr="00DA3806">
        <w:rPr>
          <w:rFonts w:asciiTheme="minorHAnsi" w:hAnsiTheme="minorHAnsi" w:cstheme="minorHAnsi"/>
          <w:sz w:val="22"/>
          <w:lang w:val="en-IN"/>
        </w:rPr>
        <w:t>penalizing failure to notify TB patients</w:t>
      </w:r>
      <w:r>
        <w:rPr>
          <w:rFonts w:asciiTheme="minorHAnsi" w:hAnsiTheme="minorHAnsi" w:cstheme="minorHAnsi"/>
          <w:sz w:val="22"/>
          <w:lang w:val="en-IN"/>
        </w:rPr>
        <w:t xml:space="preserve"> has been promulgated. This provides for penal action under the law. </w:t>
      </w:r>
    </w:p>
    <w:p w14:paraId="614E042D" w14:textId="77777777" w:rsidR="00217C7F" w:rsidRPr="00DA3806" w:rsidRDefault="00217C7F" w:rsidP="00442A67">
      <w:pPr>
        <w:pStyle w:val="ListParagraph"/>
        <w:numPr>
          <w:ilvl w:val="0"/>
          <w:numId w:val="32"/>
        </w:numPr>
        <w:spacing w:before="0" w:after="0"/>
        <w:jc w:val="both"/>
        <w:rPr>
          <w:rFonts w:asciiTheme="minorHAnsi" w:hAnsiTheme="minorHAnsi" w:cstheme="minorHAnsi"/>
          <w:sz w:val="22"/>
          <w:lang w:val="en-IN"/>
        </w:rPr>
      </w:pPr>
      <w:bookmarkStart w:id="47" w:name="_qfzk3wz94u1z" w:colFirst="0" w:colLast="0"/>
      <w:bookmarkEnd w:id="47"/>
      <w:r w:rsidRPr="00DA3806">
        <w:rPr>
          <w:rFonts w:asciiTheme="minorHAnsi" w:hAnsiTheme="minorHAnsi" w:cstheme="minorHAnsi"/>
          <w:b/>
          <w:sz w:val="22"/>
          <w:lang w:val="en-IN"/>
        </w:rPr>
        <w:t>Engagement with the Private Sector through Indian Medical Association (IMA):</w:t>
      </w:r>
      <w:r>
        <w:rPr>
          <w:rFonts w:asciiTheme="minorHAnsi" w:hAnsiTheme="minorHAnsi" w:cstheme="minorHAnsi"/>
          <w:b/>
          <w:sz w:val="22"/>
          <w:lang w:val="en-IN"/>
        </w:rPr>
        <w:t xml:space="preserve"> </w:t>
      </w:r>
      <w:r>
        <w:rPr>
          <w:rFonts w:asciiTheme="minorHAnsi" w:hAnsiTheme="minorHAnsi" w:cstheme="minorHAnsi"/>
          <w:sz w:val="22"/>
          <w:lang w:val="en-IN"/>
        </w:rPr>
        <w:t xml:space="preserve">IMA </w:t>
      </w:r>
      <w:r w:rsidRPr="00AC1502">
        <w:rPr>
          <w:rFonts w:asciiTheme="minorHAnsi" w:hAnsiTheme="minorHAnsi" w:cstheme="minorHAnsi"/>
          <w:sz w:val="22"/>
          <w:lang w:val="en-IN"/>
        </w:rPr>
        <w:t xml:space="preserve">has over 3, 25,000 doctors as its members through more than 1700 local branches </w:t>
      </w:r>
      <w:r>
        <w:rPr>
          <w:rFonts w:asciiTheme="minorHAnsi" w:hAnsiTheme="minorHAnsi" w:cstheme="minorHAnsi"/>
          <w:sz w:val="22"/>
          <w:lang w:val="en-IN"/>
        </w:rPr>
        <w:t>in 32 states and union territories</w:t>
      </w:r>
      <w:r>
        <w:rPr>
          <w:rStyle w:val="FootnoteReference"/>
          <w:rFonts w:cstheme="minorHAnsi"/>
          <w:lang w:val="en-IN"/>
        </w:rPr>
        <w:footnoteReference w:id="28"/>
      </w:r>
      <w:r>
        <w:rPr>
          <w:rFonts w:asciiTheme="minorHAnsi" w:hAnsiTheme="minorHAnsi" w:cstheme="minorHAnsi"/>
          <w:sz w:val="22"/>
          <w:lang w:val="en-IN"/>
        </w:rPr>
        <w:t xml:space="preserve">. The NTEP has engaged IMA and leverages its reach to encourage </w:t>
      </w:r>
      <w:r w:rsidRPr="00DA3806">
        <w:rPr>
          <w:rFonts w:asciiTheme="minorHAnsi" w:hAnsiTheme="minorHAnsi" w:cstheme="minorHAnsi"/>
          <w:sz w:val="22"/>
          <w:lang w:val="en-IN"/>
        </w:rPr>
        <w:t xml:space="preserve">private practitioners to use the tools to facilitate access of free services available through the Public Health System even to patients who seek care in the private sector. IMA </w:t>
      </w:r>
      <w:r>
        <w:rPr>
          <w:rFonts w:asciiTheme="minorHAnsi" w:hAnsiTheme="minorHAnsi" w:cstheme="minorHAnsi"/>
          <w:sz w:val="22"/>
          <w:lang w:val="en-IN"/>
        </w:rPr>
        <w:t>c</w:t>
      </w:r>
      <w:r w:rsidRPr="00DA3806">
        <w:rPr>
          <w:rFonts w:asciiTheme="minorHAnsi" w:hAnsiTheme="minorHAnsi" w:cstheme="minorHAnsi"/>
          <w:sz w:val="22"/>
          <w:lang w:val="en-IN"/>
        </w:rPr>
        <w:t>onduct</w:t>
      </w:r>
      <w:r>
        <w:rPr>
          <w:rFonts w:asciiTheme="minorHAnsi" w:hAnsiTheme="minorHAnsi" w:cstheme="minorHAnsi"/>
          <w:sz w:val="22"/>
          <w:lang w:val="en-IN"/>
        </w:rPr>
        <w:t>s</w:t>
      </w:r>
      <w:r w:rsidRPr="00DA3806">
        <w:rPr>
          <w:rFonts w:asciiTheme="minorHAnsi" w:hAnsiTheme="minorHAnsi" w:cstheme="minorHAnsi"/>
          <w:sz w:val="22"/>
          <w:lang w:val="en-IN"/>
        </w:rPr>
        <w:t xml:space="preserve"> CMEs and training programs</w:t>
      </w:r>
      <w:r>
        <w:rPr>
          <w:rFonts w:asciiTheme="minorHAnsi" w:hAnsiTheme="minorHAnsi" w:cstheme="minorHAnsi"/>
          <w:sz w:val="22"/>
          <w:lang w:val="en-IN"/>
        </w:rPr>
        <w:t xml:space="preserve">, and helps </w:t>
      </w:r>
      <w:r w:rsidRPr="00DA3806">
        <w:rPr>
          <w:rFonts w:asciiTheme="minorHAnsi" w:hAnsiTheme="minorHAnsi" w:cstheme="minorHAnsi"/>
          <w:sz w:val="22"/>
          <w:lang w:val="en-IN"/>
        </w:rPr>
        <w:t>disseminat</w:t>
      </w:r>
      <w:r>
        <w:rPr>
          <w:rFonts w:asciiTheme="minorHAnsi" w:hAnsiTheme="minorHAnsi" w:cstheme="minorHAnsi"/>
          <w:sz w:val="22"/>
          <w:lang w:val="en-IN"/>
        </w:rPr>
        <w:t>e</w:t>
      </w:r>
      <w:r w:rsidRPr="00DA3806">
        <w:rPr>
          <w:rFonts w:asciiTheme="minorHAnsi" w:hAnsiTheme="minorHAnsi" w:cstheme="minorHAnsi"/>
          <w:sz w:val="22"/>
          <w:lang w:val="en-IN"/>
        </w:rPr>
        <w:t xml:space="preserve"> uniform message</w:t>
      </w:r>
      <w:r>
        <w:rPr>
          <w:rFonts w:asciiTheme="minorHAnsi" w:hAnsiTheme="minorHAnsi" w:cstheme="minorHAnsi"/>
          <w:sz w:val="22"/>
          <w:lang w:val="en-IN"/>
        </w:rPr>
        <w:t>s</w:t>
      </w:r>
      <w:r w:rsidRPr="00DA3806">
        <w:rPr>
          <w:rFonts w:asciiTheme="minorHAnsi" w:hAnsiTheme="minorHAnsi" w:cstheme="minorHAnsi"/>
          <w:sz w:val="22"/>
          <w:lang w:val="en-IN"/>
        </w:rPr>
        <w:t xml:space="preserve"> on private sector engagement</w:t>
      </w:r>
      <w:r>
        <w:rPr>
          <w:rFonts w:asciiTheme="minorHAnsi" w:hAnsiTheme="minorHAnsi" w:cstheme="minorHAnsi"/>
          <w:sz w:val="22"/>
          <w:lang w:val="en-IN"/>
        </w:rPr>
        <w:t xml:space="preserve">. It has </w:t>
      </w:r>
      <w:r w:rsidRPr="00DA3806">
        <w:rPr>
          <w:rFonts w:asciiTheme="minorHAnsi" w:hAnsiTheme="minorHAnsi" w:cstheme="minorHAnsi"/>
          <w:sz w:val="22"/>
          <w:lang w:val="en-IN"/>
        </w:rPr>
        <w:t>also engaged</w:t>
      </w:r>
      <w:r>
        <w:rPr>
          <w:rFonts w:asciiTheme="minorHAnsi" w:hAnsiTheme="minorHAnsi" w:cstheme="minorHAnsi"/>
          <w:sz w:val="22"/>
          <w:lang w:val="en-IN"/>
        </w:rPr>
        <w:t xml:space="preserve"> a</w:t>
      </w:r>
      <w:r w:rsidRPr="00DA3806">
        <w:rPr>
          <w:rFonts w:asciiTheme="minorHAnsi" w:hAnsiTheme="minorHAnsi" w:cstheme="minorHAnsi"/>
          <w:sz w:val="22"/>
          <w:lang w:val="en-IN"/>
        </w:rPr>
        <w:t xml:space="preserve"> PR agency for mass communication on TB with private health care providers as targeted audience. </w:t>
      </w:r>
    </w:p>
    <w:p w14:paraId="090318C7" w14:textId="77777777" w:rsidR="00217C7F" w:rsidRPr="00DA3806" w:rsidRDefault="00217C7F" w:rsidP="00442A67">
      <w:pPr>
        <w:pStyle w:val="ListParagraph"/>
        <w:numPr>
          <w:ilvl w:val="0"/>
          <w:numId w:val="32"/>
        </w:numPr>
        <w:spacing w:before="0" w:after="0"/>
        <w:jc w:val="both"/>
        <w:rPr>
          <w:rFonts w:asciiTheme="minorHAnsi" w:hAnsiTheme="minorHAnsi" w:cstheme="minorHAnsi"/>
          <w:sz w:val="22"/>
          <w:lang w:val="en-IN"/>
        </w:rPr>
      </w:pPr>
      <w:bookmarkStart w:id="48" w:name="_hygusqfkeaqn" w:colFirst="0" w:colLast="0"/>
      <w:bookmarkEnd w:id="48"/>
      <w:r w:rsidRPr="00DA3806">
        <w:rPr>
          <w:rFonts w:asciiTheme="minorHAnsi" w:hAnsiTheme="minorHAnsi" w:cstheme="minorHAnsi"/>
          <w:b/>
          <w:sz w:val="22"/>
          <w:lang w:val="en-IN"/>
        </w:rPr>
        <w:t xml:space="preserve">Supporting Partners and NGOs working with NTEP: </w:t>
      </w:r>
      <w:r w:rsidRPr="00DA3806">
        <w:rPr>
          <w:rFonts w:asciiTheme="minorHAnsi" w:hAnsiTheme="minorHAnsi" w:cstheme="minorHAnsi"/>
          <w:sz w:val="22"/>
          <w:lang w:val="en-IN"/>
        </w:rPr>
        <w:t xml:space="preserve">To </w:t>
      </w:r>
      <w:r>
        <w:rPr>
          <w:rFonts w:asciiTheme="minorHAnsi" w:hAnsiTheme="minorHAnsi" w:cstheme="minorHAnsi"/>
          <w:sz w:val="22"/>
          <w:lang w:val="en-IN"/>
        </w:rPr>
        <w:t>END TB</w:t>
      </w:r>
      <w:r w:rsidRPr="00DA3806">
        <w:rPr>
          <w:rFonts w:asciiTheme="minorHAnsi" w:hAnsiTheme="minorHAnsi" w:cstheme="minorHAnsi"/>
          <w:sz w:val="22"/>
          <w:lang w:val="en-IN"/>
        </w:rPr>
        <w:t xml:space="preserve"> by 2025,</w:t>
      </w:r>
      <w:r>
        <w:rPr>
          <w:rFonts w:asciiTheme="minorHAnsi" w:hAnsiTheme="minorHAnsi" w:cstheme="minorHAnsi"/>
          <w:sz w:val="22"/>
          <w:lang w:val="en-IN"/>
        </w:rPr>
        <w:t xml:space="preserve"> thirty five </w:t>
      </w:r>
      <w:r w:rsidRPr="00DA3806">
        <w:rPr>
          <w:rFonts w:asciiTheme="minorHAnsi" w:hAnsiTheme="minorHAnsi" w:cstheme="minorHAnsi"/>
          <w:sz w:val="22"/>
          <w:lang w:val="en-IN"/>
        </w:rPr>
        <w:t>development and technical partners</w:t>
      </w:r>
      <w:r>
        <w:rPr>
          <w:rFonts w:asciiTheme="minorHAnsi" w:hAnsiTheme="minorHAnsi" w:cstheme="minorHAnsi"/>
          <w:sz w:val="22"/>
          <w:lang w:val="en-IN"/>
        </w:rPr>
        <w:t xml:space="preserve"> </w:t>
      </w:r>
      <w:r w:rsidRPr="00920816">
        <w:rPr>
          <w:rFonts w:asciiTheme="minorHAnsi" w:hAnsiTheme="minorHAnsi" w:cstheme="minorHAnsi"/>
          <w:sz w:val="22"/>
          <w:lang w:val="en-IN"/>
        </w:rPr>
        <w:t>with funding support from multi-lateral and bilateral agencies</w:t>
      </w:r>
      <w:r w:rsidRPr="00DA3806">
        <w:rPr>
          <w:rFonts w:asciiTheme="minorHAnsi" w:hAnsiTheme="minorHAnsi" w:cstheme="minorHAnsi"/>
          <w:sz w:val="22"/>
          <w:lang w:val="en-IN"/>
        </w:rPr>
        <w:t xml:space="preserve"> are supporting NTEP</w:t>
      </w:r>
      <w:r>
        <w:rPr>
          <w:rFonts w:asciiTheme="minorHAnsi" w:hAnsiTheme="minorHAnsi" w:cstheme="minorHAnsi"/>
          <w:sz w:val="22"/>
          <w:lang w:val="en-IN"/>
        </w:rPr>
        <w:t xml:space="preserve">. </w:t>
      </w:r>
      <w:r w:rsidRPr="00DA3806">
        <w:rPr>
          <w:rFonts w:asciiTheme="minorHAnsi" w:hAnsiTheme="minorHAnsi" w:cstheme="minorHAnsi"/>
          <w:sz w:val="22"/>
          <w:lang w:val="en-IN"/>
        </w:rPr>
        <w:t>Broadly, these partners support on following major areas as identified under the National Strategic Plan (2017-2025):</w:t>
      </w:r>
    </w:p>
    <w:p w14:paraId="56DA4962" w14:textId="77777777" w:rsidR="00217C7F" w:rsidRPr="00920816" w:rsidRDefault="00217C7F" w:rsidP="00442A67">
      <w:pPr>
        <w:pStyle w:val="ListParagraph"/>
        <w:numPr>
          <w:ilvl w:val="1"/>
          <w:numId w:val="33"/>
        </w:numPr>
        <w:spacing w:before="0" w:after="0"/>
        <w:jc w:val="both"/>
        <w:rPr>
          <w:rFonts w:asciiTheme="minorHAnsi" w:hAnsiTheme="minorHAnsi" w:cstheme="minorHAnsi"/>
          <w:sz w:val="22"/>
          <w:lang w:val="en-IN"/>
        </w:rPr>
      </w:pPr>
      <w:r w:rsidRPr="00920816">
        <w:rPr>
          <w:rFonts w:asciiTheme="minorHAnsi" w:hAnsiTheme="minorHAnsi" w:cstheme="minorHAnsi"/>
          <w:sz w:val="22"/>
          <w:lang w:val="en-IN"/>
        </w:rPr>
        <w:t>Active TB Case Finding in Key Population</w:t>
      </w:r>
    </w:p>
    <w:p w14:paraId="0F3E0C32" w14:textId="77777777" w:rsidR="00217C7F" w:rsidRPr="00920816" w:rsidRDefault="00217C7F" w:rsidP="00442A67">
      <w:pPr>
        <w:pStyle w:val="ListParagraph"/>
        <w:numPr>
          <w:ilvl w:val="1"/>
          <w:numId w:val="33"/>
        </w:numPr>
        <w:spacing w:before="0" w:after="0"/>
        <w:jc w:val="both"/>
        <w:rPr>
          <w:rFonts w:asciiTheme="minorHAnsi" w:hAnsiTheme="minorHAnsi" w:cstheme="minorHAnsi"/>
          <w:sz w:val="22"/>
          <w:lang w:val="en-IN"/>
        </w:rPr>
      </w:pPr>
      <w:r w:rsidRPr="00920816">
        <w:rPr>
          <w:rFonts w:asciiTheme="minorHAnsi" w:hAnsiTheme="minorHAnsi" w:cstheme="minorHAnsi"/>
          <w:sz w:val="22"/>
          <w:lang w:val="en-IN"/>
        </w:rPr>
        <w:t>Private Sector Engagement through Public Private Support Agency</w:t>
      </w:r>
    </w:p>
    <w:p w14:paraId="5A669A9A" w14:textId="77777777" w:rsidR="00217C7F" w:rsidRPr="00920816" w:rsidRDefault="00217C7F" w:rsidP="00442A67">
      <w:pPr>
        <w:pStyle w:val="ListParagraph"/>
        <w:numPr>
          <w:ilvl w:val="1"/>
          <w:numId w:val="33"/>
        </w:numPr>
        <w:spacing w:before="0" w:after="0"/>
        <w:jc w:val="both"/>
        <w:rPr>
          <w:rFonts w:asciiTheme="minorHAnsi" w:hAnsiTheme="minorHAnsi" w:cstheme="minorHAnsi"/>
          <w:sz w:val="22"/>
          <w:lang w:val="en-IN"/>
        </w:rPr>
      </w:pPr>
      <w:r w:rsidRPr="00920816">
        <w:rPr>
          <w:rFonts w:asciiTheme="minorHAnsi" w:hAnsiTheme="minorHAnsi" w:cstheme="minorHAnsi"/>
          <w:sz w:val="22"/>
          <w:lang w:val="en-IN"/>
        </w:rPr>
        <w:t>Expansion of newer drugs and regimens for treatment of drug resistant TB</w:t>
      </w:r>
    </w:p>
    <w:p w14:paraId="2D45E7E1" w14:textId="77777777" w:rsidR="00217C7F" w:rsidRPr="00920816" w:rsidRDefault="00217C7F" w:rsidP="00442A67">
      <w:pPr>
        <w:pStyle w:val="ListParagraph"/>
        <w:numPr>
          <w:ilvl w:val="1"/>
          <w:numId w:val="33"/>
        </w:numPr>
        <w:spacing w:before="0" w:after="0"/>
        <w:jc w:val="both"/>
        <w:rPr>
          <w:rFonts w:asciiTheme="minorHAnsi" w:hAnsiTheme="minorHAnsi" w:cstheme="minorHAnsi"/>
          <w:sz w:val="22"/>
          <w:lang w:val="en-IN"/>
        </w:rPr>
      </w:pPr>
      <w:r w:rsidRPr="00920816">
        <w:rPr>
          <w:rFonts w:asciiTheme="minorHAnsi" w:hAnsiTheme="minorHAnsi" w:cstheme="minorHAnsi"/>
          <w:sz w:val="22"/>
          <w:lang w:val="en-IN"/>
        </w:rPr>
        <w:t>Expansion of laboratory services</w:t>
      </w:r>
    </w:p>
    <w:p w14:paraId="6DDD65B9" w14:textId="77777777" w:rsidR="00217C7F" w:rsidRPr="00920816" w:rsidRDefault="00217C7F" w:rsidP="00442A67">
      <w:pPr>
        <w:pStyle w:val="ListParagraph"/>
        <w:numPr>
          <w:ilvl w:val="1"/>
          <w:numId w:val="33"/>
        </w:numPr>
        <w:spacing w:before="0" w:after="0"/>
        <w:jc w:val="both"/>
        <w:rPr>
          <w:rFonts w:asciiTheme="minorHAnsi" w:hAnsiTheme="minorHAnsi" w:cstheme="minorHAnsi"/>
          <w:sz w:val="22"/>
          <w:lang w:val="en-IN"/>
        </w:rPr>
      </w:pPr>
      <w:r w:rsidRPr="00920816">
        <w:rPr>
          <w:rFonts w:asciiTheme="minorHAnsi" w:hAnsiTheme="minorHAnsi" w:cstheme="minorHAnsi"/>
          <w:sz w:val="22"/>
          <w:lang w:val="en-IN"/>
        </w:rPr>
        <w:t>Establishing patient support systems</w:t>
      </w:r>
    </w:p>
    <w:p w14:paraId="619452E1" w14:textId="77777777" w:rsidR="00217C7F" w:rsidRPr="00920816" w:rsidRDefault="00217C7F" w:rsidP="00442A67">
      <w:pPr>
        <w:pStyle w:val="ListParagraph"/>
        <w:numPr>
          <w:ilvl w:val="1"/>
          <w:numId w:val="33"/>
        </w:numPr>
        <w:spacing w:before="0" w:after="0"/>
        <w:jc w:val="both"/>
        <w:rPr>
          <w:rFonts w:asciiTheme="minorHAnsi" w:hAnsiTheme="minorHAnsi" w:cstheme="minorHAnsi"/>
          <w:sz w:val="22"/>
          <w:lang w:val="en-IN"/>
        </w:rPr>
      </w:pPr>
      <w:r w:rsidRPr="00920816">
        <w:rPr>
          <w:rFonts w:asciiTheme="minorHAnsi" w:hAnsiTheme="minorHAnsi" w:cstheme="minorHAnsi"/>
          <w:sz w:val="22"/>
          <w:lang w:val="en-IN"/>
        </w:rPr>
        <w:t>Community engagement for patient-centred and community led response to TB</w:t>
      </w:r>
    </w:p>
    <w:p w14:paraId="123C7881" w14:textId="77777777" w:rsidR="00217C7F" w:rsidRPr="00920816" w:rsidRDefault="00217C7F" w:rsidP="00442A67">
      <w:pPr>
        <w:pStyle w:val="ListParagraph"/>
        <w:numPr>
          <w:ilvl w:val="1"/>
          <w:numId w:val="33"/>
        </w:numPr>
        <w:spacing w:before="0" w:after="0"/>
        <w:jc w:val="both"/>
        <w:rPr>
          <w:rFonts w:asciiTheme="minorHAnsi" w:hAnsiTheme="minorHAnsi" w:cstheme="minorHAnsi"/>
          <w:sz w:val="22"/>
          <w:lang w:val="en-IN"/>
        </w:rPr>
      </w:pPr>
      <w:r w:rsidRPr="00920816">
        <w:rPr>
          <w:rFonts w:asciiTheme="minorHAnsi" w:hAnsiTheme="minorHAnsi" w:cstheme="minorHAnsi"/>
          <w:sz w:val="22"/>
          <w:lang w:val="en-IN"/>
        </w:rPr>
        <w:t>Multi-sectoral response against TB</w:t>
      </w:r>
    </w:p>
    <w:p w14:paraId="34E79C85" w14:textId="77777777" w:rsidR="00217C7F" w:rsidRPr="00920816" w:rsidRDefault="00217C7F" w:rsidP="00442A67">
      <w:pPr>
        <w:pStyle w:val="ListParagraph"/>
        <w:numPr>
          <w:ilvl w:val="1"/>
          <w:numId w:val="33"/>
        </w:numPr>
        <w:spacing w:before="0" w:after="0"/>
        <w:jc w:val="both"/>
        <w:rPr>
          <w:rFonts w:asciiTheme="minorHAnsi" w:hAnsiTheme="minorHAnsi" w:cstheme="minorHAnsi"/>
          <w:sz w:val="22"/>
          <w:lang w:val="en-IN"/>
        </w:rPr>
      </w:pPr>
      <w:r w:rsidRPr="00920816">
        <w:rPr>
          <w:rFonts w:asciiTheme="minorHAnsi" w:hAnsiTheme="minorHAnsi" w:cstheme="minorHAnsi"/>
          <w:sz w:val="22"/>
          <w:lang w:val="en-IN"/>
        </w:rPr>
        <w:t>Advocacy and Communication</w:t>
      </w:r>
    </w:p>
    <w:p w14:paraId="346C61E0" w14:textId="77777777" w:rsidR="00217C7F" w:rsidRPr="00920816" w:rsidRDefault="00217C7F" w:rsidP="00442A67">
      <w:pPr>
        <w:pStyle w:val="ListParagraph"/>
        <w:numPr>
          <w:ilvl w:val="1"/>
          <w:numId w:val="33"/>
        </w:numPr>
        <w:spacing w:before="0" w:after="0"/>
        <w:jc w:val="both"/>
        <w:rPr>
          <w:rFonts w:asciiTheme="minorHAnsi" w:hAnsiTheme="minorHAnsi" w:cstheme="minorHAnsi"/>
          <w:sz w:val="22"/>
          <w:lang w:val="en-IN"/>
        </w:rPr>
      </w:pPr>
      <w:r w:rsidRPr="00920816">
        <w:rPr>
          <w:rFonts w:asciiTheme="minorHAnsi" w:hAnsiTheme="minorHAnsi" w:cstheme="minorHAnsi"/>
          <w:sz w:val="22"/>
          <w:lang w:val="en-IN"/>
        </w:rPr>
        <w:t xml:space="preserve">Digital solutions for information management </w:t>
      </w:r>
    </w:p>
    <w:p w14:paraId="3CF393C2" w14:textId="77777777" w:rsidR="00217C7F" w:rsidRPr="006A3E3F" w:rsidRDefault="00217C7F" w:rsidP="00442A67">
      <w:pPr>
        <w:pStyle w:val="ListParagraph"/>
        <w:numPr>
          <w:ilvl w:val="0"/>
          <w:numId w:val="32"/>
        </w:numPr>
        <w:spacing w:before="0" w:after="0"/>
        <w:jc w:val="both"/>
        <w:rPr>
          <w:rFonts w:asciiTheme="minorHAnsi" w:hAnsiTheme="minorHAnsi" w:cstheme="minorHAnsi"/>
          <w:sz w:val="22"/>
          <w:lang w:val="en-IN"/>
        </w:rPr>
      </w:pPr>
      <w:bookmarkStart w:id="49" w:name="_l3ss9xchart" w:colFirst="0" w:colLast="0"/>
      <w:bookmarkStart w:id="50" w:name="_6xdyej3qthwp" w:colFirst="0" w:colLast="0"/>
      <w:bookmarkEnd w:id="49"/>
      <w:bookmarkEnd w:id="50"/>
      <w:r w:rsidRPr="006A3E3F">
        <w:rPr>
          <w:rFonts w:asciiTheme="minorHAnsi" w:hAnsiTheme="minorHAnsi" w:cstheme="minorHAnsi"/>
          <w:b/>
          <w:sz w:val="22"/>
          <w:lang w:val="en-IN"/>
        </w:rPr>
        <w:t xml:space="preserve">Partnership through financial support from NTEP: </w:t>
      </w:r>
      <w:bookmarkStart w:id="51" w:name="_6t0mmqb2mvpa" w:colFirst="0" w:colLast="0"/>
      <w:bookmarkEnd w:id="51"/>
      <w:r w:rsidRPr="006A3E3F">
        <w:rPr>
          <w:rFonts w:asciiTheme="minorHAnsi" w:hAnsiTheme="minorHAnsi" w:cstheme="minorHAnsi"/>
          <w:sz w:val="22"/>
          <w:lang w:val="en-IN"/>
        </w:rPr>
        <w:t>The NTEP has National Guideline on Partnership to fund NGOs/PPs</w:t>
      </w:r>
      <w:r>
        <w:rPr>
          <w:rFonts w:asciiTheme="minorHAnsi" w:hAnsiTheme="minorHAnsi" w:cstheme="minorHAnsi"/>
          <w:sz w:val="22"/>
          <w:lang w:val="en-IN"/>
        </w:rPr>
        <w:t xml:space="preserve">. </w:t>
      </w:r>
      <w:r w:rsidRPr="006A3E3F">
        <w:rPr>
          <w:rFonts w:asciiTheme="minorHAnsi" w:hAnsiTheme="minorHAnsi" w:cstheme="minorHAnsi"/>
          <w:sz w:val="22"/>
          <w:lang w:val="en-IN"/>
        </w:rPr>
        <w:t xml:space="preserve">In 2019, there are 685 such partnership projects engaged with the States and Districts with funding support from NTEP. </w:t>
      </w:r>
    </w:p>
    <w:p w14:paraId="67785AF5" w14:textId="77777777" w:rsidR="00217C7F" w:rsidRPr="006A3E3F" w:rsidRDefault="00217C7F" w:rsidP="00442A67">
      <w:pPr>
        <w:pStyle w:val="ListParagraph"/>
        <w:numPr>
          <w:ilvl w:val="0"/>
          <w:numId w:val="32"/>
        </w:numPr>
        <w:spacing w:before="0" w:after="0"/>
        <w:jc w:val="both"/>
        <w:rPr>
          <w:rFonts w:asciiTheme="minorHAnsi" w:hAnsiTheme="minorHAnsi" w:cstheme="minorHAnsi"/>
          <w:sz w:val="22"/>
          <w:lang w:val="en-IN"/>
        </w:rPr>
      </w:pPr>
      <w:bookmarkStart w:id="52" w:name="_12fagqvh6v9c" w:colFirst="0" w:colLast="0"/>
      <w:bookmarkEnd w:id="52"/>
      <w:r w:rsidRPr="006A3E3F">
        <w:rPr>
          <w:rFonts w:asciiTheme="minorHAnsi" w:hAnsiTheme="minorHAnsi" w:cstheme="minorHAnsi"/>
          <w:b/>
          <w:sz w:val="22"/>
          <w:lang w:val="en-IN"/>
        </w:rPr>
        <w:t>Incentives to private providers/ chemists for notification and reporting treatment outcomes:</w:t>
      </w:r>
      <w:r>
        <w:rPr>
          <w:rFonts w:asciiTheme="minorHAnsi" w:hAnsiTheme="minorHAnsi" w:cstheme="minorHAnsi"/>
          <w:sz w:val="22"/>
          <w:lang w:val="en-IN"/>
        </w:rPr>
        <w:t xml:space="preserve">  </w:t>
      </w:r>
      <w:r w:rsidRPr="006A3E3F">
        <w:rPr>
          <w:rFonts w:asciiTheme="minorHAnsi" w:hAnsiTheme="minorHAnsi" w:cstheme="minorHAnsi"/>
          <w:sz w:val="22"/>
          <w:lang w:val="en-IN"/>
        </w:rPr>
        <w:t>NTEP’s recent policy recommends that 500</w:t>
      </w:r>
      <w:r>
        <w:rPr>
          <w:rFonts w:asciiTheme="minorHAnsi" w:hAnsiTheme="minorHAnsi" w:cstheme="minorHAnsi"/>
          <w:sz w:val="22"/>
          <w:lang w:val="en-IN"/>
        </w:rPr>
        <w:t xml:space="preserve"> </w:t>
      </w:r>
      <w:r w:rsidRPr="006A3E3F">
        <w:rPr>
          <w:rFonts w:asciiTheme="minorHAnsi" w:hAnsiTheme="minorHAnsi" w:cstheme="minorHAnsi"/>
          <w:sz w:val="22"/>
          <w:lang w:val="en-IN"/>
        </w:rPr>
        <w:t xml:space="preserve">INR would be given at the time of TB notification and the other 500 INR at the time of reporting treatment outcome. Benefits under this scheme are also to be given as a Direct Beneficiary Transfer, provisions for which have been included in Nikshay as well.  </w:t>
      </w:r>
    </w:p>
    <w:p w14:paraId="0F464EE9" w14:textId="77777777" w:rsidR="00217C7F" w:rsidRPr="006A3E3F" w:rsidRDefault="00217C7F" w:rsidP="00442A67">
      <w:pPr>
        <w:pStyle w:val="ListParagraph"/>
        <w:numPr>
          <w:ilvl w:val="0"/>
          <w:numId w:val="32"/>
        </w:numPr>
        <w:spacing w:before="0" w:after="0"/>
        <w:jc w:val="both"/>
        <w:rPr>
          <w:rFonts w:asciiTheme="minorHAnsi" w:hAnsiTheme="minorHAnsi" w:cstheme="minorHAnsi"/>
          <w:sz w:val="22"/>
          <w:lang w:val="en-IN"/>
        </w:rPr>
      </w:pPr>
      <w:bookmarkStart w:id="53" w:name="_m5r92kl5l7xm" w:colFirst="0" w:colLast="0"/>
      <w:bookmarkEnd w:id="53"/>
      <w:r w:rsidRPr="006A3E3F">
        <w:rPr>
          <w:rFonts w:asciiTheme="minorHAnsi" w:hAnsiTheme="minorHAnsi" w:cstheme="minorHAnsi"/>
          <w:b/>
          <w:sz w:val="22"/>
          <w:lang w:val="en-IN"/>
        </w:rPr>
        <w:t xml:space="preserve">Nikshay Poshan Yojana: </w:t>
      </w:r>
      <w:r w:rsidRPr="006A3E3F">
        <w:rPr>
          <w:rFonts w:asciiTheme="minorHAnsi" w:hAnsiTheme="minorHAnsi" w:cstheme="minorHAnsi"/>
          <w:sz w:val="22"/>
          <w:lang w:val="en-IN"/>
        </w:rPr>
        <w:t>A nutritional support of 500 INR per month for the entire duration of treatment will be extended to all TB patients irrespective of the sector from which they seek treatment.</w:t>
      </w:r>
    </w:p>
    <w:p w14:paraId="174DF552" w14:textId="77777777" w:rsidR="00217C7F" w:rsidRPr="006A3E3F" w:rsidRDefault="00217C7F" w:rsidP="00442A67">
      <w:pPr>
        <w:pStyle w:val="ListParagraph"/>
        <w:numPr>
          <w:ilvl w:val="0"/>
          <w:numId w:val="32"/>
        </w:numPr>
        <w:spacing w:before="0" w:after="0"/>
        <w:jc w:val="both"/>
        <w:rPr>
          <w:rFonts w:asciiTheme="minorHAnsi" w:hAnsiTheme="minorHAnsi" w:cstheme="minorHAnsi"/>
          <w:sz w:val="22"/>
          <w:lang w:val="en-IN"/>
        </w:rPr>
      </w:pPr>
      <w:r w:rsidRPr="006A3E3F">
        <w:rPr>
          <w:rFonts w:asciiTheme="minorHAnsi" w:hAnsiTheme="minorHAnsi" w:cstheme="minorHAnsi"/>
          <w:b/>
          <w:sz w:val="22"/>
          <w:lang w:val="en-IN"/>
        </w:rPr>
        <w:t xml:space="preserve">Nikshay Sampark: </w:t>
      </w:r>
      <w:r w:rsidRPr="006A3E3F">
        <w:rPr>
          <w:rFonts w:asciiTheme="minorHAnsi" w:hAnsiTheme="minorHAnsi" w:cstheme="minorHAnsi"/>
          <w:sz w:val="22"/>
          <w:lang w:val="en-IN"/>
        </w:rPr>
        <w:t>Establishment of a National Call Centre – Nikshay Sampark- which, in addition to serving as a platform for grievance redressal, can also be used for notification of TB patients, and for treatment adherence support. This can be particularly useful in case of private sector notification. The Program currently runs a 100 seat Call Centre and supports 14 languages.</w:t>
      </w:r>
    </w:p>
    <w:p w14:paraId="24C918DE" w14:textId="664AD890" w:rsidR="00217C7F" w:rsidRPr="006A3E3F" w:rsidRDefault="00217C7F" w:rsidP="00626206">
      <w:pPr>
        <w:pStyle w:val="ListParagraph"/>
        <w:numPr>
          <w:ilvl w:val="0"/>
          <w:numId w:val="32"/>
        </w:numPr>
        <w:spacing w:before="0" w:after="0"/>
        <w:jc w:val="both"/>
        <w:rPr>
          <w:rFonts w:asciiTheme="minorHAnsi" w:hAnsiTheme="minorHAnsi" w:cstheme="minorHAnsi"/>
          <w:sz w:val="22"/>
          <w:lang w:val="en-IN"/>
        </w:rPr>
      </w:pPr>
      <w:r w:rsidRPr="006A3E3F">
        <w:rPr>
          <w:rFonts w:asciiTheme="minorHAnsi" w:hAnsiTheme="minorHAnsi" w:cstheme="minorHAnsi"/>
          <w:b/>
          <w:sz w:val="22"/>
          <w:lang w:val="en-IN"/>
        </w:rPr>
        <w:t xml:space="preserve">Patient Provider Support Agency (PPSA): </w:t>
      </w:r>
      <w:r w:rsidRPr="006A3E3F">
        <w:rPr>
          <w:rFonts w:asciiTheme="minorHAnsi" w:hAnsiTheme="minorHAnsi" w:cstheme="minorHAnsi"/>
          <w:sz w:val="22"/>
          <w:lang w:val="en-IN"/>
        </w:rPr>
        <w:t xml:space="preserve">Learnings from successful interventions of Patient Provider Interface Agency (PPIA) from the </w:t>
      </w:r>
      <w:r w:rsidRPr="00626206">
        <w:rPr>
          <w:rFonts w:asciiTheme="minorHAnsi" w:hAnsiTheme="minorHAnsi" w:cstheme="minorHAnsi"/>
          <w:b/>
          <w:sz w:val="22"/>
          <w:lang w:val="en-IN"/>
        </w:rPr>
        <w:t>Universal Access to TB Care</w:t>
      </w:r>
      <w:r w:rsidRPr="006A3E3F">
        <w:rPr>
          <w:rFonts w:asciiTheme="minorHAnsi" w:hAnsiTheme="minorHAnsi" w:cstheme="minorHAnsi"/>
          <w:sz w:val="22"/>
          <w:lang w:val="en-IN"/>
        </w:rPr>
        <w:t xml:space="preserve"> (UATBC) has been translated to the Patient Provider Support Agency (PPSA) and expanded to 45 cities (92 districts) </w:t>
      </w:r>
      <w:r w:rsidRPr="006A3E3F">
        <w:rPr>
          <w:rFonts w:asciiTheme="minorHAnsi" w:hAnsiTheme="minorHAnsi" w:cstheme="minorHAnsi"/>
          <w:sz w:val="22"/>
          <w:lang w:val="en-IN"/>
        </w:rPr>
        <w:lastRenderedPageBreak/>
        <w:t xml:space="preserve">with Global Fund supported </w:t>
      </w:r>
      <w:r w:rsidRPr="00626206">
        <w:rPr>
          <w:rFonts w:asciiTheme="minorHAnsi" w:hAnsiTheme="minorHAnsi" w:cstheme="minorHAnsi"/>
          <w:b/>
          <w:sz w:val="22"/>
          <w:lang w:val="en-IN"/>
        </w:rPr>
        <w:t>JEET</w:t>
      </w:r>
      <w:r w:rsidRPr="006A3E3F">
        <w:rPr>
          <w:rFonts w:asciiTheme="minorHAnsi" w:hAnsiTheme="minorHAnsi" w:cstheme="minorHAnsi"/>
          <w:sz w:val="22"/>
          <w:lang w:val="en-IN"/>
        </w:rPr>
        <w:t xml:space="preserve"> project. To augment private sector notification, 48 patient provider support agencies have been operating using input-based financing and producing both results and lessons for the future, and 145,000 and 35,000 private patients have benefited from the use of public sector CBNAATs and fixed dose combination (FDC) program drugs, respectively. More recently, 48 new PPSA have been contracted on an out</w:t>
      </w:r>
      <w:r w:rsidR="005B58D1">
        <w:rPr>
          <w:rFonts w:asciiTheme="minorHAnsi" w:hAnsiTheme="minorHAnsi" w:cstheme="minorHAnsi"/>
          <w:sz w:val="22"/>
          <w:lang w:val="en-IN"/>
        </w:rPr>
        <w:t>put-based financing arrangement.</w:t>
      </w:r>
      <w:r w:rsidRPr="006A3E3F">
        <w:rPr>
          <w:rFonts w:asciiTheme="minorHAnsi" w:hAnsiTheme="minorHAnsi" w:cstheme="minorHAnsi"/>
          <w:sz w:val="22"/>
          <w:lang w:val="en-IN"/>
        </w:rPr>
        <w:t xml:space="preserve"> </w:t>
      </w:r>
      <w:r w:rsidR="00017309">
        <w:rPr>
          <w:rFonts w:asciiTheme="minorHAnsi" w:hAnsiTheme="minorHAnsi" w:cstheme="minorHAnsi"/>
          <w:sz w:val="22"/>
          <w:lang w:val="en-IN"/>
        </w:rPr>
        <w:t xml:space="preserve">Going forward, the NTEP is transitioning all the PPSA’s to domestically funded agencies wherein </w:t>
      </w:r>
      <w:r w:rsidR="00017309" w:rsidRPr="00017309">
        <w:rPr>
          <w:rFonts w:asciiTheme="minorHAnsi" w:hAnsiTheme="minorHAnsi" w:cstheme="minorHAnsi"/>
          <w:sz w:val="22"/>
          <w:lang w:val="en-IN"/>
        </w:rPr>
        <w:t xml:space="preserve">the GOI </w:t>
      </w:r>
      <w:r w:rsidR="00017309">
        <w:rPr>
          <w:rFonts w:asciiTheme="minorHAnsi" w:hAnsiTheme="minorHAnsi" w:cstheme="minorHAnsi"/>
          <w:sz w:val="22"/>
          <w:lang w:val="en-IN"/>
        </w:rPr>
        <w:t xml:space="preserve">will </w:t>
      </w:r>
      <w:r w:rsidR="00017309" w:rsidRPr="00017309">
        <w:rPr>
          <w:rFonts w:asciiTheme="minorHAnsi" w:hAnsiTheme="minorHAnsi" w:cstheme="minorHAnsi"/>
          <w:sz w:val="22"/>
          <w:lang w:val="en-IN"/>
        </w:rPr>
        <w:t>scale-up</w:t>
      </w:r>
      <w:r w:rsidR="00626206">
        <w:rPr>
          <w:rFonts w:asciiTheme="minorHAnsi" w:hAnsiTheme="minorHAnsi" w:cstheme="minorHAnsi"/>
          <w:sz w:val="22"/>
          <w:lang w:val="en-IN"/>
        </w:rPr>
        <w:t xml:space="preserve"> it up</w:t>
      </w:r>
      <w:r w:rsidR="00017309" w:rsidRPr="00017309">
        <w:rPr>
          <w:rFonts w:asciiTheme="minorHAnsi" w:hAnsiTheme="minorHAnsi" w:cstheme="minorHAnsi"/>
          <w:sz w:val="22"/>
          <w:lang w:val="en-IN"/>
        </w:rPr>
        <w:t xml:space="preserve"> in </w:t>
      </w:r>
      <w:r w:rsidR="00017309">
        <w:rPr>
          <w:rFonts w:asciiTheme="minorHAnsi" w:hAnsiTheme="minorHAnsi" w:cstheme="minorHAnsi"/>
          <w:sz w:val="22"/>
          <w:lang w:val="en-IN"/>
        </w:rPr>
        <w:t>nine</w:t>
      </w:r>
      <w:r w:rsidR="00017309" w:rsidRPr="00017309">
        <w:rPr>
          <w:rFonts w:asciiTheme="minorHAnsi" w:hAnsiTheme="minorHAnsi" w:cstheme="minorHAnsi"/>
          <w:sz w:val="22"/>
          <w:lang w:val="en-IN"/>
        </w:rPr>
        <w:t xml:space="preserve"> states supported by </w:t>
      </w:r>
      <w:r w:rsidR="00017309">
        <w:rPr>
          <w:rFonts w:asciiTheme="minorHAnsi" w:hAnsiTheme="minorHAnsi" w:cstheme="minorHAnsi"/>
          <w:sz w:val="22"/>
          <w:lang w:val="en-IN"/>
        </w:rPr>
        <w:t xml:space="preserve">the </w:t>
      </w:r>
      <w:r w:rsidR="00017309" w:rsidRPr="00017309">
        <w:rPr>
          <w:rFonts w:asciiTheme="minorHAnsi" w:hAnsiTheme="minorHAnsi" w:cstheme="minorHAnsi"/>
          <w:sz w:val="22"/>
          <w:lang w:val="en-IN"/>
        </w:rPr>
        <w:t>W</w:t>
      </w:r>
      <w:r w:rsidR="00017309">
        <w:rPr>
          <w:rFonts w:asciiTheme="minorHAnsi" w:hAnsiTheme="minorHAnsi" w:cstheme="minorHAnsi"/>
          <w:sz w:val="22"/>
          <w:lang w:val="en-IN"/>
        </w:rPr>
        <w:t xml:space="preserve">orld </w:t>
      </w:r>
      <w:r w:rsidR="00017309" w:rsidRPr="00017309">
        <w:rPr>
          <w:rFonts w:asciiTheme="minorHAnsi" w:hAnsiTheme="minorHAnsi" w:cstheme="minorHAnsi"/>
          <w:sz w:val="22"/>
          <w:lang w:val="en-IN"/>
        </w:rPr>
        <w:t>B</w:t>
      </w:r>
      <w:r w:rsidR="00B80D0D">
        <w:rPr>
          <w:rFonts w:asciiTheme="minorHAnsi" w:hAnsiTheme="minorHAnsi" w:cstheme="minorHAnsi"/>
          <w:sz w:val="22"/>
          <w:lang w:val="en-IN"/>
        </w:rPr>
        <w:t xml:space="preserve">ank under the </w:t>
      </w:r>
      <w:r w:rsidR="00626206" w:rsidRPr="00626206">
        <w:rPr>
          <w:rFonts w:asciiTheme="minorHAnsi" w:hAnsiTheme="minorHAnsi" w:cstheme="minorHAnsi"/>
          <w:b/>
          <w:sz w:val="22"/>
          <w:lang w:val="en-IN"/>
        </w:rPr>
        <w:t>“Programme towards Elimination of Tuberculosis</w:t>
      </w:r>
      <w:r w:rsidR="00626206">
        <w:rPr>
          <w:rFonts w:asciiTheme="minorHAnsi" w:hAnsiTheme="minorHAnsi" w:cstheme="minorHAnsi"/>
          <w:b/>
          <w:sz w:val="22"/>
          <w:lang w:val="en-IN"/>
        </w:rPr>
        <w:t>”.</w:t>
      </w:r>
    </w:p>
    <w:p w14:paraId="51CBBA77" w14:textId="478707E7" w:rsidR="00217C7F" w:rsidRPr="00C45A90" w:rsidRDefault="0033007D" w:rsidP="00217C7F">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2</w:t>
      </w:r>
      <w:r>
        <w:rPr>
          <w:rFonts w:asciiTheme="minorHAnsi" w:hAnsiTheme="minorHAnsi" w:cstheme="minorHAnsi"/>
          <w:b/>
          <w:color w:val="C86A07" w:themeColor="accent2" w:themeShade="BF"/>
          <w:sz w:val="28"/>
          <w:lang w:val="en"/>
        </w:rPr>
        <w:t xml:space="preserve">.3 </w:t>
      </w:r>
      <w:r w:rsidR="00217C7F" w:rsidRPr="00C45A90">
        <w:rPr>
          <w:rFonts w:asciiTheme="minorHAnsi" w:hAnsiTheme="minorHAnsi" w:cstheme="minorHAnsi"/>
          <w:b/>
          <w:color w:val="C86A07" w:themeColor="accent2" w:themeShade="BF"/>
          <w:sz w:val="28"/>
          <w:lang w:val="en"/>
        </w:rPr>
        <w:t>CHALLENGES REMAIN</w:t>
      </w:r>
    </w:p>
    <w:p w14:paraId="0FBD3B74" w14:textId="77777777" w:rsidR="00217C7F" w:rsidRPr="00963096" w:rsidRDefault="00217C7F" w:rsidP="00217C7F">
      <w:pPr>
        <w:spacing w:before="0" w:after="0"/>
        <w:jc w:val="both"/>
        <w:rPr>
          <w:rFonts w:asciiTheme="minorHAnsi" w:hAnsiTheme="minorHAnsi" w:cstheme="minorHAnsi"/>
          <w:sz w:val="22"/>
        </w:rPr>
      </w:pPr>
      <w:r>
        <w:rPr>
          <w:rFonts w:asciiTheme="minorHAnsi" w:hAnsiTheme="minorHAnsi" w:cstheme="minorHAnsi"/>
          <w:sz w:val="22"/>
          <w:lang w:val="en-IN"/>
        </w:rPr>
        <w:t>I</w:t>
      </w:r>
      <w:r w:rsidRPr="00396CFF">
        <w:rPr>
          <w:rFonts w:asciiTheme="minorHAnsi" w:hAnsiTheme="minorHAnsi" w:cstheme="minorHAnsi"/>
          <w:sz w:val="22"/>
          <w:lang w:val="en-IN"/>
        </w:rPr>
        <w:t xml:space="preserve">n spite of </w:t>
      </w:r>
      <w:r>
        <w:rPr>
          <w:rFonts w:asciiTheme="minorHAnsi" w:hAnsiTheme="minorHAnsi" w:cstheme="minorHAnsi"/>
          <w:sz w:val="22"/>
          <w:lang w:val="en-IN"/>
        </w:rPr>
        <w:t xml:space="preserve">the </w:t>
      </w:r>
      <w:r w:rsidRPr="00963096">
        <w:rPr>
          <w:rFonts w:asciiTheme="minorHAnsi" w:hAnsiTheme="minorHAnsi" w:cstheme="minorHAnsi"/>
          <w:sz w:val="22"/>
          <w:lang w:val="en-IN"/>
        </w:rPr>
        <w:t>remarkable progress in private sector engagement</w:t>
      </w:r>
      <w:r>
        <w:rPr>
          <w:rFonts w:asciiTheme="minorHAnsi" w:hAnsiTheme="minorHAnsi" w:cstheme="minorHAnsi"/>
          <w:sz w:val="22"/>
          <w:lang w:val="en-IN"/>
        </w:rPr>
        <w:t xml:space="preserve"> </w:t>
      </w:r>
      <w:r w:rsidRPr="00963096">
        <w:rPr>
          <w:rFonts w:asciiTheme="minorHAnsi" w:hAnsiTheme="minorHAnsi" w:cstheme="minorHAnsi"/>
          <w:sz w:val="22"/>
        </w:rPr>
        <w:t xml:space="preserve">major challenges </w:t>
      </w:r>
      <w:r>
        <w:rPr>
          <w:rFonts w:asciiTheme="minorHAnsi" w:hAnsiTheme="minorHAnsi" w:cstheme="minorHAnsi"/>
          <w:sz w:val="22"/>
        </w:rPr>
        <w:t xml:space="preserve">continue to impede the pace of reaching out to all TB patients in the private sector. </w:t>
      </w:r>
    </w:p>
    <w:p w14:paraId="699E8AE8" w14:textId="3BC050B8" w:rsidR="00217C7F" w:rsidRPr="00C212A2" w:rsidRDefault="00217C7F" w:rsidP="00442A67">
      <w:pPr>
        <w:pStyle w:val="ListParagraph"/>
        <w:numPr>
          <w:ilvl w:val="0"/>
          <w:numId w:val="34"/>
        </w:numPr>
        <w:spacing w:before="0" w:after="0"/>
        <w:jc w:val="both"/>
        <w:rPr>
          <w:rFonts w:asciiTheme="minorHAnsi" w:hAnsiTheme="minorHAnsi" w:cstheme="minorHAnsi"/>
          <w:sz w:val="22"/>
        </w:rPr>
      </w:pPr>
      <w:r w:rsidRPr="00C212A2">
        <w:rPr>
          <w:rFonts w:asciiTheme="minorHAnsi" w:hAnsiTheme="minorHAnsi" w:cstheme="minorHAnsi"/>
          <w:sz w:val="22"/>
        </w:rPr>
        <w:t>There is substantial increase in notification</w:t>
      </w:r>
      <w:r w:rsidR="005B58D1">
        <w:rPr>
          <w:rFonts w:asciiTheme="minorHAnsi" w:hAnsiTheme="minorHAnsi" w:cstheme="minorHAnsi"/>
          <w:sz w:val="22"/>
        </w:rPr>
        <w:t xml:space="preserve"> from the private sector</w:t>
      </w:r>
      <w:r w:rsidRPr="00C212A2">
        <w:rPr>
          <w:rFonts w:asciiTheme="minorHAnsi" w:hAnsiTheme="minorHAnsi" w:cstheme="minorHAnsi"/>
          <w:sz w:val="22"/>
        </w:rPr>
        <w:t xml:space="preserve"> and</w:t>
      </w:r>
      <w:r w:rsidR="005B58D1">
        <w:rPr>
          <w:rFonts w:asciiTheme="minorHAnsi" w:hAnsiTheme="minorHAnsi" w:cstheme="minorHAnsi"/>
          <w:sz w:val="22"/>
        </w:rPr>
        <w:t xml:space="preserve"> the</w:t>
      </w:r>
      <w:r w:rsidRPr="00C212A2">
        <w:rPr>
          <w:rFonts w:asciiTheme="minorHAnsi" w:hAnsiTheme="minorHAnsi" w:cstheme="minorHAnsi"/>
          <w:sz w:val="22"/>
        </w:rPr>
        <w:t xml:space="preserve"> private sector drug sales is also declining.</w:t>
      </w:r>
      <w:r>
        <w:rPr>
          <w:rFonts w:asciiTheme="minorHAnsi" w:hAnsiTheme="minorHAnsi" w:cstheme="minorHAnsi"/>
          <w:sz w:val="22"/>
        </w:rPr>
        <w:t xml:space="preserve"> </w:t>
      </w:r>
      <w:r w:rsidRPr="00C212A2">
        <w:rPr>
          <w:rFonts w:asciiTheme="minorHAnsi" w:hAnsiTheme="minorHAnsi" w:cstheme="minorHAnsi"/>
          <w:sz w:val="22"/>
        </w:rPr>
        <w:t>However, still there are gaps in notification and TB patients managed in the private sector. Notification and public health action is not converted into routine practice.</w:t>
      </w:r>
    </w:p>
    <w:p w14:paraId="0243E836" w14:textId="2373E555" w:rsidR="00217C7F" w:rsidRDefault="00217C7F" w:rsidP="00442A67">
      <w:pPr>
        <w:pStyle w:val="ListParagraph"/>
        <w:numPr>
          <w:ilvl w:val="0"/>
          <w:numId w:val="34"/>
        </w:numPr>
        <w:spacing w:before="0" w:after="0"/>
        <w:jc w:val="both"/>
        <w:rPr>
          <w:rFonts w:asciiTheme="minorHAnsi" w:hAnsiTheme="minorHAnsi" w:cstheme="minorHAnsi"/>
          <w:sz w:val="22"/>
        </w:rPr>
      </w:pPr>
      <w:r w:rsidRPr="00C212A2">
        <w:rPr>
          <w:rFonts w:asciiTheme="minorHAnsi" w:hAnsiTheme="minorHAnsi" w:cstheme="minorHAnsi"/>
          <w:sz w:val="22"/>
        </w:rPr>
        <w:t>More than 70% of privately notified patients (even in PPSA) currently don’t benefit from programme services such as access to free diagnostics, free FDCs and public health action such as contact tracing, counseling, co-morbidity testing.</w:t>
      </w:r>
      <w:r w:rsidR="00722825">
        <w:rPr>
          <w:rFonts w:asciiTheme="minorHAnsi" w:hAnsiTheme="minorHAnsi" w:cstheme="minorHAnsi"/>
          <w:sz w:val="22"/>
        </w:rPr>
        <w:t xml:space="preserve"> </w:t>
      </w:r>
    </w:p>
    <w:p w14:paraId="1ED9C554" w14:textId="1F3C8717" w:rsidR="00722825" w:rsidRPr="00C212A2" w:rsidRDefault="00722825" w:rsidP="00722825">
      <w:pPr>
        <w:pStyle w:val="ListParagraph"/>
        <w:numPr>
          <w:ilvl w:val="0"/>
          <w:numId w:val="34"/>
        </w:numPr>
        <w:spacing w:before="0" w:after="0"/>
        <w:jc w:val="both"/>
        <w:rPr>
          <w:rFonts w:asciiTheme="minorHAnsi" w:hAnsiTheme="minorHAnsi" w:cstheme="minorHAnsi"/>
          <w:sz w:val="22"/>
        </w:rPr>
      </w:pPr>
      <w:r>
        <w:rPr>
          <w:rFonts w:asciiTheme="minorHAnsi" w:hAnsiTheme="minorHAnsi" w:cstheme="minorHAnsi"/>
          <w:sz w:val="22"/>
        </w:rPr>
        <w:t xml:space="preserve">Weak capacity for </w:t>
      </w:r>
      <w:r w:rsidRPr="00722825">
        <w:rPr>
          <w:rFonts w:asciiTheme="minorHAnsi" w:hAnsiTheme="minorHAnsi" w:cstheme="minorHAnsi"/>
          <w:sz w:val="22"/>
        </w:rPr>
        <w:t>implementation of public health functions like contact investigation and provision of TPT</w:t>
      </w:r>
      <w:r w:rsidR="00592EDF">
        <w:rPr>
          <w:rFonts w:asciiTheme="minorHAnsi" w:hAnsiTheme="minorHAnsi" w:cstheme="minorHAnsi"/>
          <w:sz w:val="22"/>
        </w:rPr>
        <w:t>.</w:t>
      </w:r>
    </w:p>
    <w:p w14:paraId="023011C0" w14:textId="77777777" w:rsidR="00217C7F" w:rsidRPr="00C212A2" w:rsidRDefault="00217C7F" w:rsidP="00442A67">
      <w:pPr>
        <w:pStyle w:val="ListParagraph"/>
        <w:numPr>
          <w:ilvl w:val="0"/>
          <w:numId w:val="34"/>
        </w:numPr>
        <w:spacing w:before="0" w:after="0"/>
        <w:jc w:val="both"/>
        <w:rPr>
          <w:rFonts w:asciiTheme="minorHAnsi" w:hAnsiTheme="minorHAnsi" w:cstheme="minorHAnsi"/>
          <w:sz w:val="22"/>
        </w:rPr>
      </w:pPr>
      <w:r w:rsidRPr="00C212A2">
        <w:rPr>
          <w:rFonts w:asciiTheme="minorHAnsi" w:hAnsiTheme="minorHAnsi" w:cstheme="minorHAnsi"/>
          <w:sz w:val="22"/>
        </w:rPr>
        <w:t>Quality of TB diagnosis and treatment in private health care sector are pertinent challenges to address. Only 1/5th of notified TB patients are microbiologically confirmed.</w:t>
      </w:r>
    </w:p>
    <w:p w14:paraId="092593B9" w14:textId="77777777" w:rsidR="00217C7F" w:rsidRPr="00C212A2" w:rsidRDefault="00217C7F" w:rsidP="00442A67">
      <w:pPr>
        <w:pStyle w:val="ListParagraph"/>
        <w:numPr>
          <w:ilvl w:val="0"/>
          <w:numId w:val="34"/>
        </w:numPr>
        <w:spacing w:before="0" w:after="0"/>
        <w:jc w:val="both"/>
        <w:rPr>
          <w:rFonts w:asciiTheme="minorHAnsi" w:hAnsiTheme="minorHAnsi" w:cstheme="minorHAnsi"/>
          <w:sz w:val="22"/>
        </w:rPr>
      </w:pPr>
      <w:r w:rsidRPr="00C212A2">
        <w:rPr>
          <w:rFonts w:asciiTheme="minorHAnsi" w:hAnsiTheme="minorHAnsi" w:cstheme="minorHAnsi"/>
          <w:sz w:val="22"/>
        </w:rPr>
        <w:t xml:space="preserve">Limited engagement with AYUSH health care providers who remains a first care provider and contribute to delay in diagnosis </w:t>
      </w:r>
    </w:p>
    <w:p w14:paraId="01A0E7B0" w14:textId="77777777" w:rsidR="00217C7F" w:rsidRPr="00C212A2" w:rsidRDefault="00217C7F" w:rsidP="00442A67">
      <w:pPr>
        <w:pStyle w:val="ListParagraph"/>
        <w:numPr>
          <w:ilvl w:val="0"/>
          <w:numId w:val="34"/>
        </w:numPr>
        <w:spacing w:before="0" w:after="0"/>
        <w:jc w:val="both"/>
        <w:rPr>
          <w:rFonts w:asciiTheme="minorHAnsi" w:hAnsiTheme="minorHAnsi" w:cstheme="minorHAnsi"/>
          <w:sz w:val="22"/>
        </w:rPr>
      </w:pPr>
      <w:r w:rsidRPr="00C212A2">
        <w:rPr>
          <w:rFonts w:asciiTheme="minorHAnsi" w:hAnsiTheme="minorHAnsi" w:cstheme="minorHAnsi"/>
          <w:sz w:val="22"/>
        </w:rPr>
        <w:t>Weak capacity for contract management.</w:t>
      </w:r>
    </w:p>
    <w:p w14:paraId="14E501BB" w14:textId="77777777" w:rsidR="00217C7F" w:rsidRPr="00C212A2" w:rsidRDefault="00217C7F" w:rsidP="00442A67">
      <w:pPr>
        <w:pStyle w:val="ListParagraph"/>
        <w:numPr>
          <w:ilvl w:val="0"/>
          <w:numId w:val="34"/>
        </w:numPr>
        <w:spacing w:before="0" w:after="0"/>
        <w:jc w:val="both"/>
        <w:rPr>
          <w:rFonts w:asciiTheme="minorHAnsi" w:hAnsiTheme="minorHAnsi" w:cstheme="minorHAnsi"/>
          <w:sz w:val="22"/>
        </w:rPr>
      </w:pPr>
      <w:r w:rsidRPr="00C212A2">
        <w:rPr>
          <w:rFonts w:asciiTheme="minorHAnsi" w:hAnsiTheme="minorHAnsi" w:cstheme="minorHAnsi"/>
          <w:sz w:val="22"/>
        </w:rPr>
        <w:t>Mechanisms for developing comprehensive and rigorous output based contracts with private service providers.</w:t>
      </w:r>
    </w:p>
    <w:p w14:paraId="40366944" w14:textId="77777777" w:rsidR="00217C7F" w:rsidRPr="00C212A2" w:rsidRDefault="00217C7F" w:rsidP="00442A67">
      <w:pPr>
        <w:pStyle w:val="ListParagraph"/>
        <w:numPr>
          <w:ilvl w:val="0"/>
          <w:numId w:val="34"/>
        </w:numPr>
        <w:spacing w:before="0" w:after="0"/>
        <w:jc w:val="both"/>
        <w:rPr>
          <w:rFonts w:asciiTheme="minorHAnsi" w:hAnsiTheme="minorHAnsi" w:cstheme="minorHAnsi"/>
          <w:sz w:val="22"/>
        </w:rPr>
      </w:pPr>
      <w:r w:rsidRPr="00C212A2">
        <w:rPr>
          <w:rFonts w:asciiTheme="minorHAnsi" w:hAnsiTheme="minorHAnsi" w:cstheme="minorHAnsi"/>
          <w:sz w:val="22"/>
        </w:rPr>
        <w:t>Delays in payment to service providers may lead to mistrust by private providers on the government, affect contract performance and the overall survival of the scheme.</w:t>
      </w:r>
    </w:p>
    <w:p w14:paraId="02711CD0" w14:textId="77777777" w:rsidR="00217C7F" w:rsidRPr="00C212A2" w:rsidRDefault="00217C7F" w:rsidP="00442A67">
      <w:pPr>
        <w:pStyle w:val="ListParagraph"/>
        <w:numPr>
          <w:ilvl w:val="0"/>
          <w:numId w:val="34"/>
        </w:numPr>
        <w:spacing w:before="0" w:after="0"/>
        <w:jc w:val="both"/>
        <w:rPr>
          <w:rFonts w:asciiTheme="minorHAnsi" w:hAnsiTheme="minorHAnsi" w:cstheme="minorHAnsi"/>
          <w:sz w:val="22"/>
        </w:rPr>
      </w:pPr>
      <w:r w:rsidRPr="00C212A2">
        <w:rPr>
          <w:rFonts w:asciiTheme="minorHAnsi" w:hAnsiTheme="minorHAnsi" w:cstheme="minorHAnsi"/>
          <w:sz w:val="22"/>
        </w:rPr>
        <w:t>Limited experience of potential implementers in performing PPSA functions.</w:t>
      </w:r>
    </w:p>
    <w:p w14:paraId="486B1980" w14:textId="77777777" w:rsidR="00217C7F" w:rsidRPr="00C212A2" w:rsidRDefault="00217C7F" w:rsidP="00442A67">
      <w:pPr>
        <w:pStyle w:val="ListParagraph"/>
        <w:numPr>
          <w:ilvl w:val="0"/>
          <w:numId w:val="34"/>
        </w:numPr>
        <w:spacing w:before="0" w:after="0"/>
        <w:jc w:val="both"/>
        <w:rPr>
          <w:rFonts w:asciiTheme="minorHAnsi" w:hAnsiTheme="minorHAnsi" w:cstheme="minorHAnsi"/>
          <w:sz w:val="22"/>
        </w:rPr>
      </w:pPr>
      <w:r w:rsidRPr="00C212A2">
        <w:rPr>
          <w:rFonts w:asciiTheme="minorHAnsi" w:hAnsiTheme="minorHAnsi" w:cstheme="minorHAnsi"/>
          <w:sz w:val="22"/>
        </w:rPr>
        <w:t>Patient data management such as reporting of treatment outcomes, managing transfers between geographies leading to change of service providers, duplication of patient entries, etc</w:t>
      </w:r>
      <w:r>
        <w:rPr>
          <w:rFonts w:asciiTheme="minorHAnsi" w:hAnsiTheme="minorHAnsi" w:cstheme="minorHAnsi"/>
          <w:sz w:val="22"/>
        </w:rPr>
        <w:t>.</w:t>
      </w:r>
      <w:r w:rsidRPr="00C212A2">
        <w:rPr>
          <w:rFonts w:asciiTheme="minorHAnsi" w:hAnsiTheme="minorHAnsi" w:cstheme="minorHAnsi"/>
          <w:sz w:val="22"/>
        </w:rPr>
        <w:t xml:space="preserve"> may pose as major challenges that would need a good coordination between PPSAs and the government.</w:t>
      </w:r>
    </w:p>
    <w:p w14:paraId="4FBE1759" w14:textId="1AF96A5D" w:rsidR="00217C7F" w:rsidRPr="00C45A90" w:rsidRDefault="0033007D" w:rsidP="00217C7F">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2</w:t>
      </w:r>
      <w:r>
        <w:rPr>
          <w:rFonts w:asciiTheme="minorHAnsi" w:hAnsiTheme="minorHAnsi" w:cstheme="minorHAnsi"/>
          <w:b/>
          <w:color w:val="C86A07" w:themeColor="accent2" w:themeShade="BF"/>
          <w:sz w:val="28"/>
          <w:lang w:val="en"/>
        </w:rPr>
        <w:t xml:space="preserve">.4 </w:t>
      </w:r>
      <w:r w:rsidR="00217C7F" w:rsidRPr="00C45A90">
        <w:rPr>
          <w:rFonts w:asciiTheme="minorHAnsi" w:hAnsiTheme="minorHAnsi" w:cstheme="minorHAnsi"/>
          <w:b/>
          <w:color w:val="C86A07" w:themeColor="accent2" w:themeShade="BF"/>
          <w:sz w:val="28"/>
          <w:lang w:val="en"/>
        </w:rPr>
        <w:t xml:space="preserve">THE WAY FORWARD </w:t>
      </w:r>
    </w:p>
    <w:p w14:paraId="4A9285A0" w14:textId="4F84A6AD" w:rsidR="00217C7F" w:rsidRDefault="00217C7F" w:rsidP="00217C7F">
      <w:pPr>
        <w:jc w:val="both"/>
        <w:rPr>
          <w:rFonts w:asciiTheme="minorHAnsi" w:eastAsia="Times New Roman" w:hAnsiTheme="minorHAnsi" w:cstheme="minorHAnsi"/>
          <w:sz w:val="22"/>
        </w:rPr>
      </w:pPr>
      <w:r w:rsidRPr="003C105F">
        <w:rPr>
          <w:rFonts w:asciiTheme="minorHAnsi" w:hAnsiTheme="minorHAnsi" w:cstheme="minorHAnsi"/>
          <w:b/>
          <w:sz w:val="22"/>
        </w:rPr>
        <w:t xml:space="preserve">Private sector engagement in NTEP is based on </w:t>
      </w:r>
      <w:r>
        <w:rPr>
          <w:rFonts w:asciiTheme="minorHAnsi" w:hAnsiTheme="minorHAnsi" w:cstheme="minorHAnsi"/>
          <w:b/>
          <w:sz w:val="22"/>
        </w:rPr>
        <w:t>a</w:t>
      </w:r>
      <w:r w:rsidRPr="003C105F">
        <w:rPr>
          <w:rFonts w:asciiTheme="minorHAnsi" w:hAnsiTheme="minorHAnsi" w:cstheme="minorHAnsi"/>
          <w:b/>
          <w:sz w:val="22"/>
        </w:rPr>
        <w:t xml:space="preserve"> partnership </w:t>
      </w:r>
      <w:r w:rsidRPr="003C105F">
        <w:rPr>
          <w:rFonts w:asciiTheme="minorHAnsi" w:eastAsia="Times New Roman" w:hAnsiTheme="minorHAnsi" w:cstheme="minorHAnsi"/>
          <w:sz w:val="22"/>
        </w:rPr>
        <w:t>between the public and private sectors. Rather than additionally burdening</w:t>
      </w:r>
      <w:r w:rsidR="0019425D">
        <w:rPr>
          <w:rFonts w:asciiTheme="minorHAnsi" w:eastAsia="Times New Roman" w:hAnsiTheme="minorHAnsi" w:cstheme="minorHAnsi"/>
          <w:sz w:val="22"/>
        </w:rPr>
        <w:t xml:space="preserve"> the</w:t>
      </w:r>
      <w:r w:rsidRPr="003C105F">
        <w:rPr>
          <w:rFonts w:asciiTheme="minorHAnsi" w:eastAsia="Times New Roman" w:hAnsiTheme="minorHAnsi" w:cstheme="minorHAnsi"/>
          <w:sz w:val="22"/>
        </w:rPr>
        <w:t xml:space="preserve"> existing under</w:t>
      </w:r>
      <w:r w:rsidR="0019425D">
        <w:rPr>
          <w:rFonts w:asciiTheme="minorHAnsi" w:eastAsia="Times New Roman" w:hAnsiTheme="minorHAnsi" w:cstheme="minorHAnsi"/>
          <w:sz w:val="22"/>
        </w:rPr>
        <w:t>-</w:t>
      </w:r>
      <w:r w:rsidRPr="003C105F">
        <w:rPr>
          <w:rFonts w:asciiTheme="minorHAnsi" w:eastAsia="Times New Roman" w:hAnsiTheme="minorHAnsi" w:cstheme="minorHAnsi"/>
          <w:sz w:val="22"/>
        </w:rPr>
        <w:t>trained and over-stretched staff, the programme will contract professional agencies with the skills and capacity to engage with large number of providers.</w:t>
      </w:r>
      <w:r>
        <w:rPr>
          <w:rFonts w:asciiTheme="minorHAnsi" w:eastAsia="Times New Roman" w:hAnsiTheme="minorHAnsi" w:cstheme="minorHAnsi"/>
          <w:sz w:val="22"/>
        </w:rPr>
        <w:t xml:space="preserve"> The two models currently under operation are depicted below and both will be continued and strengthened over the next five years. </w:t>
      </w:r>
    </w:p>
    <w:p w14:paraId="1A15B392" w14:textId="1C084EA7" w:rsidR="00933C76" w:rsidRPr="00933C76" w:rsidRDefault="00571659" w:rsidP="00933C76">
      <w:pPr>
        <w:jc w:val="both"/>
        <w:rPr>
          <w:rFonts w:asciiTheme="minorHAnsi" w:eastAsia="Times New Roman" w:hAnsiTheme="minorHAnsi" w:cstheme="minorHAnsi"/>
          <w:b/>
        </w:rPr>
      </w:pPr>
      <w:r>
        <w:rPr>
          <w:rFonts w:asciiTheme="minorHAnsi" w:eastAsia="Times New Roman" w:hAnsiTheme="minorHAnsi" w:cstheme="minorHAnsi"/>
          <w:b/>
        </w:rPr>
        <w:t>Table 1</w:t>
      </w:r>
      <w:r w:rsidR="001852EA">
        <w:rPr>
          <w:rFonts w:asciiTheme="minorHAnsi" w:eastAsia="Times New Roman" w:hAnsiTheme="minorHAnsi" w:cstheme="minorHAnsi"/>
          <w:b/>
        </w:rPr>
        <w:t>2</w:t>
      </w:r>
      <w:r w:rsidR="00933C76" w:rsidRPr="00933C76">
        <w:rPr>
          <w:rFonts w:asciiTheme="minorHAnsi" w:eastAsia="Times New Roman" w:hAnsiTheme="minorHAnsi" w:cstheme="minorHAnsi"/>
          <w:b/>
        </w:rPr>
        <w:t xml:space="preserve">: </w:t>
      </w:r>
      <w:r w:rsidR="00933C76">
        <w:rPr>
          <w:rFonts w:ascii="Calibri" w:hAnsi="Calibri" w:cs="Calibri"/>
          <w:b/>
          <w:kern w:val="24"/>
          <w:lang w:eastAsia="en-IN"/>
        </w:rPr>
        <w:t>Models for NTEP - private sector partnership</w:t>
      </w:r>
    </w:p>
    <w:tbl>
      <w:tblPr>
        <w:tblW w:w="8910" w:type="dxa"/>
        <w:tblInd w:w="100" w:type="dxa"/>
        <w:tblBorders>
          <w:top w:val="single" w:sz="2" w:space="0" w:color="808080" w:themeColor="background1" w:themeShade="80"/>
          <w:bottom w:val="single" w:sz="2" w:space="0" w:color="808080" w:themeColor="background1" w:themeShade="80"/>
          <w:insideH w:val="single" w:sz="2" w:space="0" w:color="808080" w:themeColor="background1" w:themeShade="80"/>
        </w:tblBorders>
        <w:shd w:val="clear" w:color="auto" w:fill="F2F2F2" w:themeFill="background1" w:themeFillShade="F2"/>
        <w:tblLayout w:type="fixed"/>
        <w:tblLook w:val="0600" w:firstRow="0" w:lastRow="0" w:firstColumn="0" w:lastColumn="0" w:noHBand="1" w:noVBand="1"/>
      </w:tblPr>
      <w:tblGrid>
        <w:gridCol w:w="5950"/>
        <w:gridCol w:w="2960"/>
      </w:tblGrid>
      <w:tr w:rsidR="00BF1177" w:rsidRPr="00BF1177" w14:paraId="18F92488" w14:textId="77777777" w:rsidTr="00BF1177">
        <w:trPr>
          <w:trHeight w:val="258"/>
        </w:trPr>
        <w:tc>
          <w:tcPr>
            <w:tcW w:w="5950" w:type="dxa"/>
            <w:shd w:val="clear" w:color="auto" w:fill="808080" w:themeFill="background1" w:themeFillShade="80"/>
            <w:tcMar>
              <w:top w:w="14" w:type="dxa"/>
              <w:left w:w="29" w:type="dxa"/>
              <w:bottom w:w="0" w:type="dxa"/>
              <w:right w:w="14" w:type="dxa"/>
            </w:tcMar>
          </w:tcPr>
          <w:p w14:paraId="721D3239" w14:textId="77777777" w:rsidR="00217C7F" w:rsidRPr="00BF1177" w:rsidRDefault="00217C7F" w:rsidP="00AF5B00">
            <w:pPr>
              <w:spacing w:before="0" w:after="0"/>
              <w:rPr>
                <w:rFonts w:asciiTheme="minorHAnsi" w:hAnsiTheme="minorHAnsi" w:cstheme="minorHAnsi"/>
                <w:b/>
                <w:color w:val="FFFFFF" w:themeColor="background1"/>
                <w:sz w:val="22"/>
                <w:lang w:val="en-IN"/>
              </w:rPr>
            </w:pPr>
            <w:r w:rsidRPr="00BF1177">
              <w:rPr>
                <w:rFonts w:asciiTheme="minorHAnsi" w:hAnsiTheme="minorHAnsi" w:cstheme="minorHAnsi"/>
                <w:b/>
                <w:color w:val="FFFFFF" w:themeColor="background1"/>
                <w:sz w:val="22"/>
                <w:lang w:val="en-IN"/>
              </w:rPr>
              <w:t>PPSA (Interface Agency) Approach</w:t>
            </w:r>
          </w:p>
        </w:tc>
        <w:tc>
          <w:tcPr>
            <w:tcW w:w="2960" w:type="dxa"/>
            <w:shd w:val="clear" w:color="auto" w:fill="255692" w:themeFill="accent5" w:themeFillShade="80"/>
            <w:tcMar>
              <w:top w:w="14" w:type="dxa"/>
              <w:left w:w="29" w:type="dxa"/>
              <w:bottom w:w="0" w:type="dxa"/>
              <w:right w:w="14" w:type="dxa"/>
            </w:tcMar>
          </w:tcPr>
          <w:p w14:paraId="651CB282" w14:textId="77777777" w:rsidR="00217C7F" w:rsidRPr="00BF1177" w:rsidRDefault="00217C7F" w:rsidP="00AF5B00">
            <w:pPr>
              <w:spacing w:before="0" w:after="0"/>
              <w:rPr>
                <w:rFonts w:asciiTheme="minorHAnsi" w:hAnsiTheme="minorHAnsi" w:cstheme="minorHAnsi"/>
                <w:b/>
                <w:color w:val="FFFFFF" w:themeColor="background1"/>
                <w:sz w:val="22"/>
                <w:lang w:val="en-IN"/>
              </w:rPr>
            </w:pPr>
            <w:r w:rsidRPr="00BF1177">
              <w:rPr>
                <w:rFonts w:asciiTheme="minorHAnsi" w:hAnsiTheme="minorHAnsi" w:cstheme="minorHAnsi"/>
                <w:b/>
                <w:color w:val="FFFFFF" w:themeColor="background1"/>
                <w:sz w:val="22"/>
                <w:lang w:val="en-IN"/>
              </w:rPr>
              <w:t>Direct NTEP Engagement Approach</w:t>
            </w:r>
          </w:p>
        </w:tc>
      </w:tr>
      <w:tr w:rsidR="00217C7F" w:rsidRPr="003C105F" w14:paraId="1931166E" w14:textId="77777777" w:rsidTr="00BF1177">
        <w:trPr>
          <w:trHeight w:val="2580"/>
        </w:trPr>
        <w:tc>
          <w:tcPr>
            <w:tcW w:w="5950" w:type="dxa"/>
            <w:shd w:val="clear" w:color="auto" w:fill="F2F2F2" w:themeFill="background1" w:themeFillShade="F2"/>
            <w:tcMar>
              <w:top w:w="14" w:type="dxa"/>
              <w:left w:w="29" w:type="dxa"/>
              <w:bottom w:w="0" w:type="dxa"/>
              <w:right w:w="14" w:type="dxa"/>
            </w:tcMar>
          </w:tcPr>
          <w:p w14:paraId="28FB4030" w14:textId="77777777" w:rsidR="00217C7F" w:rsidRPr="003C105F" w:rsidRDefault="00217C7F" w:rsidP="00442A67">
            <w:pPr>
              <w:pStyle w:val="ListParagraph"/>
              <w:numPr>
                <w:ilvl w:val="0"/>
                <w:numId w:val="35"/>
              </w:numPr>
              <w:spacing w:before="0" w:after="0"/>
              <w:rPr>
                <w:rFonts w:asciiTheme="minorHAnsi" w:hAnsiTheme="minorHAnsi" w:cstheme="minorHAnsi"/>
                <w:sz w:val="22"/>
                <w:lang w:val="en-IN"/>
              </w:rPr>
            </w:pPr>
            <w:bookmarkStart w:id="54" w:name="_rh90b3xe4f2f" w:colFirst="0" w:colLast="0"/>
            <w:bookmarkEnd w:id="54"/>
            <w:r w:rsidRPr="003C105F">
              <w:rPr>
                <w:rFonts w:asciiTheme="minorHAnsi" w:hAnsiTheme="minorHAnsi" w:cstheme="minorHAnsi"/>
                <w:sz w:val="22"/>
                <w:lang w:val="en-IN"/>
              </w:rPr>
              <w:lastRenderedPageBreak/>
              <w:t xml:space="preserve">Interface agency support would be </w:t>
            </w:r>
            <w:r>
              <w:rPr>
                <w:rFonts w:asciiTheme="minorHAnsi" w:hAnsiTheme="minorHAnsi" w:cstheme="minorHAnsi"/>
                <w:sz w:val="22"/>
                <w:lang w:val="en-IN"/>
              </w:rPr>
              <w:t xml:space="preserve">primarily </w:t>
            </w:r>
            <w:r w:rsidRPr="003C105F">
              <w:rPr>
                <w:rFonts w:asciiTheme="minorHAnsi" w:hAnsiTheme="minorHAnsi" w:cstheme="minorHAnsi"/>
                <w:sz w:val="22"/>
                <w:lang w:val="en-IN"/>
              </w:rPr>
              <w:t>required when there is a high density of private providers (e.g., urban) an</w:t>
            </w:r>
            <w:r>
              <w:rPr>
                <w:rFonts w:asciiTheme="minorHAnsi" w:hAnsiTheme="minorHAnsi" w:cstheme="minorHAnsi"/>
                <w:sz w:val="22"/>
                <w:lang w:val="en-IN"/>
              </w:rPr>
              <w:t>d/or low ratio of public staff to TB patients</w:t>
            </w:r>
          </w:p>
          <w:p w14:paraId="49DA2F8E" w14:textId="77777777" w:rsidR="00217C7F" w:rsidRPr="003C105F" w:rsidRDefault="00217C7F" w:rsidP="00442A67">
            <w:pPr>
              <w:pStyle w:val="ListParagraph"/>
              <w:numPr>
                <w:ilvl w:val="0"/>
                <w:numId w:val="35"/>
              </w:numPr>
              <w:spacing w:before="0" w:after="0"/>
              <w:rPr>
                <w:rFonts w:asciiTheme="minorHAnsi" w:hAnsiTheme="minorHAnsi" w:cstheme="minorHAnsi"/>
                <w:sz w:val="22"/>
                <w:lang w:val="en-IN"/>
              </w:rPr>
            </w:pPr>
            <w:r w:rsidRPr="003C105F">
              <w:rPr>
                <w:rFonts w:asciiTheme="minorHAnsi" w:hAnsiTheme="minorHAnsi" w:cstheme="minorHAnsi"/>
                <w:sz w:val="22"/>
                <w:lang w:val="en-IN"/>
              </w:rPr>
              <w:t>Program drugs and diagnostics are provided free to TB patients seek</w:t>
            </w:r>
            <w:r>
              <w:rPr>
                <w:rFonts w:asciiTheme="minorHAnsi" w:hAnsiTheme="minorHAnsi" w:cstheme="minorHAnsi"/>
                <w:sz w:val="22"/>
                <w:lang w:val="en-IN"/>
              </w:rPr>
              <w:t>ing</w:t>
            </w:r>
            <w:r w:rsidRPr="003C105F">
              <w:rPr>
                <w:rFonts w:asciiTheme="minorHAnsi" w:hAnsiTheme="minorHAnsi" w:cstheme="minorHAnsi"/>
                <w:sz w:val="22"/>
                <w:lang w:val="en-IN"/>
              </w:rPr>
              <w:t xml:space="preserve"> care in the private sector and linkages are established</w:t>
            </w:r>
          </w:p>
          <w:p w14:paraId="525F2451" w14:textId="77777777" w:rsidR="00217C7F" w:rsidRPr="003C105F" w:rsidRDefault="00217C7F" w:rsidP="00442A67">
            <w:pPr>
              <w:pStyle w:val="ListParagraph"/>
              <w:numPr>
                <w:ilvl w:val="0"/>
                <w:numId w:val="35"/>
              </w:numPr>
              <w:spacing w:before="0" w:after="0"/>
              <w:rPr>
                <w:rFonts w:asciiTheme="minorHAnsi" w:hAnsiTheme="minorHAnsi" w:cstheme="minorHAnsi"/>
                <w:sz w:val="22"/>
                <w:lang w:val="en-IN"/>
              </w:rPr>
            </w:pPr>
            <w:r w:rsidRPr="003C105F">
              <w:rPr>
                <w:rFonts w:asciiTheme="minorHAnsi" w:hAnsiTheme="minorHAnsi" w:cstheme="minorHAnsi"/>
                <w:sz w:val="22"/>
                <w:lang w:val="en-IN"/>
              </w:rPr>
              <w:t>HR support for provider engagement, linkages, and patient support.</w:t>
            </w:r>
          </w:p>
          <w:p w14:paraId="27010714" w14:textId="77777777" w:rsidR="00217C7F" w:rsidRPr="003C105F" w:rsidRDefault="00217C7F" w:rsidP="00442A67">
            <w:pPr>
              <w:pStyle w:val="ListParagraph"/>
              <w:numPr>
                <w:ilvl w:val="0"/>
                <w:numId w:val="35"/>
              </w:numPr>
              <w:spacing w:before="0" w:after="0"/>
              <w:rPr>
                <w:rFonts w:asciiTheme="minorHAnsi" w:hAnsiTheme="minorHAnsi" w:cstheme="minorHAnsi"/>
                <w:sz w:val="22"/>
                <w:lang w:val="en-IN"/>
              </w:rPr>
            </w:pPr>
            <w:r w:rsidRPr="003C105F">
              <w:rPr>
                <w:rFonts w:asciiTheme="minorHAnsi" w:hAnsiTheme="minorHAnsi" w:cstheme="minorHAnsi"/>
                <w:sz w:val="22"/>
                <w:lang w:val="en-IN"/>
              </w:rPr>
              <w:t>The concept</w:t>
            </w:r>
            <w:r>
              <w:rPr>
                <w:rFonts w:asciiTheme="minorHAnsi" w:hAnsiTheme="minorHAnsi" w:cstheme="minorHAnsi"/>
                <w:sz w:val="22"/>
                <w:lang w:val="en-IN"/>
              </w:rPr>
              <w:t xml:space="preserve"> includes outsourced management </w:t>
            </w:r>
            <w:r w:rsidRPr="003C105F">
              <w:rPr>
                <w:rFonts w:asciiTheme="minorHAnsi" w:hAnsiTheme="minorHAnsi" w:cstheme="minorHAnsi"/>
                <w:sz w:val="22"/>
                <w:lang w:val="en-IN"/>
              </w:rPr>
              <w:t>to improve diagnostic processes and use program diagnostics and drugs</w:t>
            </w:r>
          </w:p>
        </w:tc>
        <w:tc>
          <w:tcPr>
            <w:tcW w:w="2960" w:type="dxa"/>
            <w:shd w:val="clear" w:color="auto" w:fill="D1E0F3" w:themeFill="accent5" w:themeFillTint="66"/>
            <w:tcMar>
              <w:top w:w="14" w:type="dxa"/>
              <w:left w:w="29" w:type="dxa"/>
              <w:bottom w:w="0" w:type="dxa"/>
              <w:right w:w="14" w:type="dxa"/>
            </w:tcMar>
          </w:tcPr>
          <w:p w14:paraId="6D7940F6" w14:textId="77777777" w:rsidR="00217C7F" w:rsidRPr="003C105F" w:rsidRDefault="00217C7F" w:rsidP="00442A67">
            <w:pPr>
              <w:pStyle w:val="ListParagraph"/>
              <w:numPr>
                <w:ilvl w:val="2"/>
                <w:numId w:val="36"/>
              </w:numPr>
              <w:spacing w:before="0" w:after="0"/>
              <w:ind w:left="256" w:hanging="256"/>
              <w:rPr>
                <w:rFonts w:asciiTheme="minorHAnsi" w:hAnsiTheme="minorHAnsi" w:cstheme="minorHAnsi"/>
                <w:sz w:val="22"/>
                <w:lang w:val="en-IN"/>
              </w:rPr>
            </w:pPr>
            <w:r w:rsidRPr="003C105F">
              <w:rPr>
                <w:rFonts w:asciiTheme="minorHAnsi" w:hAnsiTheme="minorHAnsi" w:cstheme="minorHAnsi"/>
                <w:sz w:val="22"/>
                <w:lang w:val="en-IN"/>
              </w:rPr>
              <w:t>Primarily using existing NTEP staff - PPM coordinators to direct and motivate; TB HVs etc</w:t>
            </w:r>
            <w:r>
              <w:rPr>
                <w:rFonts w:asciiTheme="minorHAnsi" w:hAnsiTheme="minorHAnsi" w:cstheme="minorHAnsi"/>
                <w:sz w:val="22"/>
                <w:lang w:val="en-IN"/>
              </w:rPr>
              <w:t>.</w:t>
            </w:r>
            <w:r w:rsidRPr="003C105F">
              <w:rPr>
                <w:rFonts w:asciiTheme="minorHAnsi" w:hAnsiTheme="minorHAnsi" w:cstheme="minorHAnsi"/>
                <w:sz w:val="22"/>
                <w:lang w:val="en-IN"/>
              </w:rPr>
              <w:t xml:space="preserve"> to track patients</w:t>
            </w:r>
          </w:p>
          <w:p w14:paraId="5FBE0E22" w14:textId="0E7B5D60" w:rsidR="00217C7F" w:rsidRPr="00D33A5A" w:rsidRDefault="00217C7F" w:rsidP="00442A67">
            <w:pPr>
              <w:pStyle w:val="ListParagraph"/>
              <w:numPr>
                <w:ilvl w:val="2"/>
                <w:numId w:val="36"/>
              </w:numPr>
              <w:spacing w:before="0" w:after="0"/>
              <w:ind w:left="256" w:hanging="256"/>
              <w:rPr>
                <w:rFonts w:asciiTheme="minorHAnsi" w:hAnsiTheme="minorHAnsi" w:cstheme="minorHAnsi"/>
                <w:sz w:val="22"/>
                <w:lang w:val="en-IN"/>
              </w:rPr>
            </w:pPr>
            <w:r w:rsidRPr="003C105F">
              <w:rPr>
                <w:rFonts w:asciiTheme="minorHAnsi" w:hAnsiTheme="minorHAnsi" w:cstheme="minorHAnsi"/>
                <w:sz w:val="22"/>
                <w:lang w:val="en-IN"/>
              </w:rPr>
              <w:t>Even though this model has so far yielded ~2/3 of private notifications,</w:t>
            </w:r>
            <w:r w:rsidR="00570F17">
              <w:rPr>
                <w:rFonts w:asciiTheme="minorHAnsi" w:hAnsiTheme="minorHAnsi" w:cstheme="minorHAnsi"/>
                <w:sz w:val="22"/>
                <w:lang w:val="en-IN"/>
              </w:rPr>
              <w:t xml:space="preserve"> quality improvements remains a challenge.</w:t>
            </w:r>
            <w:r w:rsidRPr="003C105F">
              <w:rPr>
                <w:rFonts w:asciiTheme="minorHAnsi" w:hAnsiTheme="minorHAnsi" w:cstheme="minorHAnsi"/>
                <w:sz w:val="22"/>
                <w:lang w:val="en-IN"/>
              </w:rPr>
              <w:t xml:space="preserve"> </w:t>
            </w:r>
            <w:r w:rsidR="00570F17">
              <w:rPr>
                <w:rFonts w:asciiTheme="minorHAnsi" w:hAnsiTheme="minorHAnsi" w:cstheme="minorHAnsi"/>
                <w:sz w:val="22"/>
                <w:lang w:val="en-IN"/>
              </w:rPr>
              <w:t>T</w:t>
            </w:r>
            <w:r w:rsidRPr="003C105F">
              <w:rPr>
                <w:rFonts w:asciiTheme="minorHAnsi" w:hAnsiTheme="minorHAnsi" w:cstheme="minorHAnsi"/>
                <w:sz w:val="22"/>
                <w:lang w:val="en-IN"/>
              </w:rPr>
              <w:t xml:space="preserve">his is currently a weak model that needs strengthening.  </w:t>
            </w:r>
            <w:bookmarkStart w:id="55" w:name="_s9oosc4oiwvw" w:colFirst="0" w:colLast="0"/>
            <w:bookmarkEnd w:id="55"/>
          </w:p>
        </w:tc>
      </w:tr>
    </w:tbl>
    <w:p w14:paraId="3B435CA8" w14:textId="77777777" w:rsidR="0037236C" w:rsidRPr="0037236C" w:rsidRDefault="0037236C" w:rsidP="009136E5">
      <w:pPr>
        <w:pStyle w:val="ListParagraph"/>
        <w:numPr>
          <w:ilvl w:val="1"/>
          <w:numId w:val="75"/>
        </w:numPr>
        <w:jc w:val="both"/>
        <w:rPr>
          <w:rFonts w:asciiTheme="minorHAnsi" w:hAnsiTheme="minorHAnsi" w:cstheme="minorHAnsi"/>
          <w:b/>
          <w:vanish/>
          <w:sz w:val="22"/>
        </w:rPr>
      </w:pPr>
    </w:p>
    <w:p w14:paraId="0B3638E7" w14:textId="76D74372" w:rsidR="00217C7F" w:rsidRPr="0037236C" w:rsidRDefault="00217C7F" w:rsidP="009136E5">
      <w:pPr>
        <w:pStyle w:val="ListParagraph"/>
        <w:numPr>
          <w:ilvl w:val="2"/>
          <w:numId w:val="75"/>
        </w:numPr>
        <w:ind w:left="504"/>
        <w:contextualSpacing w:val="0"/>
        <w:jc w:val="both"/>
        <w:rPr>
          <w:rFonts w:asciiTheme="minorHAnsi" w:hAnsiTheme="minorHAnsi" w:cstheme="minorHAnsi"/>
          <w:b/>
          <w:sz w:val="22"/>
          <w:lang w:val="en-IN"/>
        </w:rPr>
      </w:pPr>
      <w:r w:rsidRPr="0037236C">
        <w:rPr>
          <w:rFonts w:asciiTheme="minorHAnsi" w:hAnsiTheme="minorHAnsi" w:cstheme="minorHAnsi"/>
          <w:b/>
          <w:sz w:val="22"/>
        </w:rPr>
        <w:t xml:space="preserve">Continue to </w:t>
      </w:r>
      <w:r w:rsidRPr="0037236C">
        <w:rPr>
          <w:rFonts w:asciiTheme="minorHAnsi" w:hAnsiTheme="minorHAnsi" w:cstheme="minorHAnsi"/>
          <w:b/>
          <w:sz w:val="22"/>
          <w:lang w:val="en-IN"/>
        </w:rPr>
        <w:t xml:space="preserve">Improving TB notification from private healthcare providers </w:t>
      </w:r>
    </w:p>
    <w:p w14:paraId="3A31BF93" w14:textId="71B476DD"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Expand collaborative efforts with the private sector by building capacity of existing staff on relationship management</w:t>
      </w:r>
    </w:p>
    <w:p w14:paraId="218F3316" w14:textId="3CE2F945"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Use behaviour change techniques to improve practices of TB care in private healthcare settings. This may include but not limited to regular feedback, positive stories, peer learning, peer pressure, and involvement in multi-lateral platform (for other diseases, research, pilots).</w:t>
      </w:r>
    </w:p>
    <w:p w14:paraId="0DA78DD0" w14:textId="5B95F5BD"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 xml:space="preserve">Strengthen and leverage existing regulatory mechanisms like expansion of the use of schedule H1 registers  </w:t>
      </w:r>
    </w:p>
    <w:p w14:paraId="6FF82E97" w14:textId="0A23B8F5" w:rsidR="00217C7F" w:rsidRPr="00397572" w:rsidRDefault="00217C7F" w:rsidP="009136E5">
      <w:pPr>
        <w:pStyle w:val="ListParagraph"/>
        <w:numPr>
          <w:ilvl w:val="3"/>
          <w:numId w:val="75"/>
        </w:numPr>
        <w:ind w:left="1267" w:hanging="720"/>
        <w:contextualSpacing w:val="0"/>
        <w:jc w:val="both"/>
        <w:rPr>
          <w:rFonts w:asciiTheme="minorHAnsi" w:hAnsiTheme="minorHAnsi" w:cstheme="minorHAnsi"/>
          <w:sz w:val="22"/>
        </w:rPr>
      </w:pPr>
      <w:r w:rsidRPr="00397572">
        <w:rPr>
          <w:rFonts w:asciiTheme="minorHAnsi" w:hAnsiTheme="minorHAnsi" w:cstheme="minorHAnsi"/>
          <w:sz w:val="22"/>
        </w:rPr>
        <w:t>Establish coordination mechanism with Insurance Regulatory and Development Authority of India (IRDAI), Insurance Schemes of Government like PMJAY, CGHS, ECHS, NABL, NABH or Private Sector Insurance Agencies, for ensuring that the patients getting treatment in private nursing homes/ hospitals etc. are being managed as per STCI and the notification of such case to the NTEP is ensured</w:t>
      </w:r>
    </w:p>
    <w:p w14:paraId="339F4FE4" w14:textId="35373AF7" w:rsidR="00217C7F" w:rsidRPr="0037236C" w:rsidRDefault="00217C7F" w:rsidP="009136E5">
      <w:pPr>
        <w:pStyle w:val="ListParagraph"/>
        <w:numPr>
          <w:ilvl w:val="2"/>
          <w:numId w:val="75"/>
        </w:numPr>
        <w:ind w:left="504"/>
        <w:contextualSpacing w:val="0"/>
        <w:jc w:val="both"/>
        <w:rPr>
          <w:rFonts w:asciiTheme="minorHAnsi" w:hAnsiTheme="minorHAnsi" w:cstheme="minorHAnsi"/>
          <w:b/>
          <w:sz w:val="22"/>
        </w:rPr>
      </w:pPr>
      <w:r w:rsidRPr="0037236C">
        <w:rPr>
          <w:rFonts w:asciiTheme="minorHAnsi" w:hAnsiTheme="minorHAnsi" w:cstheme="minorHAnsi"/>
          <w:b/>
          <w:sz w:val="22"/>
        </w:rPr>
        <w:t xml:space="preserve"> Deepen collaboration with corporate hospitals to cover all facets of TB elimination (hospital chain engagement, MIS integration, AIC, DRTB, EPTB, Paediatric TB)</w:t>
      </w:r>
    </w:p>
    <w:p w14:paraId="01C8B0B4" w14:textId="05241F1B"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 xml:space="preserve">Establish a nodal centre / focal point within the hospital set up which coordinate with the programme for notification, provision of diagnostic and treatment services and undertake public health action themselves. The additional capacity enhancements of patient management will be used to ensure treatment adherence and patient retention. </w:t>
      </w:r>
    </w:p>
    <w:p w14:paraId="0B2F98D3" w14:textId="2B6D828C"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ICT advances and interface will be used to facilitate reporting from these corporate hospitals which have their own MIS, by linking them to NIKSHAY, particularly in the case of large hospital chains</w:t>
      </w:r>
    </w:p>
    <w:p w14:paraId="3C06894F" w14:textId="7AD09113" w:rsidR="00217C7F" w:rsidRPr="0037236C" w:rsidRDefault="00217C7F" w:rsidP="009136E5">
      <w:pPr>
        <w:pStyle w:val="ListParagraph"/>
        <w:numPr>
          <w:ilvl w:val="3"/>
          <w:numId w:val="75"/>
        </w:numPr>
        <w:ind w:left="1267" w:hanging="720"/>
        <w:contextualSpacing w:val="0"/>
        <w:jc w:val="both"/>
        <w:rPr>
          <w:rFonts w:asciiTheme="minorHAnsi" w:hAnsiTheme="minorHAnsi" w:cstheme="minorHAnsi"/>
          <w:sz w:val="22"/>
          <w:lang w:val="en-IN"/>
        </w:rPr>
      </w:pPr>
      <w:r w:rsidRPr="00397572">
        <w:rPr>
          <w:rFonts w:asciiTheme="minorHAnsi" w:hAnsiTheme="minorHAnsi" w:cstheme="minorHAnsi"/>
          <w:sz w:val="22"/>
        </w:rPr>
        <w:t>A consortium of corporate hospitals will be created to give value to the arrangement</w:t>
      </w:r>
      <w:r w:rsidRPr="00397572">
        <w:rPr>
          <w:rFonts w:asciiTheme="minorHAnsi" w:hAnsiTheme="minorHAnsi" w:cstheme="minorHAnsi"/>
          <w:b/>
          <w:sz w:val="22"/>
        </w:rPr>
        <w:t xml:space="preserve"> with a view to better</w:t>
      </w:r>
      <w:r w:rsidRPr="0037236C">
        <w:rPr>
          <w:rFonts w:asciiTheme="minorHAnsi" w:hAnsiTheme="minorHAnsi" w:cstheme="minorHAnsi"/>
          <w:sz w:val="22"/>
          <w:lang w:val="en-IN"/>
        </w:rPr>
        <w:t xml:space="preserve"> collaborate with the Programme in TB policy implementation.</w:t>
      </w:r>
    </w:p>
    <w:p w14:paraId="44FBED46" w14:textId="401F0705" w:rsidR="00217C7F" w:rsidRPr="0037236C" w:rsidRDefault="00217C7F" w:rsidP="009136E5">
      <w:pPr>
        <w:pStyle w:val="ListParagraph"/>
        <w:numPr>
          <w:ilvl w:val="2"/>
          <w:numId w:val="75"/>
        </w:numPr>
        <w:ind w:left="504"/>
        <w:contextualSpacing w:val="0"/>
        <w:jc w:val="both"/>
        <w:rPr>
          <w:rFonts w:asciiTheme="minorHAnsi" w:hAnsiTheme="minorHAnsi" w:cstheme="minorHAnsi"/>
          <w:b/>
          <w:sz w:val="22"/>
        </w:rPr>
      </w:pPr>
      <w:r w:rsidRPr="0037236C">
        <w:rPr>
          <w:rFonts w:asciiTheme="minorHAnsi" w:hAnsiTheme="minorHAnsi" w:cstheme="minorHAnsi"/>
          <w:b/>
          <w:sz w:val="22"/>
        </w:rPr>
        <w:t>Ensure Patient Support till completion of treatment</w:t>
      </w:r>
    </w:p>
    <w:p w14:paraId="0FCA5F43" w14:textId="4E223B03"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Refilling and adherence monitoring system for TB patients notified from private sector will be strengthened with use of call centre, combination of ICT based adherence technologies and use of Artificial Intelligence to predict potential LFU patients</w:t>
      </w:r>
    </w:p>
    <w:p w14:paraId="61B55618" w14:textId="6504114F"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 xml:space="preserve">Auditing system for verification treatment outcomes will be established </w:t>
      </w:r>
    </w:p>
    <w:p w14:paraId="04B4BEDF" w14:textId="365D85E3"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Provider incentive coverage will be improved with more efficiency: Providers who refer patients for NAAT or smear microscopy will be covered under informant incentives</w:t>
      </w:r>
    </w:p>
    <w:p w14:paraId="250B36EC" w14:textId="0ED787B8" w:rsidR="00217C7F" w:rsidRPr="00397572" w:rsidRDefault="00217C7F" w:rsidP="009136E5">
      <w:pPr>
        <w:pStyle w:val="ListParagraph"/>
        <w:numPr>
          <w:ilvl w:val="3"/>
          <w:numId w:val="75"/>
        </w:numPr>
        <w:ind w:left="1267" w:hanging="720"/>
        <w:contextualSpacing w:val="0"/>
        <w:jc w:val="both"/>
        <w:rPr>
          <w:rFonts w:asciiTheme="minorHAnsi" w:hAnsiTheme="minorHAnsi" w:cstheme="minorHAnsi"/>
          <w:sz w:val="22"/>
        </w:rPr>
      </w:pPr>
      <w:r w:rsidRPr="00397572">
        <w:rPr>
          <w:rFonts w:asciiTheme="minorHAnsi" w:hAnsiTheme="minorHAnsi" w:cstheme="minorHAnsi"/>
          <w:sz w:val="22"/>
        </w:rPr>
        <w:lastRenderedPageBreak/>
        <w:t>Wherever required, programme will use PPSAs (described above), NGOs to expand these services. These services should be purchased using principles of Guidance document on Partnerships 2019</w:t>
      </w:r>
      <w:r w:rsidR="00D66B88">
        <w:rPr>
          <w:rFonts w:asciiTheme="minorHAnsi" w:hAnsiTheme="minorHAnsi" w:cstheme="minorHAnsi"/>
          <w:sz w:val="22"/>
        </w:rPr>
        <w:t>.</w:t>
      </w:r>
    </w:p>
    <w:p w14:paraId="47713D1F" w14:textId="2F0CC99A" w:rsidR="00217C7F" w:rsidRPr="00397572" w:rsidRDefault="00217C7F" w:rsidP="009136E5">
      <w:pPr>
        <w:pStyle w:val="ListParagraph"/>
        <w:numPr>
          <w:ilvl w:val="2"/>
          <w:numId w:val="75"/>
        </w:numPr>
        <w:ind w:left="504"/>
        <w:contextualSpacing w:val="0"/>
        <w:jc w:val="both"/>
        <w:rPr>
          <w:rFonts w:asciiTheme="minorHAnsi" w:hAnsiTheme="minorHAnsi" w:cstheme="minorHAnsi"/>
          <w:b/>
          <w:sz w:val="22"/>
        </w:rPr>
      </w:pPr>
      <w:r w:rsidRPr="00397572">
        <w:rPr>
          <w:rFonts w:asciiTheme="minorHAnsi" w:hAnsiTheme="minorHAnsi" w:cstheme="minorHAnsi"/>
          <w:b/>
          <w:sz w:val="22"/>
          <w:lang w:val="en-IN"/>
        </w:rPr>
        <w:t xml:space="preserve"> Improve access to diagnostics for TB patients notified from private sector</w:t>
      </w:r>
    </w:p>
    <w:p w14:paraId="5E42ABEC" w14:textId="0AA9F5C5"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For access to diagnostic services like CBNAAT from the programme, the scope of system of specimen collection and transport will be expanded to establish linkages for giving diagnostic access to patients in the private sector. Private providers/NGOs/Volunteers will be engaged and incentives/honorarium would be integrated in the programme e-payment system. Large corporate laboratories may be given responsibilities of both sample transportation and carry out testing.</w:t>
      </w:r>
    </w:p>
    <w:p w14:paraId="3ECA5886" w14:textId="6CB16EFE"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Purchase diagnostic services, such as when demand for rapid diagnostic tests or chest X-Ray exceeds availability in public facilities or when patients and their providers exhibit strong preference for private channels.</w:t>
      </w:r>
    </w:p>
    <w:p w14:paraId="73B2D3B5" w14:textId="2B1AB614"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Use of the national free diagnostic scheme: in private labs that are collocated with district hospitals, the public sector pays for services, including the cost of the private lab organizing sputum transport</w:t>
      </w:r>
    </w:p>
    <w:p w14:paraId="38ACE9D2" w14:textId="127D1D38" w:rsidR="00217C7F" w:rsidRPr="00397572" w:rsidRDefault="00217C7F" w:rsidP="009136E5">
      <w:pPr>
        <w:pStyle w:val="ListParagraph"/>
        <w:numPr>
          <w:ilvl w:val="3"/>
          <w:numId w:val="75"/>
        </w:numPr>
        <w:ind w:left="1267" w:hanging="720"/>
        <w:contextualSpacing w:val="0"/>
        <w:jc w:val="both"/>
        <w:rPr>
          <w:rFonts w:asciiTheme="minorHAnsi" w:hAnsiTheme="minorHAnsi" w:cstheme="minorHAnsi"/>
          <w:sz w:val="22"/>
        </w:rPr>
      </w:pPr>
      <w:r w:rsidRPr="00397572">
        <w:rPr>
          <w:rFonts w:asciiTheme="minorHAnsi" w:hAnsiTheme="minorHAnsi" w:cstheme="minorHAnsi"/>
          <w:sz w:val="22"/>
        </w:rPr>
        <w:t>Various models used in limited settings may be scaled up like cartridge sharing, reagent rental, or subsidizing rates through IPAQT mechanism</w:t>
      </w:r>
    </w:p>
    <w:p w14:paraId="09D5448E" w14:textId="4234DBBF" w:rsidR="00217C7F" w:rsidRPr="00397572" w:rsidRDefault="00217C7F" w:rsidP="009136E5">
      <w:pPr>
        <w:pStyle w:val="ListParagraph"/>
        <w:numPr>
          <w:ilvl w:val="2"/>
          <w:numId w:val="75"/>
        </w:numPr>
        <w:ind w:left="504"/>
        <w:contextualSpacing w:val="0"/>
        <w:jc w:val="both"/>
        <w:rPr>
          <w:rFonts w:asciiTheme="minorHAnsi" w:hAnsiTheme="minorHAnsi" w:cstheme="minorHAnsi"/>
          <w:b/>
          <w:sz w:val="22"/>
          <w:lang w:val="en-IN"/>
        </w:rPr>
      </w:pPr>
      <w:r w:rsidRPr="00397572">
        <w:rPr>
          <w:rFonts w:asciiTheme="minorHAnsi" w:hAnsiTheme="minorHAnsi" w:cstheme="minorHAnsi"/>
          <w:b/>
          <w:sz w:val="22"/>
          <w:lang w:val="en-IN"/>
        </w:rPr>
        <w:t xml:space="preserve">Improve access to drug for TB patients notified from private </w:t>
      </w:r>
      <w:r w:rsidR="00693FC5" w:rsidRPr="00397572">
        <w:rPr>
          <w:rFonts w:asciiTheme="minorHAnsi" w:hAnsiTheme="minorHAnsi" w:cstheme="minorHAnsi"/>
          <w:b/>
          <w:sz w:val="22"/>
          <w:lang w:val="en-IN"/>
        </w:rPr>
        <w:t>sector:</w:t>
      </w:r>
      <w:r w:rsidR="00397572" w:rsidRPr="00397572">
        <w:rPr>
          <w:rFonts w:asciiTheme="minorHAnsi" w:hAnsiTheme="minorHAnsi" w:cstheme="minorHAnsi"/>
          <w:b/>
          <w:sz w:val="22"/>
          <w:lang w:val="en-IN"/>
        </w:rPr>
        <w:t xml:space="preserve"> </w:t>
      </w:r>
      <w:r w:rsidRPr="00397572">
        <w:rPr>
          <w:rFonts w:asciiTheme="minorHAnsi" w:hAnsiTheme="minorHAnsi" w:cstheme="minorHAnsi"/>
          <w:b/>
          <w:sz w:val="22"/>
          <w:lang w:val="en-IN"/>
        </w:rPr>
        <w:t>There is a large diversity in ensuring drug access to TB patients in the private sector. Hence, multiple options have been proposed, which make use of the private sector supply chain either partially or completely</w:t>
      </w:r>
    </w:p>
    <w:p w14:paraId="55B3C0D2" w14:textId="4A973856"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 xml:space="preserve">Place program drugs in local private pharmacies, or Jan-Aushadhi. The program then pays the pharmacy cash incentive per patient for their dispensing services </w:t>
      </w:r>
    </w:p>
    <w:p w14:paraId="6BF90BD5" w14:textId="43E51C3B"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Place program drugs in the regional stores of pharmacy chains, and pay the chain both for operation of the local supply chain and for dispensing</w:t>
      </w:r>
    </w:p>
    <w:p w14:paraId="4C47D886" w14:textId="6D459F71"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Use online pharmacies, especially in sites most chemists have stopped stocking ATT</w:t>
      </w:r>
    </w:p>
    <w:p w14:paraId="7B4A671D" w14:textId="0BF65D77" w:rsidR="00217C7F" w:rsidRDefault="00217C7F" w:rsidP="00911442">
      <w:pPr>
        <w:pStyle w:val="ListParagraph"/>
        <w:numPr>
          <w:ilvl w:val="3"/>
          <w:numId w:val="75"/>
        </w:numPr>
        <w:spacing w:after="0"/>
        <w:ind w:left="1267" w:hanging="720"/>
        <w:contextualSpacing w:val="0"/>
        <w:jc w:val="both"/>
        <w:rPr>
          <w:rFonts w:asciiTheme="minorHAnsi" w:hAnsiTheme="minorHAnsi" w:cstheme="minorHAnsi"/>
          <w:b/>
          <w:sz w:val="22"/>
          <w:lang w:val="en-IN"/>
        </w:rPr>
      </w:pPr>
      <w:r w:rsidRPr="00397572">
        <w:rPr>
          <w:rFonts w:asciiTheme="minorHAnsi" w:hAnsiTheme="minorHAnsi" w:cstheme="minorHAnsi"/>
          <w:sz w:val="22"/>
        </w:rPr>
        <w:t>Establish a scheme for</w:t>
      </w:r>
      <w:r w:rsidRPr="0037236C">
        <w:rPr>
          <w:rFonts w:asciiTheme="minorHAnsi" w:hAnsiTheme="minorHAnsi" w:cstheme="minorHAnsi"/>
          <w:sz w:val="22"/>
          <w:lang w:val="en-IN"/>
        </w:rPr>
        <w:t xml:space="preserve"> Free anti</w:t>
      </w:r>
      <w:r w:rsidRPr="0037236C">
        <w:rPr>
          <w:rFonts w:asciiTheme="minorHAnsi" w:hAnsiTheme="minorHAnsi" w:cstheme="minorHAnsi"/>
          <w:b/>
          <w:sz w:val="22"/>
          <w:lang w:val="en-IN"/>
        </w:rPr>
        <w:t>-</w:t>
      </w:r>
      <w:r w:rsidRPr="0037236C">
        <w:rPr>
          <w:rFonts w:asciiTheme="minorHAnsi" w:hAnsiTheme="minorHAnsi" w:cstheme="minorHAnsi"/>
          <w:sz w:val="22"/>
          <w:lang w:val="en-IN"/>
        </w:rPr>
        <w:t>TB drugs that flow through the private supply chain</w:t>
      </w:r>
      <w:r w:rsidRPr="0037236C">
        <w:rPr>
          <w:rFonts w:asciiTheme="minorHAnsi" w:hAnsiTheme="minorHAnsi" w:cstheme="minorHAnsi"/>
          <w:b/>
          <w:sz w:val="22"/>
          <w:lang w:val="en-IN"/>
        </w:rPr>
        <w:t xml:space="preserve"> </w:t>
      </w:r>
    </w:p>
    <w:p w14:paraId="5802CCE1" w14:textId="7E7AC6AD" w:rsidR="00911442" w:rsidRPr="0037236C" w:rsidRDefault="00911442" w:rsidP="00911442">
      <w:pPr>
        <w:pStyle w:val="ListParagraph"/>
        <w:numPr>
          <w:ilvl w:val="3"/>
          <w:numId w:val="75"/>
        </w:numPr>
        <w:spacing w:before="0"/>
        <w:ind w:left="1267" w:hanging="720"/>
        <w:contextualSpacing w:val="0"/>
        <w:jc w:val="both"/>
        <w:rPr>
          <w:rFonts w:asciiTheme="minorHAnsi" w:hAnsiTheme="minorHAnsi" w:cstheme="minorHAnsi"/>
          <w:b/>
          <w:sz w:val="22"/>
          <w:lang w:val="en-IN"/>
        </w:rPr>
      </w:pPr>
      <w:r>
        <w:rPr>
          <w:rFonts w:asciiTheme="minorHAnsi" w:hAnsiTheme="minorHAnsi" w:cstheme="minorHAnsi"/>
          <w:sz w:val="22"/>
        </w:rPr>
        <w:t xml:space="preserve">Continue the partnership with the </w:t>
      </w:r>
      <w:r w:rsidRPr="00053613">
        <w:rPr>
          <w:rFonts w:asciiTheme="minorHAnsi" w:hAnsiTheme="minorHAnsi" w:cstheme="minorHAnsi"/>
          <w:sz w:val="22"/>
        </w:rPr>
        <w:t>Indian Pharmaceutical Association (IPA)</w:t>
      </w:r>
      <w:r>
        <w:rPr>
          <w:rFonts w:asciiTheme="minorHAnsi" w:hAnsiTheme="minorHAnsi" w:cstheme="minorHAnsi"/>
          <w:sz w:val="22"/>
        </w:rPr>
        <w:t xml:space="preserve"> at the national and state levels</w:t>
      </w:r>
    </w:p>
    <w:p w14:paraId="195D8B94" w14:textId="504145B8" w:rsidR="00217C7F" w:rsidRPr="0037236C" w:rsidRDefault="00217C7F" w:rsidP="009136E5">
      <w:pPr>
        <w:pStyle w:val="ListParagraph"/>
        <w:numPr>
          <w:ilvl w:val="2"/>
          <w:numId w:val="75"/>
        </w:numPr>
        <w:ind w:left="504"/>
        <w:contextualSpacing w:val="0"/>
        <w:jc w:val="both"/>
        <w:rPr>
          <w:rFonts w:asciiTheme="minorHAnsi" w:hAnsiTheme="minorHAnsi" w:cstheme="minorHAnsi"/>
          <w:b/>
          <w:sz w:val="22"/>
          <w:lang w:val="en-IN"/>
        </w:rPr>
      </w:pPr>
      <w:r w:rsidRPr="0037236C">
        <w:rPr>
          <w:rFonts w:asciiTheme="minorHAnsi" w:hAnsiTheme="minorHAnsi" w:cstheme="minorHAnsi"/>
          <w:b/>
          <w:sz w:val="22"/>
          <w:lang w:val="en-IN"/>
        </w:rPr>
        <w:t>Enhance Surveillance and Quality improvement in the private sector programme</w:t>
      </w:r>
    </w:p>
    <w:p w14:paraId="34C065A3" w14:textId="2CC1667C"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 xml:space="preserve">Use of patient feedback systems, periodic prescription audits, drug sales surveys, chemist surveillance through Schedule H1 and laboratory surveillance including private laboratories </w:t>
      </w:r>
    </w:p>
    <w:p w14:paraId="5407F2E2" w14:textId="3C8F5242"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Introduction of components of NTEP Quality Assurance system in other laboratory quality assurance systems like NABL, CAP etc. for improving quality assurance for laboratories in private sector</w:t>
      </w:r>
    </w:p>
    <w:p w14:paraId="4FFDABAE" w14:textId="50535CEF" w:rsidR="00217C7F" w:rsidRPr="00397572" w:rsidRDefault="00217C7F" w:rsidP="009136E5">
      <w:pPr>
        <w:pStyle w:val="ListParagraph"/>
        <w:numPr>
          <w:ilvl w:val="3"/>
          <w:numId w:val="75"/>
        </w:numPr>
        <w:ind w:left="1260" w:hanging="720"/>
        <w:jc w:val="both"/>
        <w:rPr>
          <w:rFonts w:asciiTheme="minorHAnsi" w:hAnsiTheme="minorHAnsi" w:cstheme="minorHAnsi"/>
          <w:sz w:val="22"/>
        </w:rPr>
      </w:pPr>
      <w:r w:rsidRPr="00397572">
        <w:rPr>
          <w:rFonts w:asciiTheme="minorHAnsi" w:hAnsiTheme="minorHAnsi" w:cstheme="minorHAnsi"/>
          <w:sz w:val="22"/>
        </w:rPr>
        <w:t>Monitor drug sales and incorporate the information into the routine programme monitoring and evaluation framework.</w:t>
      </w:r>
    </w:p>
    <w:p w14:paraId="51B01B69" w14:textId="42733EA8" w:rsidR="00217C7F" w:rsidRPr="00397572" w:rsidRDefault="00217C7F" w:rsidP="009136E5">
      <w:pPr>
        <w:pStyle w:val="ListParagraph"/>
        <w:numPr>
          <w:ilvl w:val="3"/>
          <w:numId w:val="75"/>
        </w:numPr>
        <w:ind w:left="1267" w:hanging="720"/>
        <w:contextualSpacing w:val="0"/>
        <w:jc w:val="both"/>
        <w:rPr>
          <w:rFonts w:asciiTheme="minorHAnsi" w:hAnsiTheme="minorHAnsi" w:cstheme="minorHAnsi"/>
          <w:sz w:val="22"/>
        </w:rPr>
      </w:pPr>
      <w:r w:rsidRPr="00397572">
        <w:rPr>
          <w:rFonts w:asciiTheme="minorHAnsi" w:hAnsiTheme="minorHAnsi" w:cstheme="minorHAnsi"/>
          <w:sz w:val="22"/>
        </w:rPr>
        <w:t xml:space="preserve">Monitor quality of prescription through prescription audit carried out with support of Drug Controller of the state. </w:t>
      </w:r>
      <w:bookmarkStart w:id="56" w:name="_7cul9qtna0j" w:colFirst="0" w:colLast="0"/>
      <w:bookmarkEnd w:id="56"/>
      <w:r w:rsidRPr="00397572">
        <w:rPr>
          <w:rFonts w:asciiTheme="minorHAnsi" w:hAnsiTheme="minorHAnsi" w:cstheme="minorHAnsi"/>
          <w:sz w:val="22"/>
        </w:rPr>
        <w:t xml:space="preserve">A system of regular feedback to the providers for quality of care aspects will be part of the engagement process. </w:t>
      </w:r>
    </w:p>
    <w:p w14:paraId="7F0967AA" w14:textId="466CDAF4" w:rsidR="00217C7F" w:rsidRPr="0037236C" w:rsidRDefault="00217C7F" w:rsidP="009136E5">
      <w:pPr>
        <w:pStyle w:val="ListParagraph"/>
        <w:numPr>
          <w:ilvl w:val="2"/>
          <w:numId w:val="75"/>
        </w:numPr>
        <w:ind w:left="504"/>
        <w:contextualSpacing w:val="0"/>
        <w:jc w:val="both"/>
        <w:rPr>
          <w:rFonts w:asciiTheme="minorHAnsi" w:hAnsiTheme="minorHAnsi" w:cstheme="minorHAnsi"/>
          <w:b/>
          <w:sz w:val="22"/>
          <w:lang w:val="en-IN"/>
        </w:rPr>
      </w:pPr>
      <w:r w:rsidRPr="0037236C">
        <w:rPr>
          <w:rFonts w:asciiTheme="minorHAnsi" w:hAnsiTheme="minorHAnsi" w:cstheme="minorHAnsi"/>
          <w:b/>
          <w:sz w:val="22"/>
          <w:lang w:val="en-IN"/>
        </w:rPr>
        <w:t>Expand ICT support to TB patients and private provider</w:t>
      </w:r>
    </w:p>
    <w:p w14:paraId="22BEAE43" w14:textId="77777777" w:rsidR="00397572" w:rsidRDefault="00217C7F" w:rsidP="0037236C">
      <w:pPr>
        <w:spacing w:before="0" w:after="0"/>
        <w:jc w:val="both"/>
        <w:rPr>
          <w:rFonts w:asciiTheme="minorHAnsi" w:hAnsiTheme="minorHAnsi" w:cstheme="minorHAnsi"/>
          <w:sz w:val="22"/>
          <w:lang w:val="en-IN"/>
        </w:rPr>
      </w:pPr>
      <w:r w:rsidRPr="0037236C">
        <w:rPr>
          <w:rFonts w:asciiTheme="minorHAnsi" w:hAnsiTheme="minorHAnsi" w:cstheme="minorHAnsi"/>
          <w:sz w:val="22"/>
          <w:lang w:val="en-IN"/>
        </w:rPr>
        <w:t>Effective ICT support will be the cornerstone for facilitating engagement, user-friendly patient reporting, patient centric adherence monitoring, and for smooth financial transactions. The Nikshay platform, supported with efficient call centres and provision of sufficient digital tools to field staff and providers, will be key to reaching patients in private sector.</w:t>
      </w:r>
    </w:p>
    <w:p w14:paraId="1A79F084" w14:textId="5A1C06D7" w:rsidR="00217C7F" w:rsidRPr="00397572" w:rsidRDefault="00397572" w:rsidP="009136E5">
      <w:pPr>
        <w:pStyle w:val="ListParagraph"/>
        <w:numPr>
          <w:ilvl w:val="3"/>
          <w:numId w:val="75"/>
        </w:numPr>
        <w:ind w:left="1260" w:hanging="720"/>
        <w:jc w:val="both"/>
        <w:rPr>
          <w:rFonts w:asciiTheme="minorHAnsi" w:hAnsiTheme="minorHAnsi" w:cstheme="minorHAnsi"/>
          <w:sz w:val="22"/>
          <w:lang w:val="en-IN"/>
        </w:rPr>
      </w:pPr>
      <w:r w:rsidRPr="004B2F25">
        <w:rPr>
          <w:rFonts w:asciiTheme="minorHAnsi" w:hAnsiTheme="minorHAnsi" w:cstheme="minorHAnsi"/>
          <w:sz w:val="22"/>
        </w:rPr>
        <w:lastRenderedPageBreak/>
        <w:t>Add</w:t>
      </w:r>
      <w:r w:rsidRPr="00397572">
        <w:rPr>
          <w:rFonts w:asciiTheme="minorHAnsi" w:hAnsiTheme="minorHAnsi" w:cstheme="minorHAnsi"/>
          <w:sz w:val="22"/>
          <w:lang w:val="en-IN"/>
        </w:rPr>
        <w:t xml:space="preserve"> a </w:t>
      </w:r>
      <w:r w:rsidR="00217C7F" w:rsidRPr="00397572">
        <w:rPr>
          <w:rFonts w:asciiTheme="minorHAnsi" w:hAnsiTheme="minorHAnsi" w:cstheme="minorHAnsi"/>
          <w:sz w:val="22"/>
          <w:lang w:val="en-IN"/>
        </w:rPr>
        <w:t xml:space="preserve">program management component </w:t>
      </w:r>
      <w:r w:rsidRPr="00397572">
        <w:rPr>
          <w:rFonts w:asciiTheme="minorHAnsi" w:hAnsiTheme="minorHAnsi" w:cstheme="minorHAnsi"/>
          <w:sz w:val="22"/>
          <w:lang w:val="en-IN"/>
        </w:rPr>
        <w:t xml:space="preserve">to Nikshay to </w:t>
      </w:r>
      <w:r w:rsidR="00217C7F" w:rsidRPr="00397572">
        <w:rPr>
          <w:rFonts w:asciiTheme="minorHAnsi" w:hAnsiTheme="minorHAnsi" w:cstheme="minorHAnsi"/>
          <w:sz w:val="22"/>
          <w:lang w:val="en-IN"/>
        </w:rPr>
        <w:t>facilitate smooth operation and monitoring of PPSA.</w:t>
      </w:r>
      <w:r w:rsidRPr="00397572">
        <w:rPr>
          <w:rFonts w:asciiTheme="minorHAnsi" w:hAnsiTheme="minorHAnsi" w:cstheme="minorHAnsi"/>
          <w:sz w:val="22"/>
          <w:lang w:val="en-IN"/>
        </w:rPr>
        <w:t xml:space="preserve"> It will include </w:t>
      </w:r>
      <w:r w:rsidR="00217C7F" w:rsidRPr="00397572">
        <w:rPr>
          <w:rFonts w:asciiTheme="minorHAnsi" w:hAnsiTheme="minorHAnsi" w:cstheme="minorHAnsi"/>
          <w:sz w:val="22"/>
          <w:lang w:val="en-IN"/>
        </w:rPr>
        <w:t>contract management tool for efficient management of contract, payment disbursement and monitoring of performance of the partner agency</w:t>
      </w:r>
    </w:p>
    <w:p w14:paraId="530CAF79" w14:textId="4250347D" w:rsidR="00217C7F" w:rsidRPr="004B2F25" w:rsidRDefault="004B2F25" w:rsidP="009136E5">
      <w:pPr>
        <w:pStyle w:val="ListParagraph"/>
        <w:numPr>
          <w:ilvl w:val="3"/>
          <w:numId w:val="75"/>
        </w:numPr>
        <w:ind w:left="1260" w:hanging="720"/>
        <w:jc w:val="both"/>
        <w:rPr>
          <w:rFonts w:asciiTheme="minorHAnsi" w:hAnsiTheme="minorHAnsi" w:cstheme="minorHAnsi"/>
          <w:sz w:val="22"/>
        </w:rPr>
      </w:pPr>
      <w:r>
        <w:rPr>
          <w:rFonts w:asciiTheme="minorHAnsi" w:hAnsiTheme="minorHAnsi" w:cstheme="minorHAnsi"/>
          <w:sz w:val="22"/>
          <w:lang w:val="en-IN"/>
        </w:rPr>
        <w:t xml:space="preserve"> </w:t>
      </w:r>
      <w:r w:rsidR="00217C7F" w:rsidRPr="004B2F25">
        <w:rPr>
          <w:rFonts w:asciiTheme="minorHAnsi" w:hAnsiTheme="minorHAnsi" w:cstheme="minorHAnsi"/>
          <w:sz w:val="22"/>
        </w:rPr>
        <w:t>All the TB drugs are QR coded. At the time of dispensing drugs, pharmacy will also will scan bar codes/ QR codes for capturing information of drugs refills in the system. In case of failure of drug refill, the system will generate an alert. Health workers will establish contact with such patients and will provide support for resuming their treatment.</w:t>
      </w:r>
    </w:p>
    <w:p w14:paraId="28B4A5A7" w14:textId="7C332EAE" w:rsidR="00217C7F" w:rsidRPr="004B2F25" w:rsidRDefault="00570F17" w:rsidP="009136E5">
      <w:pPr>
        <w:pStyle w:val="ListParagraph"/>
        <w:numPr>
          <w:ilvl w:val="3"/>
          <w:numId w:val="75"/>
        </w:numPr>
        <w:ind w:left="1260" w:hanging="720"/>
        <w:jc w:val="both"/>
        <w:rPr>
          <w:rFonts w:asciiTheme="minorHAnsi" w:hAnsiTheme="minorHAnsi" w:cstheme="minorHAnsi"/>
          <w:sz w:val="22"/>
        </w:rPr>
      </w:pPr>
      <w:r>
        <w:rPr>
          <w:rFonts w:asciiTheme="minorHAnsi" w:hAnsiTheme="minorHAnsi" w:cstheme="minorHAnsi"/>
          <w:sz w:val="22"/>
        </w:rPr>
        <w:t>Increase</w:t>
      </w:r>
      <w:r w:rsidR="00217C7F" w:rsidRPr="004B2F25">
        <w:rPr>
          <w:rFonts w:asciiTheme="minorHAnsi" w:hAnsiTheme="minorHAnsi" w:cstheme="minorHAnsi"/>
          <w:sz w:val="22"/>
        </w:rPr>
        <w:t xml:space="preserve"> uptake of Digital Adherence Technologies such as MERM, 99DOTS, VOT </w:t>
      </w:r>
      <w:r w:rsidR="00F51523" w:rsidRPr="004B2F25">
        <w:rPr>
          <w:rFonts w:asciiTheme="minorHAnsi" w:hAnsiTheme="minorHAnsi" w:cstheme="minorHAnsi"/>
          <w:sz w:val="22"/>
        </w:rPr>
        <w:t>etc.</w:t>
      </w:r>
      <w:r w:rsidR="00217C7F" w:rsidRPr="004B2F25">
        <w:rPr>
          <w:rFonts w:asciiTheme="minorHAnsi" w:hAnsiTheme="minorHAnsi" w:cstheme="minorHAnsi"/>
          <w:sz w:val="22"/>
        </w:rPr>
        <w:t xml:space="preserve"> </w:t>
      </w:r>
    </w:p>
    <w:p w14:paraId="3543B256" w14:textId="0BFA5B52" w:rsidR="00217C7F" w:rsidRDefault="00217C7F" w:rsidP="009136E5">
      <w:pPr>
        <w:pStyle w:val="ListParagraph"/>
        <w:numPr>
          <w:ilvl w:val="3"/>
          <w:numId w:val="75"/>
        </w:numPr>
        <w:ind w:left="1267" w:hanging="720"/>
        <w:contextualSpacing w:val="0"/>
        <w:jc w:val="both"/>
        <w:rPr>
          <w:rFonts w:asciiTheme="minorHAnsi" w:hAnsiTheme="minorHAnsi" w:cstheme="minorHAnsi"/>
          <w:sz w:val="22"/>
          <w:lang w:val="en-IN"/>
        </w:rPr>
      </w:pPr>
      <w:r w:rsidRPr="0037236C">
        <w:rPr>
          <w:rFonts w:asciiTheme="minorHAnsi" w:hAnsiTheme="minorHAnsi" w:cstheme="minorHAnsi"/>
          <w:sz w:val="22"/>
          <w:lang w:val="en-IN"/>
        </w:rPr>
        <w:t xml:space="preserve">Use </w:t>
      </w:r>
      <w:r w:rsidR="00570F17">
        <w:rPr>
          <w:rFonts w:asciiTheme="minorHAnsi" w:hAnsiTheme="minorHAnsi" w:cstheme="minorHAnsi"/>
          <w:sz w:val="22"/>
          <w:lang w:val="en-IN"/>
        </w:rPr>
        <w:t xml:space="preserve">of </w:t>
      </w:r>
      <w:r w:rsidRPr="0037236C">
        <w:rPr>
          <w:rFonts w:asciiTheme="minorHAnsi" w:hAnsiTheme="minorHAnsi" w:cstheme="minorHAnsi"/>
          <w:sz w:val="22"/>
          <w:lang w:val="en-IN"/>
        </w:rPr>
        <w:t>AI technologies for enabling better diagnostic, monitoring and logistics support will be promoted.</w:t>
      </w:r>
      <w:r w:rsidR="00570F17">
        <w:rPr>
          <w:rFonts w:asciiTheme="minorHAnsi" w:hAnsiTheme="minorHAnsi" w:cstheme="minorHAnsi"/>
          <w:sz w:val="22"/>
          <w:lang w:val="en-IN"/>
        </w:rPr>
        <w:t xml:space="preserve"> </w:t>
      </w:r>
    </w:p>
    <w:p w14:paraId="1E8E0A05" w14:textId="77777777" w:rsidR="00570F17" w:rsidRPr="00570F17" w:rsidRDefault="00570F17" w:rsidP="009136E5">
      <w:pPr>
        <w:pStyle w:val="ListParagraph"/>
        <w:numPr>
          <w:ilvl w:val="3"/>
          <w:numId w:val="75"/>
        </w:numPr>
        <w:ind w:left="1267" w:hanging="720"/>
        <w:contextualSpacing w:val="0"/>
        <w:jc w:val="both"/>
        <w:rPr>
          <w:rFonts w:asciiTheme="minorHAnsi" w:hAnsiTheme="minorHAnsi" w:cstheme="minorHAnsi"/>
          <w:sz w:val="22"/>
        </w:rPr>
      </w:pPr>
      <w:r w:rsidRPr="00570F17">
        <w:rPr>
          <w:rFonts w:asciiTheme="minorHAnsi" w:hAnsiTheme="minorHAnsi" w:cstheme="minorHAnsi"/>
          <w:sz w:val="22"/>
        </w:rPr>
        <w:t>Unleash the full power of NIKSHAY and NIKSHAY-enabled digital technologies to support telemedicine and more virtual TB care</w:t>
      </w:r>
    </w:p>
    <w:p w14:paraId="503E9581" w14:textId="77777777" w:rsidR="00570F17" w:rsidRPr="00570F17" w:rsidRDefault="00570F17" w:rsidP="006860AE">
      <w:pPr>
        <w:jc w:val="both"/>
        <w:rPr>
          <w:rFonts w:asciiTheme="minorHAnsi" w:hAnsiTheme="minorHAnsi" w:cstheme="minorHAnsi"/>
          <w:sz w:val="22"/>
          <w:lang w:val="en-IN"/>
        </w:rPr>
      </w:pPr>
    </w:p>
    <w:p w14:paraId="6A72D663" w14:textId="77777777" w:rsidR="00217C7F" w:rsidRDefault="00217C7F" w:rsidP="00217C7F">
      <w:pPr>
        <w:spacing w:before="0" w:after="0"/>
        <w:jc w:val="both"/>
        <w:rPr>
          <w:rFonts w:asciiTheme="minorHAnsi" w:hAnsiTheme="minorHAnsi" w:cstheme="minorHAnsi"/>
          <w:sz w:val="22"/>
          <w:lang w:val="en-IN"/>
        </w:rPr>
      </w:pPr>
    </w:p>
    <w:p w14:paraId="1C866283" w14:textId="77777777" w:rsidR="00217C7F" w:rsidRDefault="00217C7F" w:rsidP="00217C7F">
      <w:pPr>
        <w:spacing w:before="0" w:after="0"/>
        <w:jc w:val="both"/>
        <w:rPr>
          <w:rFonts w:asciiTheme="minorHAnsi" w:hAnsiTheme="minorHAnsi" w:cstheme="minorHAnsi"/>
          <w:sz w:val="22"/>
          <w:lang w:val="en-IN"/>
        </w:rPr>
      </w:pPr>
    </w:p>
    <w:p w14:paraId="74264D17" w14:textId="77777777" w:rsidR="00217C7F" w:rsidRPr="006A5291" w:rsidRDefault="00217C7F" w:rsidP="00217C7F">
      <w:pPr>
        <w:spacing w:before="0" w:after="0"/>
        <w:jc w:val="both"/>
        <w:rPr>
          <w:rFonts w:asciiTheme="minorHAnsi" w:hAnsiTheme="minorHAnsi" w:cstheme="minorHAnsi"/>
          <w:sz w:val="22"/>
          <w:lang w:val="en-IN"/>
        </w:rPr>
      </w:pPr>
    </w:p>
    <w:p w14:paraId="089F562F" w14:textId="0A12E583" w:rsidR="00061D34" w:rsidRPr="00217C7F" w:rsidRDefault="00061D34" w:rsidP="00217C7F">
      <w:pPr>
        <w:spacing w:before="0" w:after="0"/>
        <w:rPr>
          <w:rFonts w:ascii="Calibri" w:hAnsi="Calibri" w:cs="Calibri"/>
          <w:b/>
          <w:kern w:val="24"/>
          <w:sz w:val="22"/>
          <w:lang w:eastAsia="en-IN"/>
        </w:rPr>
      </w:pPr>
      <w:r w:rsidRPr="00217C7F">
        <w:rPr>
          <w:rFonts w:ascii="Calibri" w:hAnsi="Calibri" w:cs="Calibri"/>
          <w:b/>
          <w:kern w:val="24"/>
          <w:sz w:val="22"/>
          <w:lang w:eastAsia="en-IN"/>
        </w:rPr>
        <w:br w:type="page"/>
      </w:r>
    </w:p>
    <w:p w14:paraId="3E8F2995" w14:textId="5239C869" w:rsidR="00061D34" w:rsidRDefault="00061D34" w:rsidP="00061D34">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3D06A8">
        <w:rPr>
          <w:rFonts w:asciiTheme="minorHAnsi" w:hAnsiTheme="minorHAnsi" w:cstheme="minorHAnsi"/>
          <w:b/>
          <w:snapToGrid w:val="0"/>
          <w:color w:val="auto"/>
          <w:sz w:val="36"/>
        </w:rPr>
        <w:t>1</w:t>
      </w:r>
      <w:r w:rsidR="00BE594E">
        <w:rPr>
          <w:rFonts w:asciiTheme="minorHAnsi" w:hAnsiTheme="minorHAnsi" w:cstheme="minorHAnsi"/>
          <w:b/>
          <w:snapToGrid w:val="0"/>
          <w:color w:val="auto"/>
          <w:sz w:val="36"/>
        </w:rPr>
        <w:t>3</w:t>
      </w:r>
      <w:r w:rsidRPr="00734B6A">
        <w:rPr>
          <w:rFonts w:asciiTheme="minorHAnsi" w:hAnsiTheme="minorHAnsi" w:cstheme="minorHAnsi"/>
          <w:b/>
          <w:snapToGrid w:val="0"/>
          <w:color w:val="auto"/>
          <w:sz w:val="36"/>
        </w:rPr>
        <w:t xml:space="preserve"> </w:t>
      </w:r>
    </w:p>
    <w:p w14:paraId="27AA80D9" w14:textId="4E72A3ED" w:rsidR="00681D3D" w:rsidRPr="00681D3D" w:rsidRDefault="00681D3D" w:rsidP="00B528EA">
      <w:pPr>
        <w:shd w:val="clear" w:color="auto" w:fill="17365D" w:themeFill="text2" w:themeFillShade="BF"/>
        <w:spacing w:before="0" w:after="0"/>
        <w:jc w:val="right"/>
      </w:pPr>
      <w:r>
        <w:rPr>
          <w:b/>
          <w:sz w:val="28"/>
        </w:rPr>
        <w:t>NSP STRATEGIC AREA 1.6</w:t>
      </w:r>
    </w:p>
    <w:p w14:paraId="153B1718" w14:textId="32ACA54E" w:rsidR="00061D34" w:rsidRPr="00734B6A" w:rsidRDefault="00061D34" w:rsidP="00061D34">
      <w:pPr>
        <w:pStyle w:val="Heading1"/>
        <w:tabs>
          <w:tab w:val="num" w:pos="5670"/>
        </w:tabs>
        <w:ind w:left="2880" w:hanging="1800"/>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Pr>
          <w:rFonts w:asciiTheme="minorHAnsi" w:hAnsiTheme="minorHAnsi" w:cstheme="minorHAnsi"/>
          <w:b/>
          <w:snapToGrid w:val="0"/>
          <w:color w:val="auto"/>
        </w:rPr>
        <w:t xml:space="preserve">engaged and empowered communities </w:t>
      </w:r>
    </w:p>
    <w:p w14:paraId="26650C7F" w14:textId="261CD72A" w:rsidR="0075389F" w:rsidRPr="00C45A90" w:rsidRDefault="00BE594E"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13</w:t>
      </w:r>
      <w:r w:rsidR="0033007D">
        <w:rPr>
          <w:rFonts w:asciiTheme="minorHAnsi" w:hAnsiTheme="minorHAnsi" w:cstheme="minorHAnsi"/>
          <w:b/>
          <w:color w:val="C86A07" w:themeColor="accent2" w:themeShade="BF"/>
          <w:sz w:val="28"/>
          <w:lang w:val="en"/>
        </w:rPr>
        <w:t xml:space="preserve">. 1 </w:t>
      </w:r>
      <w:r w:rsidR="0075389F" w:rsidRPr="00C45A90">
        <w:rPr>
          <w:rFonts w:asciiTheme="minorHAnsi" w:hAnsiTheme="minorHAnsi" w:cstheme="minorHAnsi"/>
          <w:b/>
          <w:color w:val="C86A07" w:themeColor="accent2" w:themeShade="BF"/>
          <w:sz w:val="28"/>
          <w:lang w:val="en"/>
        </w:rPr>
        <w:t>INTRODUCTION</w:t>
      </w:r>
    </w:p>
    <w:p w14:paraId="24A851E3" w14:textId="35BAC6AC" w:rsidR="00990B54" w:rsidRPr="00990B54" w:rsidRDefault="00990B54" w:rsidP="00990B54">
      <w:pPr>
        <w:spacing w:before="0" w:after="0"/>
        <w:jc w:val="both"/>
        <w:rPr>
          <w:rFonts w:asciiTheme="minorHAnsi" w:eastAsia="Times New Roman" w:hAnsiTheme="minorHAnsi" w:cstheme="minorHAnsi"/>
          <w:color w:val="000000" w:themeColor="text1"/>
          <w:sz w:val="22"/>
          <w:shd w:val="clear" w:color="auto" w:fill="FFFFFF"/>
          <w:lang w:eastAsia="en-IN"/>
        </w:rPr>
      </w:pPr>
      <w:r w:rsidRPr="00990B54">
        <w:rPr>
          <w:rFonts w:asciiTheme="minorHAnsi" w:eastAsia="Times New Roman" w:hAnsiTheme="minorHAnsi" w:cstheme="minorHAnsi"/>
          <w:color w:val="000000" w:themeColor="text1"/>
          <w:sz w:val="22"/>
          <w:shd w:val="clear" w:color="auto" w:fill="FFFFFF"/>
          <w:lang w:eastAsia="en-IN"/>
        </w:rPr>
        <w:t xml:space="preserve">Community </w:t>
      </w:r>
      <w:r w:rsidR="00373F41">
        <w:rPr>
          <w:rFonts w:asciiTheme="minorHAnsi" w:eastAsia="Times New Roman" w:hAnsiTheme="minorHAnsi" w:cstheme="minorHAnsi"/>
          <w:color w:val="000000" w:themeColor="text1"/>
          <w:sz w:val="22"/>
          <w:shd w:val="clear" w:color="auto" w:fill="FFFFFF"/>
          <w:lang w:eastAsia="en-IN"/>
        </w:rPr>
        <w:t>e</w:t>
      </w:r>
      <w:r w:rsidRPr="00990B54">
        <w:rPr>
          <w:rFonts w:asciiTheme="minorHAnsi" w:eastAsia="Times New Roman" w:hAnsiTheme="minorHAnsi" w:cstheme="minorHAnsi"/>
          <w:color w:val="000000" w:themeColor="text1"/>
          <w:sz w:val="22"/>
          <w:shd w:val="clear" w:color="auto" w:fill="FFFFFF"/>
          <w:lang w:eastAsia="en-IN"/>
        </w:rPr>
        <w:t xml:space="preserve">ngagement has been one of the key strategies </w:t>
      </w:r>
      <w:r w:rsidR="00347065">
        <w:rPr>
          <w:rFonts w:asciiTheme="minorHAnsi" w:eastAsia="Times New Roman" w:hAnsiTheme="minorHAnsi" w:cstheme="minorHAnsi"/>
          <w:color w:val="000000" w:themeColor="text1"/>
          <w:sz w:val="22"/>
          <w:shd w:val="clear" w:color="auto" w:fill="FFFFFF"/>
          <w:lang w:eastAsia="en-IN"/>
        </w:rPr>
        <w:t>of NSP’s over the</w:t>
      </w:r>
      <w:r w:rsidR="00673F84">
        <w:rPr>
          <w:rFonts w:asciiTheme="minorHAnsi" w:eastAsia="Times New Roman" w:hAnsiTheme="minorHAnsi" w:cstheme="minorHAnsi"/>
          <w:color w:val="000000" w:themeColor="text1"/>
          <w:sz w:val="22"/>
          <w:shd w:val="clear" w:color="auto" w:fill="FFFFFF"/>
          <w:lang w:eastAsia="en-IN"/>
        </w:rPr>
        <w:t xml:space="preserve"> last two decades</w:t>
      </w:r>
      <w:r w:rsidR="00347065">
        <w:rPr>
          <w:rFonts w:asciiTheme="minorHAnsi" w:eastAsia="Times New Roman" w:hAnsiTheme="minorHAnsi" w:cstheme="minorHAnsi"/>
          <w:color w:val="000000" w:themeColor="text1"/>
          <w:sz w:val="22"/>
          <w:shd w:val="clear" w:color="auto" w:fill="FFFFFF"/>
          <w:lang w:eastAsia="en-IN"/>
        </w:rPr>
        <w:t xml:space="preserve">. Significant progress has been made yet much more needs to be done to develop a truly resilient and agile programme. The </w:t>
      </w:r>
      <w:r w:rsidR="001A7278">
        <w:rPr>
          <w:rFonts w:asciiTheme="minorHAnsi" w:eastAsia="Times New Roman" w:hAnsiTheme="minorHAnsi" w:cstheme="minorHAnsi"/>
          <w:color w:val="000000" w:themeColor="text1"/>
          <w:sz w:val="22"/>
          <w:shd w:val="clear" w:color="auto" w:fill="FFFFFF"/>
          <w:lang w:eastAsia="en-IN"/>
        </w:rPr>
        <w:t xml:space="preserve">COVID-19   </w:t>
      </w:r>
      <w:r w:rsidR="00347065">
        <w:rPr>
          <w:rFonts w:asciiTheme="minorHAnsi" w:eastAsia="Times New Roman" w:hAnsiTheme="minorHAnsi" w:cstheme="minorHAnsi"/>
          <w:color w:val="000000" w:themeColor="text1"/>
          <w:sz w:val="22"/>
          <w:shd w:val="clear" w:color="auto" w:fill="FFFFFF"/>
          <w:lang w:eastAsia="en-IN"/>
        </w:rPr>
        <w:t xml:space="preserve"> pandemic has many lessons for the national TB response but none more than ensuring</w:t>
      </w:r>
      <w:r w:rsidR="00F136DC">
        <w:rPr>
          <w:rFonts w:asciiTheme="minorHAnsi" w:eastAsia="Times New Roman" w:hAnsiTheme="minorHAnsi" w:cstheme="minorHAnsi"/>
          <w:color w:val="000000" w:themeColor="text1"/>
          <w:sz w:val="22"/>
          <w:shd w:val="clear" w:color="auto" w:fill="FFFFFF"/>
          <w:lang w:eastAsia="en-IN"/>
        </w:rPr>
        <w:t xml:space="preserve"> the community is a true stakeholder in managing the TB epidemic.</w:t>
      </w:r>
    </w:p>
    <w:p w14:paraId="7B2DA7B6" w14:textId="53AF2F67" w:rsidR="00990B54" w:rsidRPr="00990B54" w:rsidRDefault="00990B54" w:rsidP="00990B54">
      <w:pPr>
        <w:shd w:val="clear" w:color="auto" w:fill="FFFFFF"/>
        <w:spacing w:before="0" w:after="0"/>
        <w:jc w:val="both"/>
        <w:rPr>
          <w:rFonts w:asciiTheme="minorHAnsi" w:eastAsia="Times New Roman" w:hAnsiTheme="minorHAnsi" w:cstheme="minorHAnsi"/>
          <w:color w:val="000000" w:themeColor="text1"/>
          <w:sz w:val="22"/>
          <w:shd w:val="clear" w:color="auto" w:fill="FFFFFF"/>
          <w:lang w:eastAsia="en-IN"/>
        </w:rPr>
      </w:pPr>
      <w:r w:rsidRPr="00990B54">
        <w:rPr>
          <w:rFonts w:asciiTheme="minorHAnsi" w:eastAsia="Times New Roman" w:hAnsiTheme="minorHAnsi" w:cstheme="minorHAnsi"/>
          <w:color w:val="000000" w:themeColor="text1"/>
          <w:sz w:val="22"/>
          <w:lang w:eastAsia="en-IN"/>
        </w:rPr>
        <w:t xml:space="preserve">TB patients are affected by social and political factors (such as stigma and discrimination, availability and access to services at a convenient time and in their social context like work, migration, gender etc.), and economic barriers (for example, the cost of transport, ancillary medicines and investigations in private sector) apart from the disease itself. </w:t>
      </w:r>
      <w:r w:rsidRPr="00990B54">
        <w:rPr>
          <w:rFonts w:asciiTheme="minorHAnsi" w:hAnsiTheme="minorHAnsi" w:cstheme="minorHAnsi"/>
          <w:color w:val="000000" w:themeColor="text1"/>
          <w:sz w:val="22"/>
        </w:rPr>
        <w:t xml:space="preserve">While there are existing strategies under NTEP such as work place policies, support for transportation of patient/sample, involving private sector in service delivery, and advocacy and communication to increase awareness and mitigate stigma, it is very well established that affected communities could play a vital role in enhancing effectiveness </w:t>
      </w:r>
      <w:r w:rsidR="00F136DC">
        <w:rPr>
          <w:rFonts w:asciiTheme="minorHAnsi" w:hAnsiTheme="minorHAnsi" w:cstheme="minorHAnsi"/>
          <w:color w:val="000000" w:themeColor="text1"/>
          <w:sz w:val="22"/>
        </w:rPr>
        <w:t>of these strategies and bridge the</w:t>
      </w:r>
      <w:r w:rsidRPr="00990B54">
        <w:rPr>
          <w:rFonts w:asciiTheme="minorHAnsi" w:hAnsiTheme="minorHAnsi" w:cstheme="minorHAnsi"/>
          <w:color w:val="000000" w:themeColor="text1"/>
          <w:sz w:val="22"/>
        </w:rPr>
        <w:t xml:space="preserve"> gaps. Communities, especially those who had gone through the experience of fighting TB, have the unique advantage of being close to their peers, understanding the issues and field reality as well the ability to communicate and articulate their needs. Thus, community engagement as a strategy is critical for the country’s aim of Ending TB by 2025.</w:t>
      </w:r>
      <w:r w:rsidRPr="00990B54">
        <w:rPr>
          <w:rFonts w:asciiTheme="minorHAnsi" w:eastAsia="Times New Roman" w:hAnsiTheme="minorHAnsi" w:cstheme="minorHAnsi"/>
          <w:color w:val="000000" w:themeColor="text1"/>
          <w:sz w:val="22"/>
          <w:shd w:val="clear" w:color="auto" w:fill="FFFFFF"/>
          <w:lang w:eastAsia="en-IN"/>
        </w:rPr>
        <w:t xml:space="preserve"> </w:t>
      </w:r>
    </w:p>
    <w:p w14:paraId="2C6F16D2" w14:textId="6647EEC1" w:rsidR="00986EBC" w:rsidRPr="00C45A90" w:rsidRDefault="0033007D"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3</w:t>
      </w:r>
      <w:r>
        <w:rPr>
          <w:rFonts w:asciiTheme="minorHAnsi" w:hAnsiTheme="minorHAnsi" w:cstheme="minorHAnsi"/>
          <w:b/>
          <w:color w:val="C86A07" w:themeColor="accent2" w:themeShade="BF"/>
          <w:sz w:val="28"/>
          <w:lang w:val="en"/>
        </w:rPr>
        <w:t xml:space="preserve">.2 </w:t>
      </w:r>
      <w:r w:rsidR="00986EBC" w:rsidRPr="00C45A90">
        <w:rPr>
          <w:rFonts w:asciiTheme="minorHAnsi" w:hAnsiTheme="minorHAnsi" w:cstheme="minorHAnsi"/>
          <w:b/>
          <w:color w:val="C86A07" w:themeColor="accent2" w:themeShade="BF"/>
          <w:sz w:val="28"/>
          <w:lang w:val="en"/>
        </w:rPr>
        <w:t>THE PROGRESS SO FAR</w:t>
      </w:r>
    </w:p>
    <w:p w14:paraId="46F3A97A" w14:textId="16FF1539" w:rsidR="00F136DC" w:rsidRPr="00990B54" w:rsidRDefault="00F136DC" w:rsidP="00F136DC">
      <w:pPr>
        <w:shd w:val="clear" w:color="auto" w:fill="FFFFFF"/>
        <w:spacing w:before="0" w:after="0"/>
        <w:jc w:val="both"/>
        <w:rPr>
          <w:rFonts w:asciiTheme="minorHAnsi" w:hAnsiTheme="minorHAnsi" w:cstheme="minorHAnsi"/>
          <w:color w:val="000000" w:themeColor="text1"/>
          <w:sz w:val="22"/>
        </w:rPr>
      </w:pPr>
      <w:r w:rsidRPr="00990B54">
        <w:rPr>
          <w:rFonts w:asciiTheme="minorHAnsi" w:eastAsia="Times New Roman" w:hAnsiTheme="minorHAnsi" w:cstheme="minorHAnsi"/>
          <w:color w:val="000000" w:themeColor="text1"/>
          <w:sz w:val="22"/>
          <w:shd w:val="clear" w:color="auto" w:fill="FFFFFF"/>
          <w:lang w:eastAsia="en-IN"/>
        </w:rPr>
        <w:t xml:space="preserve">NTEP </w:t>
      </w:r>
      <w:r w:rsidR="00673F84">
        <w:rPr>
          <w:rFonts w:asciiTheme="minorHAnsi" w:eastAsia="Times New Roman" w:hAnsiTheme="minorHAnsi" w:cstheme="minorHAnsi"/>
          <w:color w:val="000000" w:themeColor="text1"/>
          <w:sz w:val="22"/>
          <w:shd w:val="clear" w:color="auto" w:fill="FFFFFF"/>
          <w:lang w:eastAsia="en-IN"/>
        </w:rPr>
        <w:t>over the</w:t>
      </w:r>
      <w:r w:rsidRPr="00990B54">
        <w:rPr>
          <w:rFonts w:asciiTheme="minorHAnsi" w:eastAsia="Times New Roman" w:hAnsiTheme="minorHAnsi" w:cstheme="minorHAnsi"/>
          <w:color w:val="000000" w:themeColor="text1"/>
          <w:sz w:val="22"/>
          <w:shd w:val="clear" w:color="auto" w:fill="FFFFFF"/>
          <w:lang w:eastAsia="en-IN"/>
        </w:rPr>
        <w:t xml:space="preserve"> last 3 years have made e</w:t>
      </w:r>
      <w:r w:rsidRPr="00990B54">
        <w:rPr>
          <w:rFonts w:asciiTheme="minorHAnsi" w:eastAsia="Times New Roman" w:hAnsiTheme="minorHAnsi" w:cstheme="minorHAnsi"/>
          <w:color w:val="000000" w:themeColor="text1"/>
          <w:sz w:val="22"/>
          <w:lang w:eastAsia="en-IN"/>
        </w:rPr>
        <w:t xml:space="preserve">fforts to actively engage various stakeholders including </w:t>
      </w:r>
      <w:r w:rsidR="00986EBC">
        <w:rPr>
          <w:rFonts w:asciiTheme="minorHAnsi" w:eastAsia="Times New Roman" w:hAnsiTheme="minorHAnsi" w:cstheme="minorHAnsi"/>
          <w:color w:val="000000" w:themeColor="text1"/>
          <w:sz w:val="22"/>
          <w:lang w:eastAsia="en-IN"/>
        </w:rPr>
        <w:t>e</w:t>
      </w:r>
      <w:r w:rsidR="00986EBC" w:rsidRPr="00990B54">
        <w:rPr>
          <w:rFonts w:asciiTheme="minorHAnsi" w:eastAsia="Times New Roman" w:hAnsiTheme="minorHAnsi" w:cstheme="minorHAnsi"/>
          <w:color w:val="000000" w:themeColor="text1"/>
          <w:sz w:val="22"/>
          <w:lang w:eastAsia="en-IN"/>
        </w:rPr>
        <w:t xml:space="preserve">lected </w:t>
      </w:r>
      <w:r w:rsidR="00986EBC">
        <w:rPr>
          <w:rFonts w:asciiTheme="minorHAnsi" w:eastAsia="Times New Roman" w:hAnsiTheme="minorHAnsi" w:cstheme="minorHAnsi"/>
          <w:color w:val="000000" w:themeColor="text1"/>
          <w:sz w:val="22"/>
          <w:lang w:eastAsia="en-IN"/>
        </w:rPr>
        <w:t>r</w:t>
      </w:r>
      <w:r w:rsidR="00986EBC" w:rsidRPr="00990B54">
        <w:rPr>
          <w:rFonts w:asciiTheme="minorHAnsi" w:eastAsia="Times New Roman" w:hAnsiTheme="minorHAnsi" w:cstheme="minorHAnsi"/>
          <w:color w:val="000000" w:themeColor="text1"/>
          <w:sz w:val="22"/>
          <w:lang w:eastAsia="en-IN"/>
        </w:rPr>
        <w:t xml:space="preserve">epresentatives and local self-governments, </w:t>
      </w:r>
      <w:r w:rsidR="00673F84" w:rsidRPr="00990B54">
        <w:rPr>
          <w:rFonts w:asciiTheme="minorHAnsi" w:eastAsia="Times New Roman" w:hAnsiTheme="minorHAnsi" w:cstheme="minorHAnsi"/>
          <w:color w:val="000000" w:themeColor="text1"/>
          <w:sz w:val="22"/>
          <w:lang w:eastAsia="en-IN"/>
        </w:rPr>
        <w:t>civil society organizations</w:t>
      </w:r>
      <w:r w:rsidR="00986EBC" w:rsidRPr="00990B54">
        <w:rPr>
          <w:rFonts w:asciiTheme="minorHAnsi" w:eastAsia="Times New Roman" w:hAnsiTheme="minorHAnsi" w:cstheme="minorHAnsi"/>
          <w:color w:val="000000" w:themeColor="text1"/>
          <w:sz w:val="22"/>
          <w:lang w:eastAsia="en-IN"/>
        </w:rPr>
        <w:t>, industries, etc. and TB affected communities</w:t>
      </w:r>
      <w:r w:rsidR="00986EBC">
        <w:rPr>
          <w:rFonts w:asciiTheme="minorHAnsi" w:eastAsia="Times New Roman" w:hAnsiTheme="minorHAnsi" w:cstheme="minorHAnsi"/>
          <w:color w:val="000000" w:themeColor="text1"/>
          <w:sz w:val="22"/>
          <w:lang w:eastAsia="en-IN"/>
        </w:rPr>
        <w:t>,</w:t>
      </w:r>
      <w:r w:rsidRPr="00990B54">
        <w:rPr>
          <w:rFonts w:asciiTheme="minorHAnsi" w:eastAsia="Times New Roman" w:hAnsiTheme="minorHAnsi" w:cstheme="minorHAnsi"/>
          <w:color w:val="000000" w:themeColor="text1"/>
          <w:sz w:val="22"/>
          <w:lang w:eastAsia="en-IN"/>
        </w:rPr>
        <w:t xml:space="preserve"> in programme planning and design, service delivery, monitoring and in advocacy. </w:t>
      </w:r>
    </w:p>
    <w:p w14:paraId="75DA9E44" w14:textId="77777777" w:rsidR="00990B54" w:rsidRPr="0031530A" w:rsidRDefault="00990B54" w:rsidP="009136E5">
      <w:pPr>
        <w:pStyle w:val="ListParagraph"/>
        <w:numPr>
          <w:ilvl w:val="0"/>
          <w:numId w:val="57"/>
        </w:numPr>
        <w:shd w:val="clear" w:color="auto" w:fill="FFFFFF"/>
        <w:spacing w:after="0"/>
        <w:jc w:val="both"/>
        <w:rPr>
          <w:rFonts w:asciiTheme="minorHAnsi" w:eastAsia="Times New Roman" w:hAnsiTheme="minorHAnsi" w:cstheme="minorHAnsi"/>
          <w:iCs/>
          <w:color w:val="000000" w:themeColor="text1"/>
          <w:sz w:val="22"/>
          <w:lang w:eastAsia="en-IN"/>
        </w:rPr>
      </w:pPr>
      <w:r w:rsidRPr="0031530A">
        <w:rPr>
          <w:rFonts w:asciiTheme="minorHAnsi" w:eastAsia="Times New Roman" w:hAnsiTheme="minorHAnsi" w:cstheme="minorHAnsi"/>
          <w:b/>
          <w:bCs/>
          <w:iCs/>
          <w:color w:val="000000" w:themeColor="text1"/>
          <w:sz w:val="22"/>
          <w:lang w:eastAsia="en-IN"/>
        </w:rPr>
        <w:t>Engaging with TB Affected Communities</w:t>
      </w:r>
    </w:p>
    <w:p w14:paraId="395B1708" w14:textId="3015087B" w:rsidR="00E22432" w:rsidRDefault="00990B54" w:rsidP="00990B54">
      <w:pPr>
        <w:shd w:val="clear" w:color="auto" w:fill="FFFFFF"/>
        <w:spacing w:before="0" w:after="0"/>
        <w:jc w:val="both"/>
        <w:rPr>
          <w:rFonts w:asciiTheme="minorHAnsi" w:eastAsia="Times New Roman" w:hAnsiTheme="minorHAnsi" w:cstheme="minorHAnsi"/>
          <w:color w:val="000000" w:themeColor="text1"/>
          <w:sz w:val="22"/>
          <w:lang w:eastAsia="en-IN"/>
        </w:rPr>
      </w:pPr>
      <w:r w:rsidRPr="00990B54">
        <w:rPr>
          <w:rFonts w:asciiTheme="minorHAnsi" w:eastAsia="Times New Roman" w:hAnsiTheme="minorHAnsi" w:cstheme="minorHAnsi"/>
          <w:color w:val="000000" w:themeColor="text1"/>
          <w:sz w:val="22"/>
          <w:lang w:eastAsia="en-IN"/>
        </w:rPr>
        <w:t>Institutional mechanisms for a community-led response to TB</w:t>
      </w:r>
      <w:r w:rsidR="00E22432">
        <w:rPr>
          <w:rFonts w:asciiTheme="minorHAnsi" w:eastAsia="Times New Roman" w:hAnsiTheme="minorHAnsi" w:cstheme="minorHAnsi"/>
          <w:color w:val="000000" w:themeColor="text1"/>
          <w:sz w:val="22"/>
          <w:lang w:eastAsia="en-IN"/>
        </w:rPr>
        <w:t xml:space="preserve"> in the shape of </w:t>
      </w:r>
      <w:r w:rsidRPr="00990B54">
        <w:rPr>
          <w:rFonts w:asciiTheme="minorHAnsi" w:eastAsia="Times New Roman" w:hAnsiTheme="minorHAnsi" w:cstheme="minorHAnsi"/>
          <w:color w:val="000000" w:themeColor="text1"/>
          <w:sz w:val="22"/>
          <w:lang w:eastAsia="en-IN"/>
        </w:rPr>
        <w:t>TB Forums at National, State and District levels</w:t>
      </w:r>
      <w:r w:rsidR="00E22432">
        <w:rPr>
          <w:rFonts w:asciiTheme="minorHAnsi" w:eastAsia="Times New Roman" w:hAnsiTheme="minorHAnsi" w:cstheme="minorHAnsi"/>
          <w:color w:val="000000" w:themeColor="text1"/>
          <w:sz w:val="22"/>
          <w:lang w:eastAsia="en-IN"/>
        </w:rPr>
        <w:t xml:space="preserve"> have</w:t>
      </w:r>
      <w:r w:rsidRPr="00990B54">
        <w:rPr>
          <w:rFonts w:asciiTheme="minorHAnsi" w:eastAsia="Times New Roman" w:hAnsiTheme="minorHAnsi" w:cstheme="minorHAnsi"/>
          <w:color w:val="000000" w:themeColor="text1"/>
          <w:sz w:val="22"/>
          <w:lang w:eastAsia="en-IN"/>
        </w:rPr>
        <w:t xml:space="preserve"> been commissioned to provide a</w:t>
      </w:r>
      <w:r w:rsidR="00E22432">
        <w:rPr>
          <w:rFonts w:asciiTheme="minorHAnsi" w:eastAsia="Times New Roman" w:hAnsiTheme="minorHAnsi" w:cstheme="minorHAnsi"/>
          <w:color w:val="000000" w:themeColor="text1"/>
          <w:sz w:val="22"/>
          <w:lang w:eastAsia="en-IN"/>
        </w:rPr>
        <w:t xml:space="preserve"> </w:t>
      </w:r>
      <w:r w:rsidRPr="00990B54">
        <w:rPr>
          <w:rFonts w:asciiTheme="minorHAnsi" w:eastAsia="Times New Roman" w:hAnsiTheme="minorHAnsi" w:cstheme="minorHAnsi"/>
          <w:color w:val="000000" w:themeColor="text1"/>
          <w:sz w:val="22"/>
          <w:lang w:eastAsia="en-IN"/>
        </w:rPr>
        <w:t xml:space="preserve">platform to include community as an important stakeholder for overall improvement in the quality of TB services and making the services patient centric. These forums have representation of people affected by TB, elected representatives, policy makers, civil society </w:t>
      </w:r>
      <w:r w:rsidR="00E22432" w:rsidRPr="00990B54">
        <w:rPr>
          <w:rFonts w:asciiTheme="minorHAnsi" w:eastAsia="Times New Roman" w:hAnsiTheme="minorHAnsi" w:cstheme="minorHAnsi"/>
          <w:color w:val="000000" w:themeColor="text1"/>
          <w:sz w:val="22"/>
          <w:lang w:eastAsia="en-IN"/>
        </w:rPr>
        <w:t>organizations</w:t>
      </w:r>
      <w:r w:rsidRPr="00990B54">
        <w:rPr>
          <w:rFonts w:asciiTheme="minorHAnsi" w:eastAsia="Times New Roman" w:hAnsiTheme="minorHAnsi" w:cstheme="minorHAnsi"/>
          <w:color w:val="000000" w:themeColor="text1"/>
          <w:sz w:val="22"/>
          <w:lang w:eastAsia="en-IN"/>
        </w:rPr>
        <w:t xml:space="preserve">/NGOs, and programme managers. </w:t>
      </w:r>
    </w:p>
    <w:p w14:paraId="31845C95" w14:textId="01C8F6EC" w:rsidR="00990B54" w:rsidRPr="00990B54" w:rsidRDefault="00990B54" w:rsidP="00990B54">
      <w:pPr>
        <w:shd w:val="clear" w:color="auto" w:fill="FFFFFF"/>
        <w:spacing w:before="0" w:after="0"/>
        <w:jc w:val="both"/>
        <w:rPr>
          <w:rFonts w:asciiTheme="minorHAnsi" w:eastAsia="Times New Roman" w:hAnsiTheme="minorHAnsi" w:cstheme="minorHAnsi"/>
          <w:color w:val="000000" w:themeColor="text1"/>
          <w:sz w:val="22"/>
          <w:lang w:eastAsia="en-IN"/>
        </w:rPr>
      </w:pPr>
      <w:r w:rsidRPr="00990B54">
        <w:rPr>
          <w:rFonts w:asciiTheme="minorHAnsi" w:eastAsia="Times New Roman" w:hAnsiTheme="minorHAnsi" w:cstheme="minorHAnsi"/>
          <w:color w:val="000000" w:themeColor="text1"/>
          <w:sz w:val="22"/>
          <w:lang w:eastAsia="en-IN"/>
        </w:rPr>
        <w:t>Creation of community-led TB forums of people affected by TB at the sub-district and village level, is also being facilitated</w:t>
      </w:r>
      <w:r w:rsidR="00E22432">
        <w:rPr>
          <w:rFonts w:asciiTheme="minorHAnsi" w:eastAsia="Times New Roman" w:hAnsiTheme="minorHAnsi" w:cstheme="minorHAnsi"/>
          <w:color w:val="000000" w:themeColor="text1"/>
          <w:sz w:val="22"/>
          <w:lang w:eastAsia="en-IN"/>
        </w:rPr>
        <w:t xml:space="preserve"> and will see a greater thrust in the current NSP period </w:t>
      </w:r>
      <w:r w:rsidR="00E20F7B">
        <w:rPr>
          <w:rFonts w:asciiTheme="minorHAnsi" w:eastAsia="Times New Roman" w:hAnsiTheme="minorHAnsi" w:cstheme="minorHAnsi"/>
          <w:color w:val="000000" w:themeColor="text1"/>
          <w:sz w:val="22"/>
          <w:lang w:eastAsia="en-IN"/>
        </w:rPr>
        <w:t xml:space="preserve">2020-25   </w:t>
      </w:r>
      <w:r w:rsidR="00E22432">
        <w:rPr>
          <w:rFonts w:asciiTheme="minorHAnsi" w:eastAsia="Times New Roman" w:hAnsiTheme="minorHAnsi" w:cstheme="minorHAnsi"/>
          <w:color w:val="000000" w:themeColor="text1"/>
          <w:sz w:val="22"/>
          <w:lang w:eastAsia="en-IN"/>
        </w:rPr>
        <w:t>.</w:t>
      </w:r>
      <w:r w:rsidR="00916D6B">
        <w:rPr>
          <w:rFonts w:asciiTheme="minorHAnsi" w:eastAsia="Times New Roman" w:hAnsiTheme="minorHAnsi" w:cstheme="minorHAnsi"/>
          <w:color w:val="000000" w:themeColor="text1"/>
          <w:sz w:val="22"/>
          <w:lang w:eastAsia="en-IN"/>
        </w:rPr>
        <w:t xml:space="preserve"> These forums will be equipped with the prerequisites to manage the TB response locally in case of extreme and complex situations like </w:t>
      </w:r>
      <w:r w:rsidR="001A7278">
        <w:rPr>
          <w:rFonts w:asciiTheme="minorHAnsi" w:eastAsia="Times New Roman" w:hAnsiTheme="minorHAnsi" w:cstheme="minorHAnsi"/>
          <w:color w:val="000000" w:themeColor="text1"/>
          <w:sz w:val="22"/>
          <w:lang w:eastAsia="en-IN"/>
        </w:rPr>
        <w:t xml:space="preserve">COVID-19   </w:t>
      </w:r>
      <w:r w:rsidR="00916D6B">
        <w:rPr>
          <w:rFonts w:asciiTheme="minorHAnsi" w:eastAsia="Times New Roman" w:hAnsiTheme="minorHAnsi" w:cstheme="minorHAnsi"/>
          <w:color w:val="000000" w:themeColor="text1"/>
          <w:sz w:val="22"/>
          <w:lang w:eastAsia="en-IN"/>
        </w:rPr>
        <w:t>.</w:t>
      </w:r>
      <w:r w:rsidRPr="00990B54">
        <w:rPr>
          <w:rFonts w:asciiTheme="minorHAnsi" w:eastAsia="Times New Roman" w:hAnsiTheme="minorHAnsi" w:cstheme="minorHAnsi"/>
          <w:color w:val="000000" w:themeColor="text1"/>
          <w:sz w:val="22"/>
          <w:lang w:eastAsia="en-IN"/>
        </w:rPr>
        <w:t xml:space="preserve"> </w:t>
      </w:r>
    </w:p>
    <w:p w14:paraId="3DE098FF" w14:textId="77777777" w:rsidR="00990B54" w:rsidRPr="00990B54" w:rsidRDefault="00990B54" w:rsidP="00990B54">
      <w:pPr>
        <w:shd w:val="clear" w:color="auto" w:fill="FFFFFF"/>
        <w:spacing w:before="0" w:after="0"/>
        <w:jc w:val="both"/>
        <w:rPr>
          <w:rFonts w:asciiTheme="minorHAnsi" w:eastAsia="Times New Roman" w:hAnsiTheme="minorHAnsi" w:cstheme="minorHAnsi"/>
          <w:color w:val="000000" w:themeColor="text1"/>
          <w:sz w:val="22"/>
          <w:lang w:eastAsia="en-IN"/>
        </w:rPr>
      </w:pPr>
      <w:r w:rsidRPr="00990B54">
        <w:rPr>
          <w:rFonts w:asciiTheme="minorHAnsi" w:eastAsia="Times New Roman" w:hAnsiTheme="minorHAnsi" w:cstheme="minorHAnsi"/>
          <w:color w:val="000000" w:themeColor="text1"/>
          <w:sz w:val="22"/>
          <w:lang w:eastAsia="en-IN"/>
        </w:rPr>
        <w:t xml:space="preserve">TB Forums have the mandate to: </w:t>
      </w:r>
    </w:p>
    <w:p w14:paraId="6C5A3272" w14:textId="4E59E424" w:rsidR="00990B54" w:rsidRPr="00990B54" w:rsidRDefault="00F72F44" w:rsidP="009136E5">
      <w:pPr>
        <w:pStyle w:val="ListParagraph"/>
        <w:numPr>
          <w:ilvl w:val="0"/>
          <w:numId w:val="55"/>
        </w:numPr>
        <w:shd w:val="clear" w:color="auto" w:fill="FFFFFF"/>
        <w:spacing w:before="0" w:after="0"/>
        <w:contextualSpacing w:val="0"/>
        <w:jc w:val="both"/>
        <w:rPr>
          <w:rFonts w:asciiTheme="minorHAnsi" w:eastAsia="Times New Roman" w:hAnsiTheme="minorHAnsi" w:cstheme="minorHAnsi"/>
          <w:color w:val="000000" w:themeColor="text1"/>
          <w:sz w:val="22"/>
          <w:lang w:eastAsia="en-IN"/>
        </w:rPr>
      </w:pPr>
      <w:r>
        <w:rPr>
          <w:rFonts w:asciiTheme="minorHAnsi" w:eastAsia="Times New Roman" w:hAnsiTheme="minorHAnsi" w:cstheme="minorHAnsi"/>
          <w:color w:val="000000" w:themeColor="text1"/>
          <w:sz w:val="22"/>
          <w:lang w:eastAsia="en-IN"/>
        </w:rPr>
        <w:t>Advis</w:t>
      </w:r>
      <w:r w:rsidR="00990B54" w:rsidRPr="00990B54">
        <w:rPr>
          <w:rFonts w:asciiTheme="minorHAnsi" w:eastAsia="Times New Roman" w:hAnsiTheme="minorHAnsi" w:cstheme="minorHAnsi"/>
          <w:color w:val="000000" w:themeColor="text1"/>
          <w:sz w:val="22"/>
          <w:lang w:eastAsia="en-IN"/>
        </w:rPr>
        <w:t xml:space="preserve">e the programme on strategies for engaging communities and increasing community participation in TB program, </w:t>
      </w:r>
    </w:p>
    <w:p w14:paraId="5B4E2803" w14:textId="77777777" w:rsidR="00990B54" w:rsidRPr="00990B54" w:rsidRDefault="00990B54" w:rsidP="009136E5">
      <w:pPr>
        <w:pStyle w:val="ListParagraph"/>
        <w:numPr>
          <w:ilvl w:val="0"/>
          <w:numId w:val="55"/>
        </w:numPr>
        <w:shd w:val="clear" w:color="auto" w:fill="FFFFFF"/>
        <w:spacing w:before="0" w:after="0"/>
        <w:contextualSpacing w:val="0"/>
        <w:jc w:val="both"/>
        <w:rPr>
          <w:rFonts w:asciiTheme="minorHAnsi" w:eastAsia="Times New Roman" w:hAnsiTheme="minorHAnsi" w:cstheme="minorHAnsi"/>
          <w:color w:val="000000" w:themeColor="text1"/>
          <w:sz w:val="22"/>
          <w:lang w:eastAsia="en-IN"/>
        </w:rPr>
      </w:pPr>
      <w:r w:rsidRPr="00990B54">
        <w:rPr>
          <w:rFonts w:asciiTheme="minorHAnsi" w:eastAsia="Times New Roman" w:hAnsiTheme="minorHAnsi" w:cstheme="minorHAnsi"/>
          <w:color w:val="000000" w:themeColor="text1"/>
          <w:sz w:val="22"/>
          <w:lang w:eastAsia="en-IN"/>
        </w:rPr>
        <w:t xml:space="preserve">Periodically review progress of NGO related activities and involvement of communities </w:t>
      </w:r>
    </w:p>
    <w:p w14:paraId="6061EACE" w14:textId="77777777" w:rsidR="00990B54" w:rsidRDefault="00990B54" w:rsidP="009136E5">
      <w:pPr>
        <w:pStyle w:val="ListParagraph"/>
        <w:numPr>
          <w:ilvl w:val="0"/>
          <w:numId w:val="55"/>
        </w:numPr>
        <w:shd w:val="clear" w:color="auto" w:fill="FFFFFF"/>
        <w:spacing w:before="0" w:after="0"/>
        <w:contextualSpacing w:val="0"/>
        <w:jc w:val="both"/>
        <w:rPr>
          <w:rFonts w:asciiTheme="minorHAnsi" w:eastAsia="Times New Roman" w:hAnsiTheme="minorHAnsi" w:cstheme="minorHAnsi"/>
          <w:color w:val="000000" w:themeColor="text1"/>
          <w:sz w:val="22"/>
          <w:lang w:eastAsia="en-IN"/>
        </w:rPr>
      </w:pPr>
      <w:r w:rsidRPr="00990B54">
        <w:rPr>
          <w:rFonts w:asciiTheme="minorHAnsi" w:eastAsia="Times New Roman" w:hAnsiTheme="minorHAnsi" w:cstheme="minorHAnsi"/>
          <w:color w:val="000000" w:themeColor="text1"/>
          <w:sz w:val="22"/>
          <w:lang w:eastAsia="en-IN"/>
        </w:rPr>
        <w:t xml:space="preserve">Facilitate community financing to sustain TB patients support services through community. </w:t>
      </w:r>
    </w:p>
    <w:p w14:paraId="6CA3EF60" w14:textId="6DD40CA4" w:rsidR="00916D6B" w:rsidRPr="00990B54" w:rsidRDefault="00916D6B" w:rsidP="009136E5">
      <w:pPr>
        <w:pStyle w:val="ListParagraph"/>
        <w:numPr>
          <w:ilvl w:val="0"/>
          <w:numId w:val="55"/>
        </w:numPr>
        <w:shd w:val="clear" w:color="auto" w:fill="FFFFFF"/>
        <w:spacing w:before="0" w:after="0"/>
        <w:contextualSpacing w:val="0"/>
        <w:jc w:val="both"/>
        <w:rPr>
          <w:rFonts w:asciiTheme="minorHAnsi" w:eastAsia="Times New Roman" w:hAnsiTheme="minorHAnsi" w:cstheme="minorHAnsi"/>
          <w:color w:val="000000" w:themeColor="text1"/>
          <w:sz w:val="22"/>
          <w:lang w:eastAsia="en-IN"/>
        </w:rPr>
      </w:pPr>
      <w:r>
        <w:rPr>
          <w:rFonts w:asciiTheme="minorHAnsi" w:eastAsia="Times New Roman" w:hAnsiTheme="minorHAnsi" w:cstheme="minorHAnsi"/>
          <w:color w:val="000000" w:themeColor="text1"/>
          <w:sz w:val="22"/>
          <w:lang w:eastAsia="en-IN"/>
        </w:rPr>
        <w:lastRenderedPageBreak/>
        <w:t xml:space="preserve">Undertake TB response in complex emergencies like </w:t>
      </w:r>
      <w:r w:rsidR="001A7278">
        <w:rPr>
          <w:rFonts w:asciiTheme="minorHAnsi" w:eastAsia="Times New Roman" w:hAnsiTheme="minorHAnsi" w:cstheme="minorHAnsi"/>
          <w:color w:val="000000" w:themeColor="text1"/>
          <w:sz w:val="22"/>
          <w:lang w:eastAsia="en-IN"/>
        </w:rPr>
        <w:t xml:space="preserve">COVID-19   </w:t>
      </w:r>
    </w:p>
    <w:p w14:paraId="2779DA5F" w14:textId="42473E73" w:rsidR="00990B54" w:rsidRPr="00990B54" w:rsidRDefault="00990B54" w:rsidP="00990B54">
      <w:pPr>
        <w:shd w:val="clear" w:color="auto" w:fill="FFFFFF"/>
        <w:spacing w:before="0" w:after="0"/>
        <w:jc w:val="both"/>
        <w:rPr>
          <w:rFonts w:asciiTheme="minorHAnsi" w:eastAsia="Times New Roman" w:hAnsiTheme="minorHAnsi" w:cstheme="minorHAnsi"/>
          <w:color w:val="000000" w:themeColor="text1"/>
          <w:sz w:val="22"/>
          <w:lang w:eastAsia="en-IN"/>
        </w:rPr>
      </w:pPr>
      <w:r w:rsidRPr="00990B54">
        <w:rPr>
          <w:rFonts w:asciiTheme="minorHAnsi" w:eastAsia="Times New Roman" w:hAnsiTheme="minorHAnsi" w:cstheme="minorHAnsi"/>
          <w:color w:val="000000" w:themeColor="text1"/>
          <w:sz w:val="22"/>
          <w:lang w:eastAsia="en-IN"/>
        </w:rPr>
        <w:t>By end of 2019, TB Forums have been constituted in more than 700 (99%) districts across the country. Moving forward, the Programme plans to set broader agendas for discussion and monitoring of action taken on the decisions made in the meetings of TB Forum at various levels.</w:t>
      </w:r>
      <w:r w:rsidR="00F72F44">
        <w:rPr>
          <w:rFonts w:asciiTheme="minorHAnsi" w:eastAsia="Times New Roman" w:hAnsiTheme="minorHAnsi" w:cstheme="minorHAnsi"/>
          <w:color w:val="000000" w:themeColor="text1"/>
          <w:sz w:val="22"/>
          <w:lang w:eastAsia="en-IN"/>
        </w:rPr>
        <w:t xml:space="preserve"> National networks of people affected by TB and TB survivors is also ongoing.</w:t>
      </w:r>
    </w:p>
    <w:p w14:paraId="08BB39D1" w14:textId="2BC3BE0E" w:rsidR="00990B54" w:rsidRPr="0031530A" w:rsidRDefault="0031530A" w:rsidP="009136E5">
      <w:pPr>
        <w:pStyle w:val="ListParagraph"/>
        <w:numPr>
          <w:ilvl w:val="0"/>
          <w:numId w:val="57"/>
        </w:numPr>
        <w:shd w:val="clear" w:color="auto" w:fill="FFFFFF"/>
        <w:spacing w:after="0"/>
        <w:jc w:val="both"/>
        <w:rPr>
          <w:rFonts w:asciiTheme="minorHAnsi" w:eastAsia="Times New Roman" w:hAnsiTheme="minorHAnsi" w:cstheme="minorHAnsi"/>
          <w:b/>
          <w:bCs/>
          <w:iCs/>
          <w:color w:val="000000" w:themeColor="text1"/>
          <w:sz w:val="22"/>
          <w:lang w:eastAsia="en-IN"/>
        </w:rPr>
      </w:pPr>
      <w:r>
        <w:rPr>
          <w:rFonts w:asciiTheme="minorHAnsi" w:eastAsia="Times New Roman" w:hAnsiTheme="minorHAnsi" w:cstheme="minorHAnsi"/>
          <w:b/>
          <w:bCs/>
          <w:iCs/>
          <w:color w:val="000000" w:themeColor="text1"/>
          <w:sz w:val="22"/>
          <w:lang w:eastAsia="en-IN"/>
        </w:rPr>
        <w:t xml:space="preserve">Other </w:t>
      </w:r>
      <w:r w:rsidR="00990B54" w:rsidRPr="0031530A">
        <w:rPr>
          <w:rFonts w:asciiTheme="minorHAnsi" w:eastAsia="Times New Roman" w:hAnsiTheme="minorHAnsi" w:cstheme="minorHAnsi"/>
          <w:b/>
          <w:bCs/>
          <w:iCs/>
          <w:color w:val="000000" w:themeColor="text1"/>
          <w:sz w:val="22"/>
          <w:lang w:eastAsia="en-IN"/>
        </w:rPr>
        <w:t>Key Community Engagement Activities</w:t>
      </w:r>
    </w:p>
    <w:p w14:paraId="6625DD8B" w14:textId="6A55FB0C" w:rsidR="00F23600" w:rsidRDefault="00990B54" w:rsidP="00F23600">
      <w:pPr>
        <w:shd w:val="clear" w:color="auto" w:fill="FFFFFF"/>
        <w:spacing w:before="0" w:after="0"/>
        <w:jc w:val="both"/>
        <w:rPr>
          <w:rFonts w:asciiTheme="minorHAnsi" w:eastAsia="Times New Roman" w:hAnsiTheme="minorHAnsi" w:cstheme="minorHAnsi"/>
          <w:sz w:val="22"/>
          <w:lang w:eastAsia="en-IN"/>
        </w:rPr>
      </w:pPr>
      <w:r w:rsidRPr="00990B54">
        <w:rPr>
          <w:rFonts w:asciiTheme="minorHAnsi" w:eastAsia="Times New Roman" w:hAnsiTheme="minorHAnsi" w:cstheme="minorHAnsi"/>
          <w:color w:val="000000" w:themeColor="text1"/>
          <w:sz w:val="22"/>
          <w:lang w:eastAsia="en-IN"/>
        </w:rPr>
        <w:t>Various models of engagement of TB affected communities in the programme are implemented in the country and includes capacity building and engagement of</w:t>
      </w:r>
      <w:r w:rsidR="0031530A">
        <w:rPr>
          <w:rFonts w:asciiTheme="minorHAnsi" w:eastAsia="Times New Roman" w:hAnsiTheme="minorHAnsi" w:cstheme="minorHAnsi"/>
          <w:color w:val="000000" w:themeColor="text1"/>
          <w:sz w:val="22"/>
          <w:lang w:eastAsia="en-IN"/>
        </w:rPr>
        <w:t xml:space="preserve"> TB survivors as TB Champions, e</w:t>
      </w:r>
      <w:r w:rsidRPr="00990B54">
        <w:rPr>
          <w:rFonts w:asciiTheme="minorHAnsi" w:eastAsia="Times New Roman" w:hAnsiTheme="minorHAnsi" w:cstheme="minorHAnsi"/>
          <w:color w:val="000000" w:themeColor="text1"/>
          <w:sz w:val="22"/>
          <w:lang w:eastAsia="en-IN"/>
        </w:rPr>
        <w:t>stabli</w:t>
      </w:r>
      <w:r w:rsidR="0031530A">
        <w:rPr>
          <w:rFonts w:asciiTheme="minorHAnsi" w:eastAsia="Times New Roman" w:hAnsiTheme="minorHAnsi" w:cstheme="minorHAnsi"/>
          <w:color w:val="000000" w:themeColor="text1"/>
          <w:sz w:val="22"/>
          <w:lang w:eastAsia="en-IN"/>
        </w:rPr>
        <w:t>shment of Peer Support Groups, c</w:t>
      </w:r>
      <w:r w:rsidRPr="00990B54">
        <w:rPr>
          <w:rFonts w:asciiTheme="minorHAnsi" w:eastAsia="Times New Roman" w:hAnsiTheme="minorHAnsi" w:cstheme="minorHAnsi"/>
          <w:color w:val="000000" w:themeColor="text1"/>
          <w:sz w:val="22"/>
          <w:lang w:eastAsia="en-IN"/>
        </w:rPr>
        <w:t>ommunity led mentoring</w:t>
      </w:r>
      <w:r w:rsidR="0031530A">
        <w:rPr>
          <w:rFonts w:asciiTheme="minorHAnsi" w:eastAsia="Times New Roman" w:hAnsiTheme="minorHAnsi" w:cstheme="minorHAnsi"/>
          <w:color w:val="000000" w:themeColor="text1"/>
          <w:sz w:val="22"/>
          <w:lang w:eastAsia="en-IN"/>
        </w:rPr>
        <w:t>,</w:t>
      </w:r>
      <w:r w:rsidR="00F72F44">
        <w:rPr>
          <w:rFonts w:asciiTheme="minorHAnsi" w:eastAsia="Times New Roman" w:hAnsiTheme="minorHAnsi" w:cstheme="minorHAnsi"/>
          <w:color w:val="000000" w:themeColor="text1"/>
          <w:sz w:val="22"/>
          <w:lang w:eastAsia="en-IN"/>
        </w:rPr>
        <w:t xml:space="preserve"> advocacy and demand generation,</w:t>
      </w:r>
      <w:r w:rsidRPr="00990B54">
        <w:rPr>
          <w:rFonts w:asciiTheme="minorHAnsi" w:eastAsia="Times New Roman" w:hAnsiTheme="minorHAnsi" w:cstheme="minorHAnsi"/>
          <w:color w:val="000000" w:themeColor="text1"/>
          <w:sz w:val="22"/>
          <w:lang w:eastAsia="en-IN"/>
        </w:rPr>
        <w:t xml:space="preserve"> and grievance redressal services, etc. States also were given the liberty to formulate community led strategies as per the local needs and context, e.g. Telangana formulated DISHA-TB, Community Based Management Approach for community engagement, </w:t>
      </w:r>
      <w:r w:rsidR="0031530A">
        <w:rPr>
          <w:rFonts w:asciiTheme="minorHAnsi" w:eastAsia="Times New Roman" w:hAnsiTheme="minorHAnsi" w:cstheme="minorHAnsi"/>
          <w:color w:val="000000" w:themeColor="text1"/>
          <w:sz w:val="22"/>
          <w:lang w:eastAsia="en-IN"/>
        </w:rPr>
        <w:t xml:space="preserve">and </w:t>
      </w:r>
      <w:r w:rsidRPr="00990B54">
        <w:rPr>
          <w:rFonts w:asciiTheme="minorHAnsi" w:eastAsia="Times New Roman" w:hAnsiTheme="minorHAnsi" w:cstheme="minorHAnsi"/>
          <w:color w:val="000000" w:themeColor="text1"/>
          <w:sz w:val="22"/>
          <w:lang w:eastAsia="en-IN"/>
        </w:rPr>
        <w:t>Kerala involved the local governance for community engagement</w:t>
      </w:r>
      <w:r w:rsidR="0031530A">
        <w:rPr>
          <w:rFonts w:asciiTheme="minorHAnsi" w:eastAsia="Times New Roman" w:hAnsiTheme="minorHAnsi" w:cstheme="minorHAnsi"/>
          <w:color w:val="000000" w:themeColor="text1"/>
          <w:sz w:val="22"/>
          <w:lang w:eastAsia="en-IN"/>
        </w:rPr>
        <w:t xml:space="preserve">. These two models have lessons for other states to adapt and replicate. </w:t>
      </w:r>
      <w:r w:rsidRPr="00990B54">
        <w:rPr>
          <w:rFonts w:asciiTheme="minorHAnsi" w:eastAsia="Times New Roman" w:hAnsiTheme="minorHAnsi" w:cstheme="minorHAnsi"/>
          <w:sz w:val="22"/>
          <w:lang w:eastAsia="en-IN"/>
        </w:rPr>
        <w:t xml:space="preserve">NTEP is now consolidating these strategies by partners and states so that a comprehensive approach may be developed with enough room for flexibility to suit local context and needs on community engagement. </w:t>
      </w:r>
      <w:r w:rsidR="005B58D1">
        <w:rPr>
          <w:rFonts w:asciiTheme="minorHAnsi" w:eastAsia="Times New Roman" w:hAnsiTheme="minorHAnsi" w:cstheme="minorHAnsi"/>
          <w:color w:val="000000" w:themeColor="text1"/>
          <w:sz w:val="22"/>
          <w:lang w:eastAsia="en-IN"/>
        </w:rPr>
        <w:t>In addition “</w:t>
      </w:r>
      <w:r w:rsidR="005B58D1" w:rsidRPr="005B58D1">
        <w:rPr>
          <w:rFonts w:asciiTheme="minorHAnsi" w:eastAsia="Times New Roman" w:hAnsiTheme="minorHAnsi" w:cstheme="minorHAnsi"/>
          <w:color w:val="000000" w:themeColor="text1"/>
          <w:sz w:val="22"/>
          <w:lang w:eastAsia="en-IN"/>
        </w:rPr>
        <w:t>Speak TB</w:t>
      </w:r>
      <w:r w:rsidR="005B58D1">
        <w:rPr>
          <w:rFonts w:asciiTheme="minorHAnsi" w:eastAsia="Times New Roman" w:hAnsiTheme="minorHAnsi" w:cstheme="minorHAnsi"/>
          <w:color w:val="000000" w:themeColor="text1"/>
          <w:sz w:val="22"/>
          <w:lang w:eastAsia="en-IN"/>
        </w:rPr>
        <w:t>”</w:t>
      </w:r>
      <w:r w:rsidR="005B58D1" w:rsidRPr="005B58D1">
        <w:rPr>
          <w:rFonts w:asciiTheme="minorHAnsi" w:eastAsia="Times New Roman" w:hAnsiTheme="minorHAnsi" w:cstheme="minorHAnsi"/>
          <w:color w:val="000000" w:themeColor="text1"/>
          <w:sz w:val="22"/>
          <w:lang w:eastAsia="en-IN"/>
        </w:rPr>
        <w:t xml:space="preserve"> for alleviating stigma,</w:t>
      </w:r>
      <w:r w:rsidR="005B58D1">
        <w:rPr>
          <w:rFonts w:asciiTheme="minorHAnsi" w:eastAsia="Times New Roman" w:hAnsiTheme="minorHAnsi" w:cstheme="minorHAnsi"/>
          <w:color w:val="000000" w:themeColor="text1"/>
          <w:sz w:val="22"/>
          <w:lang w:eastAsia="en-IN"/>
        </w:rPr>
        <w:t xml:space="preserve"> and </w:t>
      </w:r>
      <w:r w:rsidR="005B58D1" w:rsidRPr="005B58D1">
        <w:rPr>
          <w:rFonts w:asciiTheme="minorHAnsi" w:eastAsia="Times New Roman" w:hAnsiTheme="minorHAnsi" w:cstheme="minorHAnsi"/>
          <w:color w:val="000000" w:themeColor="text1"/>
          <w:sz w:val="22"/>
          <w:lang w:eastAsia="en-IN"/>
        </w:rPr>
        <w:t xml:space="preserve">TB survivors groups like </w:t>
      </w:r>
      <w:r w:rsidR="005B58D1">
        <w:rPr>
          <w:rFonts w:asciiTheme="minorHAnsi" w:eastAsia="Times New Roman" w:hAnsiTheme="minorHAnsi" w:cstheme="minorHAnsi"/>
          <w:color w:val="000000" w:themeColor="text1"/>
          <w:sz w:val="22"/>
          <w:lang w:eastAsia="en-IN"/>
        </w:rPr>
        <w:t>“</w:t>
      </w:r>
      <w:r w:rsidR="005B58D1" w:rsidRPr="005B58D1">
        <w:rPr>
          <w:rFonts w:asciiTheme="minorHAnsi" w:eastAsia="Times New Roman" w:hAnsiTheme="minorHAnsi" w:cstheme="minorHAnsi"/>
          <w:color w:val="000000" w:themeColor="text1"/>
          <w:sz w:val="22"/>
          <w:lang w:eastAsia="en-IN"/>
        </w:rPr>
        <w:t>Touched by TB</w:t>
      </w:r>
      <w:r w:rsidR="005B58D1">
        <w:rPr>
          <w:rFonts w:asciiTheme="minorHAnsi" w:eastAsia="Times New Roman" w:hAnsiTheme="minorHAnsi" w:cstheme="minorHAnsi"/>
          <w:color w:val="000000" w:themeColor="text1"/>
          <w:sz w:val="22"/>
          <w:lang w:eastAsia="en-IN"/>
        </w:rPr>
        <w:t>” are also successful models.</w:t>
      </w:r>
      <w:r w:rsidR="00F23600">
        <w:rPr>
          <w:rFonts w:asciiTheme="minorHAnsi" w:eastAsia="Times New Roman" w:hAnsiTheme="minorHAnsi" w:cstheme="minorHAnsi"/>
          <w:color w:val="000000" w:themeColor="text1"/>
          <w:sz w:val="22"/>
          <w:lang w:eastAsia="en-IN"/>
        </w:rPr>
        <w:t xml:space="preserve"> </w:t>
      </w:r>
      <w:r w:rsidR="00F23600" w:rsidRPr="00F23600">
        <w:rPr>
          <w:rFonts w:asciiTheme="minorHAnsi" w:eastAsia="Times New Roman" w:hAnsiTheme="minorHAnsi" w:cstheme="minorHAnsi"/>
          <w:sz w:val="22"/>
          <w:lang w:eastAsia="en-IN"/>
        </w:rPr>
        <w:t>TB Champions have also formed s</w:t>
      </w:r>
      <w:r w:rsidR="00F23600">
        <w:rPr>
          <w:rFonts w:asciiTheme="minorHAnsi" w:eastAsia="Times New Roman" w:hAnsiTheme="minorHAnsi" w:cstheme="minorHAnsi"/>
          <w:sz w:val="22"/>
          <w:lang w:eastAsia="en-IN"/>
        </w:rPr>
        <w:t xml:space="preserve">urvivor-led networks in six </w:t>
      </w:r>
      <w:r w:rsidR="00F23600" w:rsidRPr="00F23600">
        <w:rPr>
          <w:rFonts w:asciiTheme="minorHAnsi" w:eastAsia="Times New Roman" w:hAnsiTheme="minorHAnsi" w:cstheme="minorHAnsi"/>
          <w:sz w:val="22"/>
          <w:lang w:eastAsia="en-IN"/>
        </w:rPr>
        <w:t>states and at the national level. T</w:t>
      </w:r>
      <w:r w:rsidR="00F23600">
        <w:rPr>
          <w:rFonts w:asciiTheme="minorHAnsi" w:eastAsia="Times New Roman" w:hAnsiTheme="minorHAnsi" w:cstheme="minorHAnsi"/>
          <w:sz w:val="22"/>
          <w:lang w:eastAsia="en-IN"/>
        </w:rPr>
        <w:t xml:space="preserve">ouched by TB, TB Mukt Vahini in </w:t>
      </w:r>
      <w:r w:rsidR="00F23600" w:rsidRPr="00F23600">
        <w:rPr>
          <w:rFonts w:asciiTheme="minorHAnsi" w:eastAsia="Times New Roman" w:hAnsiTheme="minorHAnsi" w:cstheme="minorHAnsi"/>
          <w:sz w:val="22"/>
          <w:lang w:eastAsia="en-IN"/>
        </w:rPr>
        <w:t>Bihar, TB Elimination f</w:t>
      </w:r>
      <w:r w:rsidR="00F23600">
        <w:rPr>
          <w:rFonts w:asciiTheme="minorHAnsi" w:eastAsia="Times New Roman" w:hAnsiTheme="minorHAnsi" w:cstheme="minorHAnsi"/>
          <w:sz w:val="22"/>
          <w:lang w:eastAsia="en-IN"/>
        </w:rPr>
        <w:t xml:space="preserve">rom Jharkhand (TEJ) and TB Mukt </w:t>
      </w:r>
      <w:r w:rsidR="00F23600" w:rsidRPr="00F23600">
        <w:rPr>
          <w:rFonts w:asciiTheme="minorHAnsi" w:eastAsia="Times New Roman" w:hAnsiTheme="minorHAnsi" w:cstheme="minorHAnsi"/>
          <w:sz w:val="22"/>
          <w:lang w:eastAsia="en-IN"/>
        </w:rPr>
        <w:t>Foundation Chhattisgarh are the fir</w:t>
      </w:r>
      <w:r w:rsidR="00F23600">
        <w:rPr>
          <w:rFonts w:asciiTheme="minorHAnsi" w:eastAsia="Times New Roman" w:hAnsiTheme="minorHAnsi" w:cstheme="minorHAnsi"/>
          <w:sz w:val="22"/>
          <w:lang w:eastAsia="en-IN"/>
        </w:rPr>
        <w:t xml:space="preserve">st such networks in India to be </w:t>
      </w:r>
      <w:r w:rsidR="00F23600" w:rsidRPr="00F23600">
        <w:rPr>
          <w:rFonts w:asciiTheme="minorHAnsi" w:eastAsia="Times New Roman" w:hAnsiTheme="minorHAnsi" w:cstheme="minorHAnsi"/>
          <w:sz w:val="22"/>
          <w:lang w:eastAsia="en-IN"/>
        </w:rPr>
        <w:t>legally registered. These experien</w:t>
      </w:r>
      <w:r w:rsidR="00F23600">
        <w:rPr>
          <w:rFonts w:asciiTheme="minorHAnsi" w:eastAsia="Times New Roman" w:hAnsiTheme="minorHAnsi" w:cstheme="minorHAnsi"/>
          <w:sz w:val="22"/>
          <w:lang w:eastAsia="en-IN"/>
        </w:rPr>
        <w:t xml:space="preserve">ces have laid the groundwork to </w:t>
      </w:r>
      <w:r w:rsidR="00F23600" w:rsidRPr="00F23600">
        <w:rPr>
          <w:rFonts w:asciiTheme="minorHAnsi" w:eastAsia="Times New Roman" w:hAnsiTheme="minorHAnsi" w:cstheme="minorHAnsi"/>
          <w:sz w:val="22"/>
          <w:lang w:eastAsia="en-IN"/>
        </w:rPr>
        <w:t>tap the potential of people with</w:t>
      </w:r>
      <w:r w:rsidR="00F23600">
        <w:rPr>
          <w:rFonts w:asciiTheme="minorHAnsi" w:eastAsia="Times New Roman" w:hAnsiTheme="minorHAnsi" w:cstheme="minorHAnsi"/>
          <w:sz w:val="22"/>
          <w:lang w:eastAsia="en-IN"/>
        </w:rPr>
        <w:t xml:space="preserve"> TB, survivors and their family </w:t>
      </w:r>
      <w:r w:rsidR="00F23600" w:rsidRPr="00F23600">
        <w:rPr>
          <w:rFonts w:asciiTheme="minorHAnsi" w:eastAsia="Times New Roman" w:hAnsiTheme="minorHAnsi" w:cstheme="minorHAnsi"/>
          <w:sz w:val="22"/>
          <w:lang w:eastAsia="en-IN"/>
        </w:rPr>
        <w:t>members to effectively support the</w:t>
      </w:r>
      <w:r w:rsidR="00F23600">
        <w:rPr>
          <w:rFonts w:asciiTheme="minorHAnsi" w:eastAsia="Times New Roman" w:hAnsiTheme="minorHAnsi" w:cstheme="minorHAnsi"/>
          <w:sz w:val="22"/>
          <w:lang w:eastAsia="en-IN"/>
        </w:rPr>
        <w:t xml:space="preserve"> delivery of TB services at the </w:t>
      </w:r>
      <w:r w:rsidR="00F23600" w:rsidRPr="00F23600">
        <w:rPr>
          <w:rFonts w:asciiTheme="minorHAnsi" w:eastAsia="Times New Roman" w:hAnsiTheme="minorHAnsi" w:cstheme="minorHAnsi"/>
          <w:sz w:val="22"/>
          <w:lang w:eastAsia="en-IN"/>
        </w:rPr>
        <w:t>grassroots.</w:t>
      </w:r>
    </w:p>
    <w:p w14:paraId="5B79DAE2" w14:textId="2D07550C" w:rsidR="00A50624" w:rsidRPr="00C45A90" w:rsidRDefault="0033007D"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3</w:t>
      </w:r>
      <w:r>
        <w:rPr>
          <w:rFonts w:asciiTheme="minorHAnsi" w:hAnsiTheme="minorHAnsi" w:cstheme="minorHAnsi"/>
          <w:b/>
          <w:color w:val="C86A07" w:themeColor="accent2" w:themeShade="BF"/>
          <w:sz w:val="28"/>
          <w:lang w:val="en"/>
        </w:rPr>
        <w:t xml:space="preserve">.3 </w:t>
      </w:r>
      <w:r w:rsidR="00A50624" w:rsidRPr="00C45A90">
        <w:rPr>
          <w:rFonts w:asciiTheme="minorHAnsi" w:hAnsiTheme="minorHAnsi" w:cstheme="minorHAnsi"/>
          <w:b/>
          <w:color w:val="C86A07" w:themeColor="accent2" w:themeShade="BF"/>
          <w:sz w:val="28"/>
          <w:lang w:val="en"/>
        </w:rPr>
        <w:t>CHALLENGES</w:t>
      </w:r>
    </w:p>
    <w:p w14:paraId="38A3CFDA" w14:textId="77777777" w:rsidR="00990B54" w:rsidRPr="00990B54" w:rsidRDefault="00990B54" w:rsidP="009136E5">
      <w:pPr>
        <w:pStyle w:val="ListParagraph"/>
        <w:numPr>
          <w:ilvl w:val="0"/>
          <w:numId w:val="58"/>
        </w:numPr>
        <w:spacing w:before="0" w:after="0"/>
        <w:jc w:val="both"/>
        <w:rPr>
          <w:rFonts w:asciiTheme="minorHAnsi" w:hAnsiTheme="minorHAnsi" w:cstheme="minorHAnsi"/>
          <w:sz w:val="22"/>
        </w:rPr>
      </w:pPr>
      <w:r w:rsidRPr="00990B54">
        <w:rPr>
          <w:rFonts w:asciiTheme="minorHAnsi" w:hAnsiTheme="minorHAnsi" w:cstheme="minorHAnsi"/>
          <w:sz w:val="22"/>
        </w:rPr>
        <w:t>Community engagement has been not been given due attention in most of the states which may partly be due to unavailable trained staff in the districts/ states</w:t>
      </w:r>
    </w:p>
    <w:p w14:paraId="7F699F28" w14:textId="77777777" w:rsidR="00990B54" w:rsidRPr="00990B54" w:rsidRDefault="00990B54" w:rsidP="009136E5">
      <w:pPr>
        <w:pStyle w:val="ListParagraph"/>
        <w:numPr>
          <w:ilvl w:val="0"/>
          <w:numId w:val="58"/>
        </w:numPr>
        <w:spacing w:before="0" w:after="0"/>
        <w:jc w:val="both"/>
        <w:rPr>
          <w:rFonts w:asciiTheme="minorHAnsi" w:hAnsiTheme="minorHAnsi" w:cstheme="minorHAnsi"/>
          <w:sz w:val="22"/>
        </w:rPr>
      </w:pPr>
      <w:r w:rsidRPr="00990B54">
        <w:rPr>
          <w:rFonts w:asciiTheme="minorHAnsi" w:hAnsiTheme="minorHAnsi" w:cstheme="minorHAnsi"/>
          <w:sz w:val="22"/>
        </w:rPr>
        <w:t xml:space="preserve">Lack of guidance document on community engagement </w:t>
      </w:r>
    </w:p>
    <w:p w14:paraId="120BADE1" w14:textId="77777777" w:rsidR="00990B54" w:rsidRPr="00990B54" w:rsidRDefault="00990B54" w:rsidP="009136E5">
      <w:pPr>
        <w:pStyle w:val="ListParagraph"/>
        <w:numPr>
          <w:ilvl w:val="0"/>
          <w:numId w:val="58"/>
        </w:numPr>
        <w:spacing w:before="0" w:after="0"/>
        <w:jc w:val="both"/>
        <w:rPr>
          <w:rFonts w:asciiTheme="minorHAnsi" w:hAnsiTheme="minorHAnsi" w:cstheme="minorHAnsi"/>
          <w:sz w:val="22"/>
        </w:rPr>
      </w:pPr>
      <w:r w:rsidRPr="00990B54">
        <w:rPr>
          <w:rFonts w:asciiTheme="minorHAnsi" w:hAnsiTheme="minorHAnsi" w:cstheme="minorHAnsi"/>
          <w:sz w:val="22"/>
        </w:rPr>
        <w:t xml:space="preserve">Insufficient budgetary allocation </w:t>
      </w:r>
    </w:p>
    <w:p w14:paraId="651A5D63" w14:textId="77777777" w:rsidR="00990B54" w:rsidRPr="00990B54" w:rsidRDefault="00990B54" w:rsidP="009136E5">
      <w:pPr>
        <w:pStyle w:val="ListParagraph"/>
        <w:numPr>
          <w:ilvl w:val="0"/>
          <w:numId w:val="58"/>
        </w:numPr>
        <w:spacing w:before="0" w:after="0"/>
        <w:jc w:val="both"/>
        <w:rPr>
          <w:rFonts w:asciiTheme="minorHAnsi" w:hAnsiTheme="minorHAnsi" w:cstheme="minorHAnsi"/>
          <w:b/>
          <w:bCs/>
          <w:sz w:val="22"/>
        </w:rPr>
      </w:pPr>
      <w:r w:rsidRPr="00990B54">
        <w:rPr>
          <w:rFonts w:asciiTheme="minorHAnsi" w:hAnsiTheme="minorHAnsi" w:cstheme="minorHAnsi"/>
          <w:sz w:val="22"/>
        </w:rPr>
        <w:t>TB forums had been constituted in all the districts as envisaged, however the functionality and effectiveness remain limited or not meetings are not being held regularly as desired</w:t>
      </w:r>
    </w:p>
    <w:p w14:paraId="3F7D9833" w14:textId="77777777" w:rsidR="00990B54" w:rsidRPr="00990B54" w:rsidRDefault="00990B54" w:rsidP="009136E5">
      <w:pPr>
        <w:pStyle w:val="ListParagraph"/>
        <w:numPr>
          <w:ilvl w:val="0"/>
          <w:numId w:val="58"/>
        </w:numPr>
        <w:spacing w:before="0" w:after="0"/>
        <w:jc w:val="both"/>
        <w:rPr>
          <w:rFonts w:asciiTheme="minorHAnsi" w:hAnsiTheme="minorHAnsi" w:cstheme="minorHAnsi"/>
          <w:b/>
          <w:bCs/>
          <w:sz w:val="22"/>
        </w:rPr>
      </w:pPr>
      <w:r w:rsidRPr="00990B54">
        <w:rPr>
          <w:rFonts w:asciiTheme="minorHAnsi" w:hAnsiTheme="minorHAnsi" w:cstheme="minorHAnsi"/>
          <w:sz w:val="22"/>
        </w:rPr>
        <w:t>Availability of limited number of trained TB champions for participation in the programme</w:t>
      </w:r>
    </w:p>
    <w:p w14:paraId="496FE972" w14:textId="77777777" w:rsidR="00A50624" w:rsidRPr="00F72F44" w:rsidRDefault="00990B54" w:rsidP="009136E5">
      <w:pPr>
        <w:pStyle w:val="ListParagraph"/>
        <w:numPr>
          <w:ilvl w:val="0"/>
          <w:numId w:val="58"/>
        </w:numPr>
        <w:spacing w:before="0" w:after="0"/>
        <w:jc w:val="both"/>
        <w:rPr>
          <w:rFonts w:asciiTheme="minorHAnsi" w:hAnsiTheme="minorHAnsi" w:cstheme="minorHAnsi"/>
          <w:b/>
          <w:bCs/>
          <w:sz w:val="22"/>
        </w:rPr>
      </w:pPr>
      <w:r w:rsidRPr="00990B54">
        <w:rPr>
          <w:rFonts w:asciiTheme="minorHAnsi" w:hAnsiTheme="minorHAnsi" w:cstheme="minorHAnsi"/>
          <w:sz w:val="22"/>
        </w:rPr>
        <w:t xml:space="preserve">Continuity in engaging the community in different platforms </w:t>
      </w:r>
      <w:r w:rsidR="00A50624">
        <w:rPr>
          <w:rFonts w:asciiTheme="minorHAnsi" w:hAnsiTheme="minorHAnsi" w:cstheme="minorHAnsi"/>
          <w:sz w:val="22"/>
        </w:rPr>
        <w:t xml:space="preserve"> </w:t>
      </w:r>
    </w:p>
    <w:p w14:paraId="1D3D239B" w14:textId="77777777" w:rsidR="00F72F44" w:rsidRDefault="00F72F44" w:rsidP="009136E5">
      <w:pPr>
        <w:pStyle w:val="ListParagraph"/>
        <w:numPr>
          <w:ilvl w:val="0"/>
          <w:numId w:val="58"/>
        </w:numPr>
        <w:spacing w:before="0" w:after="0"/>
        <w:jc w:val="both"/>
        <w:rPr>
          <w:rFonts w:asciiTheme="minorHAnsi" w:hAnsiTheme="minorHAnsi" w:cstheme="minorHAnsi"/>
          <w:sz w:val="22"/>
        </w:rPr>
      </w:pPr>
      <w:r>
        <w:rPr>
          <w:rFonts w:asciiTheme="minorHAnsi" w:hAnsiTheme="minorHAnsi" w:cstheme="minorHAnsi"/>
          <w:sz w:val="22"/>
        </w:rPr>
        <w:t xml:space="preserve">Limited interpretation of community engagement scope </w:t>
      </w:r>
    </w:p>
    <w:p w14:paraId="23BCCE25" w14:textId="29E7CE9D" w:rsidR="00F72F44" w:rsidRPr="00F72F44" w:rsidRDefault="00F72F44" w:rsidP="009136E5">
      <w:pPr>
        <w:pStyle w:val="ListParagraph"/>
        <w:numPr>
          <w:ilvl w:val="0"/>
          <w:numId w:val="58"/>
        </w:numPr>
        <w:spacing w:before="0" w:after="0"/>
        <w:jc w:val="both"/>
        <w:rPr>
          <w:rFonts w:asciiTheme="minorHAnsi" w:hAnsiTheme="minorHAnsi" w:cstheme="minorHAnsi"/>
          <w:sz w:val="22"/>
        </w:rPr>
      </w:pPr>
      <w:r>
        <w:rPr>
          <w:rFonts w:asciiTheme="minorHAnsi" w:hAnsiTheme="minorHAnsi" w:cstheme="minorHAnsi"/>
          <w:sz w:val="22"/>
        </w:rPr>
        <w:t xml:space="preserve">Limited capacity and coordination of people affected by TB and TB survivors </w:t>
      </w:r>
    </w:p>
    <w:p w14:paraId="194B864F" w14:textId="4B2605DB" w:rsidR="00A50624" w:rsidRPr="00C45A90" w:rsidRDefault="0033007D"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3</w:t>
      </w:r>
      <w:r>
        <w:rPr>
          <w:rFonts w:asciiTheme="minorHAnsi" w:hAnsiTheme="minorHAnsi" w:cstheme="minorHAnsi"/>
          <w:b/>
          <w:color w:val="C86A07" w:themeColor="accent2" w:themeShade="BF"/>
          <w:sz w:val="28"/>
          <w:lang w:val="en"/>
        </w:rPr>
        <w:t xml:space="preserve">.4 </w:t>
      </w:r>
      <w:r w:rsidR="00A50624" w:rsidRPr="00C45A90">
        <w:rPr>
          <w:rFonts w:asciiTheme="minorHAnsi" w:hAnsiTheme="minorHAnsi" w:cstheme="minorHAnsi"/>
          <w:b/>
          <w:color w:val="C86A07" w:themeColor="accent2" w:themeShade="BF"/>
          <w:sz w:val="28"/>
          <w:lang w:val="en"/>
        </w:rPr>
        <w:t xml:space="preserve">THE WAY FORWARD (Interventions/ Activities) </w:t>
      </w:r>
    </w:p>
    <w:p w14:paraId="39B2CC95" w14:textId="535A9C33" w:rsidR="00990B54" w:rsidRPr="00990B54" w:rsidRDefault="00990B54" w:rsidP="00A50624">
      <w:pPr>
        <w:shd w:val="clear" w:color="auto" w:fill="FFFFFF"/>
        <w:spacing w:before="0" w:after="0"/>
        <w:jc w:val="both"/>
        <w:rPr>
          <w:rFonts w:asciiTheme="minorHAnsi" w:hAnsiTheme="minorHAnsi" w:cstheme="minorHAnsi"/>
          <w:sz w:val="22"/>
        </w:rPr>
      </w:pPr>
      <w:r w:rsidRPr="00A50624">
        <w:rPr>
          <w:rFonts w:asciiTheme="minorHAnsi" w:eastAsia="Times New Roman" w:hAnsiTheme="minorHAnsi" w:cstheme="minorHAnsi"/>
          <w:sz w:val="22"/>
          <w:lang w:eastAsia="en-IN"/>
        </w:rPr>
        <w:t>Building</w:t>
      </w:r>
      <w:r w:rsidRPr="00990B54">
        <w:rPr>
          <w:rFonts w:asciiTheme="minorHAnsi" w:hAnsiTheme="minorHAnsi" w:cstheme="minorHAnsi"/>
          <w:sz w:val="22"/>
        </w:rPr>
        <w:t xml:space="preserve"> on the vision and strategies envisaged in the earlier NSP and the experience so, far, this NSP proposes to actively engage with and work through the community for ensuring community driven response to end TB by 2025</w:t>
      </w:r>
      <w:r w:rsidRPr="00990B54">
        <w:rPr>
          <w:rFonts w:asciiTheme="minorHAnsi" w:hAnsiTheme="minorHAnsi" w:cstheme="minorHAnsi"/>
          <w:b/>
          <w:bCs/>
          <w:sz w:val="22"/>
        </w:rPr>
        <w:t xml:space="preserve">. </w:t>
      </w:r>
      <w:r w:rsidRPr="00990B54">
        <w:rPr>
          <w:rFonts w:asciiTheme="minorHAnsi" w:hAnsiTheme="minorHAnsi" w:cstheme="minorHAnsi"/>
          <w:sz w:val="22"/>
        </w:rPr>
        <w:t>It also draws from the experience and learnings within other national programmes such as National AIDS Control Programme, Pulse Polio Campaign, National Rural Livelihood Mission, etc</w:t>
      </w:r>
      <w:r w:rsidR="00DE7A67">
        <w:rPr>
          <w:rFonts w:asciiTheme="minorHAnsi" w:hAnsiTheme="minorHAnsi" w:cstheme="minorHAnsi"/>
          <w:sz w:val="22"/>
        </w:rPr>
        <w:t>.</w:t>
      </w:r>
    </w:p>
    <w:p w14:paraId="1D7E1EF9" w14:textId="77777777" w:rsidR="00990B54" w:rsidRPr="00990B54" w:rsidRDefault="00990B54" w:rsidP="00990B54">
      <w:pPr>
        <w:spacing w:before="0" w:after="0"/>
        <w:ind w:left="360"/>
        <w:jc w:val="both"/>
        <w:rPr>
          <w:rFonts w:asciiTheme="minorHAnsi" w:hAnsiTheme="minorHAnsi" w:cstheme="minorHAnsi"/>
          <w:sz w:val="22"/>
        </w:rPr>
      </w:pPr>
    </w:p>
    <w:p w14:paraId="0A76FF4A" w14:textId="55400757" w:rsidR="00990B54" w:rsidRPr="00AA4CA3" w:rsidRDefault="00AA4CA3" w:rsidP="00BF1177">
      <w:pPr>
        <w:shd w:val="clear" w:color="auto" w:fill="E8EFF9" w:themeFill="accent5" w:themeFillTint="33"/>
        <w:spacing w:before="0" w:after="0"/>
        <w:jc w:val="both"/>
        <w:rPr>
          <w:rFonts w:asciiTheme="minorHAnsi" w:hAnsiTheme="minorHAnsi" w:cstheme="minorHAnsi"/>
          <w:b/>
          <w:bCs/>
          <w:sz w:val="22"/>
        </w:rPr>
      </w:pPr>
      <w:r w:rsidRPr="00AA4CA3">
        <w:rPr>
          <w:rFonts w:asciiTheme="minorHAnsi" w:hAnsiTheme="minorHAnsi" w:cstheme="minorHAnsi"/>
          <w:b/>
          <w:sz w:val="22"/>
        </w:rPr>
        <w:t xml:space="preserve">The NSP recognizes and promotes the </w:t>
      </w:r>
      <w:r>
        <w:rPr>
          <w:rFonts w:asciiTheme="minorHAnsi" w:hAnsiTheme="minorHAnsi" w:cstheme="minorHAnsi"/>
          <w:b/>
          <w:sz w:val="22"/>
        </w:rPr>
        <w:t>k</w:t>
      </w:r>
      <w:r w:rsidR="00990B54" w:rsidRPr="00AA4CA3">
        <w:rPr>
          <w:rFonts w:asciiTheme="minorHAnsi" w:hAnsiTheme="minorHAnsi" w:cstheme="minorHAnsi"/>
          <w:b/>
          <w:bCs/>
          <w:sz w:val="22"/>
        </w:rPr>
        <w:t>ey Principles of Community Engagement in TB Response</w:t>
      </w:r>
    </w:p>
    <w:p w14:paraId="509C8F5D" w14:textId="4164156D" w:rsidR="00990B54" w:rsidRPr="00990B54" w:rsidRDefault="00673F84" w:rsidP="009136E5">
      <w:pPr>
        <w:pStyle w:val="ListParagraph"/>
        <w:numPr>
          <w:ilvl w:val="0"/>
          <w:numId w:val="56"/>
        </w:numPr>
        <w:shd w:val="clear" w:color="auto" w:fill="E8EFF9" w:themeFill="accent5" w:themeFillTint="33"/>
        <w:spacing w:before="0" w:after="0"/>
        <w:ind w:left="360"/>
        <w:jc w:val="both"/>
        <w:rPr>
          <w:rFonts w:asciiTheme="minorHAnsi" w:hAnsiTheme="minorHAnsi" w:cstheme="minorHAnsi"/>
          <w:sz w:val="22"/>
        </w:rPr>
      </w:pPr>
      <w:r w:rsidRPr="00990B54">
        <w:rPr>
          <w:rFonts w:asciiTheme="minorHAnsi" w:hAnsiTheme="minorHAnsi" w:cstheme="minorHAnsi"/>
          <w:sz w:val="22"/>
        </w:rPr>
        <w:t>The</w:t>
      </w:r>
      <w:r w:rsidR="00990B54" w:rsidRPr="00990B54">
        <w:rPr>
          <w:rFonts w:asciiTheme="minorHAnsi" w:hAnsiTheme="minorHAnsi" w:cstheme="minorHAnsi"/>
          <w:sz w:val="22"/>
        </w:rPr>
        <w:t xml:space="preserve"> right of the communities to be informed about and participate in decision making and implementation of the National TB Elimination Programme</w:t>
      </w:r>
      <w:r w:rsidR="00F72F44">
        <w:rPr>
          <w:rFonts w:asciiTheme="minorHAnsi" w:hAnsiTheme="minorHAnsi" w:cstheme="minorHAnsi"/>
          <w:sz w:val="22"/>
        </w:rPr>
        <w:t>, including in the design, implementation, monitoring and evaluation of policy design and interventions</w:t>
      </w:r>
      <w:r w:rsidR="00990B54" w:rsidRPr="00990B54">
        <w:rPr>
          <w:rFonts w:asciiTheme="minorHAnsi" w:hAnsiTheme="minorHAnsi" w:cstheme="minorHAnsi"/>
          <w:sz w:val="22"/>
        </w:rPr>
        <w:t>.</w:t>
      </w:r>
    </w:p>
    <w:p w14:paraId="2134CF0F" w14:textId="2BEE12C8" w:rsidR="00990B54" w:rsidRPr="00990B54" w:rsidRDefault="00673F84" w:rsidP="009136E5">
      <w:pPr>
        <w:pStyle w:val="ListParagraph"/>
        <w:numPr>
          <w:ilvl w:val="0"/>
          <w:numId w:val="56"/>
        </w:numPr>
        <w:shd w:val="clear" w:color="auto" w:fill="E8EFF9" w:themeFill="accent5" w:themeFillTint="33"/>
        <w:spacing w:before="0" w:after="0"/>
        <w:ind w:left="360"/>
        <w:jc w:val="both"/>
        <w:rPr>
          <w:rFonts w:asciiTheme="minorHAnsi" w:hAnsiTheme="minorHAnsi" w:cstheme="minorHAnsi"/>
          <w:sz w:val="22"/>
        </w:rPr>
      </w:pPr>
      <w:r w:rsidRPr="00990B54">
        <w:rPr>
          <w:rFonts w:asciiTheme="minorHAnsi" w:hAnsiTheme="minorHAnsi" w:cstheme="minorHAnsi"/>
          <w:sz w:val="22"/>
        </w:rPr>
        <w:t>The</w:t>
      </w:r>
      <w:r w:rsidR="00990B54" w:rsidRPr="00990B54">
        <w:rPr>
          <w:rFonts w:asciiTheme="minorHAnsi" w:hAnsiTheme="minorHAnsi" w:cstheme="minorHAnsi"/>
          <w:sz w:val="22"/>
        </w:rPr>
        <w:t xml:space="preserve"> need to tailor strategical interventions to different communities/key populations to address the unique challenges faced by them.</w:t>
      </w:r>
    </w:p>
    <w:p w14:paraId="5E453E6E" w14:textId="77777777" w:rsidR="00F72F44" w:rsidRPr="00990B54" w:rsidRDefault="00990B54" w:rsidP="009136E5">
      <w:pPr>
        <w:pStyle w:val="ListParagraph"/>
        <w:numPr>
          <w:ilvl w:val="0"/>
          <w:numId w:val="56"/>
        </w:numPr>
        <w:shd w:val="clear" w:color="auto" w:fill="E8EFF9" w:themeFill="accent5" w:themeFillTint="33"/>
        <w:spacing w:before="0" w:after="0"/>
        <w:ind w:left="360"/>
        <w:jc w:val="both"/>
        <w:rPr>
          <w:rFonts w:asciiTheme="minorHAnsi" w:hAnsiTheme="minorHAnsi" w:cstheme="minorHAnsi"/>
          <w:sz w:val="22"/>
        </w:rPr>
      </w:pPr>
      <w:r w:rsidRPr="00990B54">
        <w:rPr>
          <w:rFonts w:asciiTheme="minorHAnsi" w:hAnsiTheme="minorHAnsi" w:cstheme="minorHAnsi"/>
          <w:sz w:val="22"/>
        </w:rPr>
        <w:lastRenderedPageBreak/>
        <w:t>The power of TB survivors and affected populations to act as change agents for advocating and facilitating TB resilient communities</w:t>
      </w:r>
      <w:r w:rsidR="00F72F44">
        <w:rPr>
          <w:rFonts w:asciiTheme="minorHAnsi" w:hAnsiTheme="minorHAnsi" w:cstheme="minorHAnsi"/>
          <w:sz w:val="22"/>
        </w:rPr>
        <w:t xml:space="preserve"> and the need for this to be supported through enhanced coordination and capacity building</w:t>
      </w:r>
      <w:r w:rsidR="00F72F44" w:rsidRPr="00990B54">
        <w:rPr>
          <w:rFonts w:asciiTheme="minorHAnsi" w:hAnsiTheme="minorHAnsi" w:cstheme="minorHAnsi"/>
          <w:sz w:val="22"/>
        </w:rPr>
        <w:t>.</w:t>
      </w:r>
    </w:p>
    <w:p w14:paraId="7D1EE04F" w14:textId="249033E8" w:rsidR="00F72F44" w:rsidRPr="00990B54" w:rsidRDefault="00990B54" w:rsidP="009136E5">
      <w:pPr>
        <w:pStyle w:val="ListParagraph"/>
        <w:numPr>
          <w:ilvl w:val="0"/>
          <w:numId w:val="56"/>
        </w:numPr>
        <w:shd w:val="clear" w:color="auto" w:fill="E8EFF9" w:themeFill="accent5" w:themeFillTint="33"/>
        <w:spacing w:before="0" w:after="0"/>
        <w:ind w:left="360"/>
        <w:jc w:val="both"/>
        <w:rPr>
          <w:rFonts w:asciiTheme="minorHAnsi" w:hAnsiTheme="minorHAnsi" w:cstheme="minorHAnsi"/>
          <w:sz w:val="22"/>
        </w:rPr>
      </w:pPr>
      <w:r w:rsidRPr="00990B54">
        <w:rPr>
          <w:rFonts w:asciiTheme="minorHAnsi" w:hAnsiTheme="minorHAnsi" w:cstheme="minorHAnsi"/>
          <w:sz w:val="22"/>
        </w:rPr>
        <w:t>The need for making the programme and service delivery mechanis</w:t>
      </w:r>
      <w:r w:rsidR="00F72F44">
        <w:rPr>
          <w:rFonts w:asciiTheme="minorHAnsi" w:hAnsiTheme="minorHAnsi" w:cstheme="minorHAnsi"/>
          <w:sz w:val="22"/>
        </w:rPr>
        <w:t>ms accountable to the community and empowering the community to provide this enhanced accountability.</w:t>
      </w:r>
    </w:p>
    <w:p w14:paraId="52C6FC9B" w14:textId="77777777" w:rsidR="00990B54" w:rsidRPr="00990B54" w:rsidRDefault="00990B54" w:rsidP="009136E5">
      <w:pPr>
        <w:pStyle w:val="ListParagraph"/>
        <w:numPr>
          <w:ilvl w:val="0"/>
          <w:numId w:val="56"/>
        </w:numPr>
        <w:shd w:val="clear" w:color="auto" w:fill="E8EFF9" w:themeFill="accent5" w:themeFillTint="33"/>
        <w:spacing w:before="0" w:after="0"/>
        <w:ind w:left="360"/>
        <w:jc w:val="both"/>
        <w:rPr>
          <w:rFonts w:asciiTheme="minorHAnsi" w:hAnsiTheme="minorHAnsi" w:cstheme="minorHAnsi"/>
          <w:sz w:val="22"/>
        </w:rPr>
      </w:pPr>
      <w:r w:rsidRPr="00990B54">
        <w:rPr>
          <w:rFonts w:asciiTheme="minorHAnsi" w:hAnsiTheme="minorHAnsi" w:cstheme="minorHAnsi"/>
          <w:sz w:val="22"/>
        </w:rPr>
        <w:t>The need to have a nation-wide people movement with localized action plans for ending TB.</w:t>
      </w:r>
    </w:p>
    <w:p w14:paraId="36D5B91A" w14:textId="77777777" w:rsidR="00990B54" w:rsidRPr="00990B54" w:rsidRDefault="00990B54" w:rsidP="009136E5">
      <w:pPr>
        <w:pStyle w:val="ListParagraph"/>
        <w:numPr>
          <w:ilvl w:val="0"/>
          <w:numId w:val="56"/>
        </w:numPr>
        <w:shd w:val="clear" w:color="auto" w:fill="E8EFF9" w:themeFill="accent5" w:themeFillTint="33"/>
        <w:spacing w:before="0" w:after="0"/>
        <w:ind w:left="360"/>
        <w:jc w:val="both"/>
        <w:rPr>
          <w:rFonts w:asciiTheme="minorHAnsi" w:hAnsiTheme="minorHAnsi" w:cstheme="minorHAnsi"/>
          <w:sz w:val="22"/>
        </w:rPr>
      </w:pPr>
      <w:r w:rsidRPr="00990B54">
        <w:rPr>
          <w:rFonts w:asciiTheme="minorHAnsi" w:hAnsiTheme="minorHAnsi" w:cstheme="minorHAnsi"/>
          <w:sz w:val="22"/>
        </w:rPr>
        <w:t>The need to accelerate TB case finding efforts among key populations with support from key community stakeholders and CSOs to bring missing cases to the TB care cascade.</w:t>
      </w:r>
    </w:p>
    <w:p w14:paraId="1BCE4685" w14:textId="41F3877D" w:rsidR="00AA4CA3" w:rsidRDefault="00990B54" w:rsidP="009136E5">
      <w:pPr>
        <w:pStyle w:val="ListParagraph"/>
        <w:numPr>
          <w:ilvl w:val="0"/>
          <w:numId w:val="56"/>
        </w:numPr>
        <w:shd w:val="clear" w:color="auto" w:fill="E8EFF9" w:themeFill="accent5" w:themeFillTint="33"/>
        <w:spacing w:before="0"/>
        <w:ind w:left="360"/>
        <w:jc w:val="both"/>
        <w:rPr>
          <w:rFonts w:asciiTheme="minorHAnsi" w:hAnsiTheme="minorHAnsi" w:cstheme="minorHAnsi"/>
          <w:sz w:val="22"/>
        </w:rPr>
      </w:pPr>
      <w:r w:rsidRPr="00990B54">
        <w:rPr>
          <w:rFonts w:asciiTheme="minorHAnsi" w:hAnsiTheme="minorHAnsi" w:cstheme="minorHAnsi"/>
          <w:sz w:val="22"/>
        </w:rPr>
        <w:t xml:space="preserve">Role of Civil Society </w:t>
      </w:r>
      <w:r w:rsidR="00F72F44" w:rsidRPr="00990B54">
        <w:rPr>
          <w:rFonts w:asciiTheme="minorHAnsi" w:hAnsiTheme="minorHAnsi" w:cstheme="minorHAnsi"/>
          <w:sz w:val="22"/>
        </w:rPr>
        <w:t>Organizations</w:t>
      </w:r>
      <w:r w:rsidRPr="00990B54">
        <w:rPr>
          <w:rFonts w:asciiTheme="minorHAnsi" w:hAnsiTheme="minorHAnsi" w:cstheme="minorHAnsi"/>
          <w:sz w:val="22"/>
        </w:rPr>
        <w:t xml:space="preserve"> and Community Based Organizations in facilitating community engagement in the national programme, implementation of community-based interventions and in ensuring patient centric delivery of TB care.</w:t>
      </w:r>
      <w:r w:rsidR="00AA4CA3">
        <w:rPr>
          <w:rFonts w:asciiTheme="minorHAnsi" w:hAnsiTheme="minorHAnsi" w:cstheme="minorHAnsi"/>
          <w:sz w:val="22"/>
        </w:rPr>
        <w:t xml:space="preserve"> </w:t>
      </w:r>
    </w:p>
    <w:p w14:paraId="46BD164D" w14:textId="2C20EC15" w:rsidR="00990B54" w:rsidRPr="00AA4CA3" w:rsidRDefault="00AA4CA3" w:rsidP="00AA4CA3">
      <w:pPr>
        <w:spacing w:before="0" w:after="0"/>
        <w:jc w:val="both"/>
        <w:rPr>
          <w:rFonts w:asciiTheme="minorHAnsi" w:hAnsiTheme="minorHAnsi" w:cstheme="minorHAnsi"/>
          <w:sz w:val="22"/>
        </w:rPr>
      </w:pPr>
      <w:r>
        <w:rPr>
          <w:rFonts w:asciiTheme="minorHAnsi" w:hAnsiTheme="minorHAnsi" w:cstheme="minorHAnsi"/>
          <w:sz w:val="22"/>
        </w:rPr>
        <w:t xml:space="preserve">In line with principles, the programme will undertake the following in its efforts to engage the community.  </w:t>
      </w:r>
    </w:p>
    <w:p w14:paraId="7F2DADA8" w14:textId="07AB2419" w:rsidR="00592EDF" w:rsidRPr="00592EDF" w:rsidRDefault="00592EDF" w:rsidP="009136E5">
      <w:pPr>
        <w:pStyle w:val="ListParagraph"/>
        <w:numPr>
          <w:ilvl w:val="0"/>
          <w:numId w:val="56"/>
        </w:numPr>
        <w:spacing w:before="0" w:after="0"/>
        <w:ind w:left="360"/>
        <w:jc w:val="both"/>
        <w:rPr>
          <w:rFonts w:asciiTheme="minorHAnsi" w:hAnsiTheme="minorHAnsi" w:cstheme="minorHAnsi"/>
          <w:sz w:val="22"/>
        </w:rPr>
      </w:pPr>
      <w:r w:rsidRPr="00592EDF">
        <w:rPr>
          <w:rFonts w:asciiTheme="minorHAnsi" w:hAnsiTheme="minorHAnsi" w:cstheme="minorHAnsi"/>
          <w:sz w:val="22"/>
        </w:rPr>
        <w:t xml:space="preserve">Develop guidance document for community engagement with standardized monitoring and evaluation, through a consultative </w:t>
      </w:r>
      <w:r>
        <w:rPr>
          <w:rFonts w:asciiTheme="minorHAnsi" w:hAnsiTheme="minorHAnsi" w:cstheme="minorHAnsi"/>
          <w:sz w:val="22"/>
        </w:rPr>
        <w:t>process</w:t>
      </w:r>
    </w:p>
    <w:p w14:paraId="1DC6D8EE" w14:textId="77777777" w:rsidR="00592EDF" w:rsidRDefault="00AA4CA3" w:rsidP="00575DDF">
      <w:pPr>
        <w:numPr>
          <w:ilvl w:val="0"/>
          <w:numId w:val="129"/>
        </w:numPr>
        <w:pBdr>
          <w:top w:val="nil"/>
          <w:left w:val="nil"/>
          <w:bottom w:val="nil"/>
          <w:right w:val="nil"/>
          <w:between w:val="nil"/>
        </w:pBdr>
        <w:spacing w:before="0" w:after="0"/>
        <w:ind w:left="360"/>
        <w:jc w:val="both"/>
        <w:rPr>
          <w:rFonts w:ascii="Calibri" w:hAnsi="Calibri" w:cs="Calibri"/>
          <w:color w:val="000000"/>
          <w:sz w:val="22"/>
        </w:rPr>
      </w:pPr>
      <w:r>
        <w:rPr>
          <w:rFonts w:asciiTheme="minorHAnsi" w:hAnsiTheme="minorHAnsi" w:cstheme="minorHAnsi"/>
          <w:sz w:val="22"/>
        </w:rPr>
        <w:t>R</w:t>
      </w:r>
      <w:r w:rsidR="00990B54" w:rsidRPr="00990B54">
        <w:rPr>
          <w:rFonts w:asciiTheme="minorHAnsi" w:hAnsiTheme="minorHAnsi" w:cstheme="minorHAnsi"/>
          <w:sz w:val="22"/>
        </w:rPr>
        <w:t xml:space="preserve">each out to populations/community through existing community structures and platforms, thereby minimizing time and resources required to reach out. </w:t>
      </w:r>
      <w:r w:rsidR="00592EDF" w:rsidRPr="2343DF4C">
        <w:rPr>
          <w:rFonts w:ascii="Calibri" w:hAnsi="Calibri" w:cs="Calibri"/>
          <w:color w:val="000000" w:themeColor="text1"/>
          <w:sz w:val="22"/>
        </w:rPr>
        <w:t>Priority will be given to marginalized populations facing challenges in access to services</w:t>
      </w:r>
    </w:p>
    <w:p w14:paraId="1F237D99" w14:textId="6CC95C6B" w:rsidR="00990B54" w:rsidRPr="00990B54" w:rsidRDefault="00AA4CA3" w:rsidP="009136E5">
      <w:pPr>
        <w:pStyle w:val="ListParagraph"/>
        <w:numPr>
          <w:ilvl w:val="0"/>
          <w:numId w:val="56"/>
        </w:numPr>
        <w:spacing w:before="0" w:after="0"/>
        <w:ind w:left="360"/>
        <w:jc w:val="both"/>
        <w:rPr>
          <w:rFonts w:asciiTheme="minorHAnsi" w:hAnsiTheme="minorHAnsi" w:cstheme="minorHAnsi"/>
          <w:sz w:val="22"/>
        </w:rPr>
      </w:pPr>
      <w:r>
        <w:rPr>
          <w:rFonts w:asciiTheme="minorHAnsi" w:hAnsiTheme="minorHAnsi" w:cstheme="minorHAnsi"/>
          <w:sz w:val="22"/>
        </w:rPr>
        <w:t>E</w:t>
      </w:r>
      <w:r w:rsidR="00990B54" w:rsidRPr="00990B54">
        <w:rPr>
          <w:rFonts w:asciiTheme="minorHAnsi" w:hAnsiTheme="minorHAnsi" w:cstheme="minorHAnsi"/>
          <w:sz w:val="22"/>
        </w:rPr>
        <w:t xml:space="preserve">nhance the effectiveness of TB interventions in communities/key population </w:t>
      </w:r>
      <w:r>
        <w:rPr>
          <w:rFonts w:asciiTheme="minorHAnsi" w:hAnsiTheme="minorHAnsi" w:cstheme="minorHAnsi"/>
          <w:sz w:val="22"/>
        </w:rPr>
        <w:t>by</w:t>
      </w:r>
      <w:r w:rsidR="00990B54" w:rsidRPr="00990B54">
        <w:rPr>
          <w:rFonts w:asciiTheme="minorHAnsi" w:hAnsiTheme="minorHAnsi" w:cstheme="minorHAnsi"/>
          <w:sz w:val="22"/>
        </w:rPr>
        <w:t xml:space="preserve"> bringing key </w:t>
      </w:r>
      <w:r w:rsidR="00592EDF" w:rsidRPr="00990B54">
        <w:rPr>
          <w:rFonts w:asciiTheme="minorHAnsi" w:hAnsiTheme="minorHAnsi" w:cstheme="minorHAnsi"/>
          <w:sz w:val="22"/>
        </w:rPr>
        <w:t>factors</w:t>
      </w:r>
      <w:r w:rsidR="00990B54" w:rsidRPr="00990B54">
        <w:rPr>
          <w:rFonts w:asciiTheme="minorHAnsi" w:hAnsiTheme="minorHAnsi" w:cstheme="minorHAnsi"/>
          <w:sz w:val="22"/>
        </w:rPr>
        <w:t xml:space="preserve"> that influence the social norms and behaviours in the community on board. </w:t>
      </w:r>
    </w:p>
    <w:p w14:paraId="2F962808" w14:textId="75432405" w:rsidR="00990B54" w:rsidRPr="00990B54" w:rsidRDefault="00AA4CA3" w:rsidP="009136E5">
      <w:pPr>
        <w:pStyle w:val="ListParagraph"/>
        <w:numPr>
          <w:ilvl w:val="0"/>
          <w:numId w:val="56"/>
        </w:numPr>
        <w:spacing w:before="0" w:after="0"/>
        <w:ind w:left="360"/>
        <w:jc w:val="both"/>
        <w:rPr>
          <w:rFonts w:asciiTheme="minorHAnsi" w:hAnsiTheme="minorHAnsi" w:cstheme="minorHAnsi"/>
          <w:sz w:val="22"/>
        </w:rPr>
      </w:pPr>
      <w:r>
        <w:rPr>
          <w:rFonts w:asciiTheme="minorHAnsi" w:hAnsiTheme="minorHAnsi" w:cstheme="minorHAnsi"/>
          <w:sz w:val="22"/>
        </w:rPr>
        <w:t>E</w:t>
      </w:r>
      <w:r w:rsidR="00990B54" w:rsidRPr="00990B54">
        <w:rPr>
          <w:rFonts w:asciiTheme="minorHAnsi" w:hAnsiTheme="minorHAnsi" w:cstheme="minorHAnsi"/>
          <w:sz w:val="22"/>
        </w:rPr>
        <w:t>xplore the potential of peer support strategies in</w:t>
      </w:r>
      <w:r w:rsidR="00592EDF">
        <w:rPr>
          <w:rFonts w:asciiTheme="minorHAnsi" w:hAnsiTheme="minorHAnsi" w:cstheme="minorHAnsi"/>
          <w:sz w:val="22"/>
        </w:rPr>
        <w:t xml:space="preserve"> </w:t>
      </w:r>
      <w:r w:rsidR="00592EDF" w:rsidRPr="00592EDF">
        <w:rPr>
          <w:rFonts w:asciiTheme="minorHAnsi" w:hAnsiTheme="minorHAnsi" w:cstheme="minorHAnsi"/>
          <w:sz w:val="22"/>
        </w:rPr>
        <w:t>close collaboration with TB survivors in</w:t>
      </w:r>
      <w:r w:rsidR="00990B54" w:rsidRPr="00990B54">
        <w:rPr>
          <w:rFonts w:asciiTheme="minorHAnsi" w:hAnsiTheme="minorHAnsi" w:cstheme="minorHAnsi"/>
          <w:sz w:val="22"/>
        </w:rPr>
        <w:t xml:space="preserve"> improving uptake and effectiveness of TB services.</w:t>
      </w:r>
    </w:p>
    <w:p w14:paraId="55C39335" w14:textId="7E28881B" w:rsidR="00C62BA7" w:rsidRDefault="00AA4CA3" w:rsidP="009136E5">
      <w:pPr>
        <w:pStyle w:val="ListParagraph"/>
        <w:numPr>
          <w:ilvl w:val="0"/>
          <w:numId w:val="56"/>
        </w:numPr>
        <w:spacing w:before="0" w:after="0"/>
        <w:ind w:left="360"/>
        <w:jc w:val="both"/>
        <w:rPr>
          <w:rFonts w:asciiTheme="minorHAnsi" w:hAnsiTheme="minorHAnsi" w:cstheme="minorHAnsi"/>
          <w:sz w:val="22"/>
        </w:rPr>
      </w:pPr>
      <w:r>
        <w:rPr>
          <w:rFonts w:asciiTheme="minorHAnsi" w:hAnsiTheme="minorHAnsi" w:cstheme="minorHAnsi"/>
          <w:sz w:val="22"/>
        </w:rPr>
        <w:t xml:space="preserve">Increase access to </w:t>
      </w:r>
      <w:r w:rsidR="00990B54" w:rsidRPr="00990B54">
        <w:rPr>
          <w:rFonts w:asciiTheme="minorHAnsi" w:hAnsiTheme="minorHAnsi" w:cstheme="minorHAnsi"/>
          <w:sz w:val="22"/>
        </w:rPr>
        <w:t xml:space="preserve">tools </w:t>
      </w:r>
      <w:r>
        <w:rPr>
          <w:rFonts w:asciiTheme="minorHAnsi" w:hAnsiTheme="minorHAnsi" w:cstheme="minorHAnsi"/>
          <w:sz w:val="22"/>
        </w:rPr>
        <w:t>that provide</w:t>
      </w:r>
      <w:r w:rsidR="00990B54" w:rsidRPr="00990B54">
        <w:rPr>
          <w:rFonts w:asciiTheme="minorHAnsi" w:hAnsiTheme="minorHAnsi" w:cstheme="minorHAnsi"/>
          <w:sz w:val="22"/>
        </w:rPr>
        <w:t xml:space="preserve"> information and support decision making </w:t>
      </w:r>
      <w:r>
        <w:rPr>
          <w:rFonts w:asciiTheme="minorHAnsi" w:hAnsiTheme="minorHAnsi" w:cstheme="minorHAnsi"/>
          <w:sz w:val="22"/>
        </w:rPr>
        <w:t>by</w:t>
      </w:r>
      <w:r w:rsidR="00990B54" w:rsidRPr="00990B54">
        <w:rPr>
          <w:rFonts w:asciiTheme="minorHAnsi" w:hAnsiTheme="minorHAnsi" w:cstheme="minorHAnsi"/>
          <w:sz w:val="22"/>
        </w:rPr>
        <w:t xml:space="preserve"> the community for a sustainable response to TB.</w:t>
      </w:r>
      <w:r w:rsidR="00F72F44">
        <w:rPr>
          <w:rFonts w:asciiTheme="minorHAnsi" w:hAnsiTheme="minorHAnsi" w:cstheme="minorHAnsi"/>
          <w:sz w:val="22"/>
        </w:rPr>
        <w:t xml:space="preserve"> </w:t>
      </w:r>
      <w:r w:rsidR="00592EDF">
        <w:rPr>
          <w:rFonts w:asciiTheme="minorHAnsi" w:hAnsiTheme="minorHAnsi" w:cstheme="minorHAnsi"/>
          <w:sz w:val="22"/>
        </w:rPr>
        <w:t xml:space="preserve">This includes </w:t>
      </w:r>
      <w:r w:rsidR="00FE4546" w:rsidRPr="00FE4546">
        <w:rPr>
          <w:rFonts w:asciiTheme="minorHAnsi" w:hAnsiTheme="minorHAnsi" w:cstheme="minorHAnsi"/>
          <w:sz w:val="22"/>
        </w:rPr>
        <w:t>ab</w:t>
      </w:r>
      <w:r w:rsidR="00FE4546">
        <w:rPr>
          <w:rFonts w:asciiTheme="minorHAnsi" w:hAnsiTheme="minorHAnsi" w:cstheme="minorHAnsi"/>
          <w:sz w:val="22"/>
        </w:rPr>
        <w:t>s</w:t>
      </w:r>
      <w:r w:rsidR="00FE4546" w:rsidRPr="00FE4546">
        <w:rPr>
          <w:rFonts w:asciiTheme="minorHAnsi" w:hAnsiTheme="minorHAnsi" w:cstheme="minorHAnsi"/>
          <w:sz w:val="22"/>
        </w:rPr>
        <w:t>orb</w:t>
      </w:r>
      <w:r w:rsidR="00FE4546">
        <w:rPr>
          <w:rFonts w:asciiTheme="minorHAnsi" w:hAnsiTheme="minorHAnsi" w:cstheme="minorHAnsi"/>
          <w:sz w:val="22"/>
        </w:rPr>
        <w:t>ing</w:t>
      </w:r>
      <w:r w:rsidR="00FE4546" w:rsidRPr="00FE4546">
        <w:rPr>
          <w:rFonts w:asciiTheme="minorHAnsi" w:hAnsiTheme="minorHAnsi" w:cstheme="minorHAnsi"/>
          <w:sz w:val="22"/>
        </w:rPr>
        <w:t xml:space="preserve"> community actors in routine programmatic activities including supervision, data review meetings</w:t>
      </w:r>
      <w:r w:rsidR="00C20ECB">
        <w:rPr>
          <w:rFonts w:asciiTheme="minorHAnsi" w:hAnsiTheme="minorHAnsi" w:cstheme="minorHAnsi"/>
          <w:sz w:val="22"/>
        </w:rPr>
        <w:t>, etc.</w:t>
      </w:r>
    </w:p>
    <w:p w14:paraId="72B2BBBA" w14:textId="6997CC92" w:rsidR="00F72F44" w:rsidRPr="00F72F44" w:rsidRDefault="00F72F44" w:rsidP="009136E5">
      <w:pPr>
        <w:pStyle w:val="ListParagraph"/>
        <w:numPr>
          <w:ilvl w:val="0"/>
          <w:numId w:val="56"/>
        </w:numPr>
        <w:spacing w:before="0" w:after="0"/>
        <w:ind w:left="360"/>
        <w:jc w:val="both"/>
        <w:rPr>
          <w:rFonts w:asciiTheme="minorHAnsi" w:hAnsiTheme="minorHAnsi" w:cstheme="minorHAnsi"/>
          <w:sz w:val="22"/>
        </w:rPr>
      </w:pPr>
      <w:r>
        <w:rPr>
          <w:rFonts w:asciiTheme="minorHAnsi" w:hAnsiTheme="minorHAnsi" w:cstheme="minorHAnsi"/>
          <w:sz w:val="22"/>
        </w:rPr>
        <w:t xml:space="preserve">Build capacity of TB survivors and TB affected communities in areas of TB treatment literacy, advocacy, counselling, health financing, community-led monitoring and human rights. </w:t>
      </w:r>
    </w:p>
    <w:p w14:paraId="1245F9EB" w14:textId="77777777" w:rsidR="00990B54" w:rsidRPr="00990B54" w:rsidRDefault="00990B54" w:rsidP="00DE7A67">
      <w:pPr>
        <w:spacing w:before="0" w:after="0"/>
        <w:jc w:val="both"/>
        <w:rPr>
          <w:rFonts w:asciiTheme="minorHAnsi" w:hAnsiTheme="minorHAnsi" w:cstheme="minorHAnsi"/>
          <w:sz w:val="22"/>
        </w:rPr>
      </w:pPr>
      <w:r w:rsidRPr="00990B54">
        <w:rPr>
          <w:rFonts w:asciiTheme="minorHAnsi" w:hAnsiTheme="minorHAnsi" w:cstheme="minorHAnsi"/>
          <w:sz w:val="22"/>
        </w:rPr>
        <w:t xml:space="preserve">Technical assistance will be provided to the States/UTs for implementing different community engagement strategies from time to time through guidelines, trainings and allotment of technical support agencies. </w:t>
      </w:r>
    </w:p>
    <w:p w14:paraId="4AF32F05" w14:textId="77777777" w:rsidR="00C62BA7" w:rsidRDefault="00C62BA7" w:rsidP="00DE7A67">
      <w:pPr>
        <w:spacing w:before="0" w:after="0"/>
        <w:rPr>
          <w:rFonts w:asciiTheme="minorHAnsi" w:hAnsiTheme="minorHAnsi" w:cstheme="minorHAnsi"/>
          <w:b/>
          <w:bCs/>
          <w:sz w:val="22"/>
        </w:rPr>
      </w:pPr>
    </w:p>
    <w:p w14:paraId="39AC6951" w14:textId="77777777" w:rsidR="00663954" w:rsidRPr="00663954" w:rsidRDefault="00663954" w:rsidP="009136E5">
      <w:pPr>
        <w:pStyle w:val="ListParagraph"/>
        <w:numPr>
          <w:ilvl w:val="1"/>
          <w:numId w:val="75"/>
        </w:numPr>
        <w:spacing w:before="0" w:after="0"/>
        <w:jc w:val="both"/>
        <w:rPr>
          <w:rFonts w:asciiTheme="minorHAnsi" w:hAnsiTheme="minorHAnsi" w:cstheme="minorHAnsi"/>
          <w:b/>
          <w:vanish/>
          <w:sz w:val="22"/>
        </w:rPr>
      </w:pPr>
    </w:p>
    <w:p w14:paraId="5FA0D377" w14:textId="5A20DC33" w:rsidR="00990B54" w:rsidRPr="00663954" w:rsidRDefault="00990B54" w:rsidP="009136E5">
      <w:pPr>
        <w:pStyle w:val="ListParagraph"/>
        <w:numPr>
          <w:ilvl w:val="2"/>
          <w:numId w:val="75"/>
        </w:numPr>
        <w:spacing w:before="0" w:after="0"/>
        <w:ind w:left="504"/>
        <w:jc w:val="both"/>
        <w:rPr>
          <w:rFonts w:asciiTheme="minorHAnsi" w:hAnsiTheme="minorHAnsi" w:cstheme="minorHAnsi"/>
          <w:sz w:val="22"/>
        </w:rPr>
      </w:pPr>
      <w:r w:rsidRPr="00663954">
        <w:rPr>
          <w:rFonts w:asciiTheme="minorHAnsi" w:hAnsiTheme="minorHAnsi" w:cstheme="minorHAnsi"/>
          <w:b/>
          <w:sz w:val="22"/>
        </w:rPr>
        <w:t>Amplifying and scaling up active engagement of communities affected by Tuberculosis, especially TB survivors and key populations in the programme.</w:t>
      </w:r>
    </w:p>
    <w:p w14:paraId="4E9C9D46" w14:textId="77777777" w:rsidR="00F72F44" w:rsidRDefault="00F72F4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Capacity building of TB survivors and key population representatives as TB Champions</w:t>
      </w:r>
      <w:r>
        <w:rPr>
          <w:rFonts w:asciiTheme="minorHAnsi" w:hAnsiTheme="minorHAnsi" w:cstheme="minorHAnsi"/>
          <w:sz w:val="22"/>
        </w:rPr>
        <w:t xml:space="preserve"> in TB treatment literacy, advocacy, counselling, health financing, community-led monitoring and human rights</w:t>
      </w:r>
      <w:r w:rsidRPr="00990B54">
        <w:rPr>
          <w:rFonts w:asciiTheme="minorHAnsi" w:hAnsiTheme="minorHAnsi" w:cstheme="minorHAnsi"/>
          <w:sz w:val="22"/>
        </w:rPr>
        <w:t xml:space="preserve"> and engaging them in programme planning, implementation,</w:t>
      </w:r>
      <w:r>
        <w:rPr>
          <w:rFonts w:asciiTheme="minorHAnsi" w:hAnsiTheme="minorHAnsi" w:cstheme="minorHAnsi"/>
          <w:sz w:val="22"/>
        </w:rPr>
        <w:t xml:space="preserve"> </w:t>
      </w:r>
      <w:r w:rsidRPr="00990B54">
        <w:rPr>
          <w:rFonts w:asciiTheme="minorHAnsi" w:hAnsiTheme="minorHAnsi" w:cstheme="minorHAnsi"/>
          <w:sz w:val="22"/>
        </w:rPr>
        <w:t>monitoring</w:t>
      </w:r>
      <w:r>
        <w:rPr>
          <w:rFonts w:asciiTheme="minorHAnsi" w:hAnsiTheme="minorHAnsi" w:cstheme="minorHAnsi"/>
          <w:sz w:val="22"/>
        </w:rPr>
        <w:t xml:space="preserve"> and review. </w:t>
      </w:r>
    </w:p>
    <w:p w14:paraId="5F2B75C7" w14:textId="7F29DFD9" w:rsidR="007D3FE2" w:rsidRPr="00017309" w:rsidRDefault="007D3FE2" w:rsidP="009136E5">
      <w:pPr>
        <w:pStyle w:val="ListParagraph"/>
        <w:numPr>
          <w:ilvl w:val="3"/>
          <w:numId w:val="75"/>
        </w:numPr>
        <w:ind w:left="1260" w:hanging="720"/>
        <w:jc w:val="both"/>
        <w:rPr>
          <w:rFonts w:asciiTheme="minorHAnsi" w:hAnsiTheme="minorHAnsi" w:cstheme="minorHAnsi"/>
          <w:sz w:val="22"/>
        </w:rPr>
      </w:pPr>
      <w:r w:rsidRPr="007D3FE2">
        <w:rPr>
          <w:rFonts w:asciiTheme="minorHAnsi" w:hAnsiTheme="minorHAnsi" w:cstheme="minorHAnsi"/>
          <w:sz w:val="22"/>
        </w:rPr>
        <w:t>National, State and District TB forums to be empowered to monitor complaints from patients and action taken on them</w:t>
      </w:r>
      <w:r w:rsidR="00017309">
        <w:rPr>
          <w:rFonts w:asciiTheme="minorHAnsi" w:hAnsiTheme="minorHAnsi" w:cstheme="minorHAnsi"/>
          <w:sz w:val="22"/>
        </w:rPr>
        <w:t xml:space="preserve">. </w:t>
      </w:r>
      <w:r w:rsidR="00017309" w:rsidRPr="00017309">
        <w:rPr>
          <w:rFonts w:asciiTheme="minorHAnsi" w:hAnsiTheme="minorHAnsi" w:cstheme="minorHAnsi"/>
          <w:sz w:val="22"/>
        </w:rPr>
        <w:t xml:space="preserve">The </w:t>
      </w:r>
      <w:r w:rsidR="00017309" w:rsidRPr="00017309">
        <w:rPr>
          <w:rFonts w:asciiTheme="minorHAnsi" w:hAnsiTheme="minorHAnsi" w:cstheme="minorHAnsi"/>
          <w:bCs/>
          <w:sz w:val="22"/>
        </w:rPr>
        <w:t>Call Centre will solicit patient feedback to be all patients (public and private) in the first month of initiation of treatment and in the 6</w:t>
      </w:r>
      <w:r w:rsidR="00017309" w:rsidRPr="00017309">
        <w:rPr>
          <w:rFonts w:asciiTheme="minorHAnsi" w:hAnsiTheme="minorHAnsi" w:cstheme="minorHAnsi"/>
          <w:bCs/>
          <w:sz w:val="22"/>
          <w:vertAlign w:val="superscript"/>
        </w:rPr>
        <w:t>th</w:t>
      </w:r>
      <w:r w:rsidR="00017309" w:rsidRPr="00017309">
        <w:rPr>
          <w:rFonts w:asciiTheme="minorHAnsi" w:hAnsiTheme="minorHAnsi" w:cstheme="minorHAnsi"/>
          <w:bCs/>
          <w:sz w:val="22"/>
        </w:rPr>
        <w:t xml:space="preserve"> month through the call center.</w:t>
      </w:r>
    </w:p>
    <w:p w14:paraId="6CC7AB06" w14:textId="04B755D4" w:rsidR="007D3FE2" w:rsidRPr="007D3FE2" w:rsidRDefault="007D3FE2" w:rsidP="009136E5">
      <w:pPr>
        <w:pStyle w:val="ListParagraph"/>
        <w:numPr>
          <w:ilvl w:val="3"/>
          <w:numId w:val="75"/>
        </w:numPr>
        <w:ind w:left="1260" w:hanging="720"/>
        <w:jc w:val="both"/>
        <w:rPr>
          <w:rFonts w:asciiTheme="minorHAnsi" w:hAnsiTheme="minorHAnsi" w:cstheme="minorHAnsi"/>
          <w:sz w:val="22"/>
        </w:rPr>
      </w:pPr>
      <w:r w:rsidRPr="007D3FE2">
        <w:rPr>
          <w:rFonts w:asciiTheme="minorHAnsi" w:hAnsiTheme="minorHAnsi" w:cstheme="minorHAnsi"/>
          <w:sz w:val="22"/>
        </w:rPr>
        <w:t>Handholding of District TB forum in EAG states through non- state players (e.g. REACH) to attain pre-set benchmarks of community empowerment and participation</w:t>
      </w:r>
    </w:p>
    <w:p w14:paraId="4557D2E1" w14:textId="0665E67D"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Capacity building and facilitating involvement of TB Champions (1) in TB service delivery as peer counsellors and facilitators of Peer Support Groups, (2) for supporting community-based advocacy</w:t>
      </w:r>
      <w:r w:rsidR="00F72F44">
        <w:rPr>
          <w:rFonts w:asciiTheme="minorHAnsi" w:hAnsiTheme="minorHAnsi" w:cstheme="minorHAnsi"/>
          <w:sz w:val="22"/>
        </w:rPr>
        <w:t xml:space="preserve"> in identifying and recording incidents of human rights infringements</w:t>
      </w:r>
      <w:r w:rsidR="00F72F44" w:rsidRPr="00990B54">
        <w:rPr>
          <w:rFonts w:asciiTheme="minorHAnsi" w:hAnsiTheme="minorHAnsi" w:cstheme="minorHAnsi"/>
          <w:sz w:val="22"/>
        </w:rPr>
        <w:t xml:space="preserve"> and</w:t>
      </w:r>
      <w:r w:rsidR="00F72F44">
        <w:rPr>
          <w:rFonts w:asciiTheme="minorHAnsi" w:hAnsiTheme="minorHAnsi" w:cstheme="minorHAnsi"/>
          <w:sz w:val="22"/>
        </w:rPr>
        <w:t xml:space="preserve"> building</w:t>
      </w:r>
      <w:r w:rsidRPr="00990B54">
        <w:rPr>
          <w:rFonts w:asciiTheme="minorHAnsi" w:hAnsiTheme="minorHAnsi" w:cstheme="minorHAnsi"/>
          <w:sz w:val="22"/>
        </w:rPr>
        <w:t xml:space="preserve"> social movement at grass root levels for ending TB and TB related stigma and discrimination.</w:t>
      </w:r>
    </w:p>
    <w:p w14:paraId="5541CEFD"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lastRenderedPageBreak/>
        <w:t>Recognition to and felicitation of TB Champions for their contribution to the TB response.</w:t>
      </w:r>
    </w:p>
    <w:p w14:paraId="58AEA42A"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Strengthening national, state and district PMUs for facilitating engagement of TB affected communities in the programme.</w:t>
      </w:r>
    </w:p>
    <w:p w14:paraId="3EDCBA72" w14:textId="60400A06" w:rsidR="00990B54" w:rsidRDefault="00990B54" w:rsidP="009136E5">
      <w:pPr>
        <w:pStyle w:val="ListParagraph"/>
        <w:numPr>
          <w:ilvl w:val="3"/>
          <w:numId w:val="75"/>
        </w:numPr>
        <w:ind w:left="1267" w:hanging="720"/>
        <w:contextualSpacing w:val="0"/>
        <w:jc w:val="both"/>
        <w:rPr>
          <w:rFonts w:asciiTheme="minorHAnsi" w:hAnsiTheme="minorHAnsi" w:cstheme="minorHAnsi"/>
          <w:sz w:val="22"/>
        </w:rPr>
      </w:pPr>
      <w:r w:rsidRPr="00990B54">
        <w:rPr>
          <w:rFonts w:asciiTheme="minorHAnsi" w:hAnsiTheme="minorHAnsi" w:cstheme="minorHAnsi"/>
          <w:sz w:val="22"/>
        </w:rPr>
        <w:t>Sensitizing various stakeholders on role of TB affected communities in the programme.</w:t>
      </w:r>
      <w:r w:rsidR="00CF25E9">
        <w:rPr>
          <w:rFonts w:asciiTheme="minorHAnsi" w:hAnsiTheme="minorHAnsi" w:cstheme="minorHAnsi"/>
          <w:sz w:val="22"/>
        </w:rPr>
        <w:t xml:space="preserve"> </w:t>
      </w:r>
    </w:p>
    <w:p w14:paraId="04DE53C3" w14:textId="58CB2F36" w:rsidR="00CF25E9" w:rsidRPr="00CF25E9" w:rsidRDefault="00CF25E9" w:rsidP="009136E5">
      <w:pPr>
        <w:pStyle w:val="ListParagraph"/>
        <w:numPr>
          <w:ilvl w:val="3"/>
          <w:numId w:val="75"/>
        </w:numPr>
        <w:ind w:left="1267" w:hanging="720"/>
        <w:contextualSpacing w:val="0"/>
        <w:jc w:val="both"/>
        <w:rPr>
          <w:rFonts w:asciiTheme="minorHAnsi" w:hAnsiTheme="minorHAnsi" w:cstheme="minorHAnsi"/>
          <w:sz w:val="22"/>
        </w:rPr>
      </w:pPr>
      <w:r>
        <w:rPr>
          <w:rFonts w:asciiTheme="minorHAnsi" w:hAnsiTheme="minorHAnsi" w:cstheme="minorHAnsi"/>
          <w:sz w:val="22"/>
        </w:rPr>
        <w:t xml:space="preserve">Engagement and capacity building of TB survivors and Key population representatives in measuring incidents of stigma and developing strategies to reduce TB stigma in the community. </w:t>
      </w:r>
    </w:p>
    <w:p w14:paraId="34E9836D" w14:textId="7EE69247" w:rsidR="00990B54" w:rsidRPr="00FE6B8F" w:rsidRDefault="00990B54" w:rsidP="009136E5">
      <w:pPr>
        <w:pStyle w:val="ListParagraph"/>
        <w:numPr>
          <w:ilvl w:val="2"/>
          <w:numId w:val="75"/>
        </w:numPr>
        <w:spacing w:before="0" w:after="0"/>
        <w:ind w:left="504"/>
        <w:jc w:val="both"/>
        <w:rPr>
          <w:rFonts w:asciiTheme="minorHAnsi" w:hAnsiTheme="minorHAnsi" w:cstheme="minorHAnsi"/>
          <w:b/>
          <w:sz w:val="22"/>
        </w:rPr>
      </w:pPr>
      <w:r w:rsidRPr="00FE6B8F">
        <w:rPr>
          <w:rFonts w:asciiTheme="minorHAnsi" w:hAnsiTheme="minorHAnsi" w:cstheme="minorHAnsi"/>
          <w:b/>
          <w:sz w:val="22"/>
        </w:rPr>
        <w:t>Widening community participation in the mission to end TB through</w:t>
      </w:r>
    </w:p>
    <w:p w14:paraId="7D63C888" w14:textId="6DFF1705"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 xml:space="preserve">Expansion of community-based services for prevention and management of TB through Ayushman Bharat Health </w:t>
      </w:r>
      <w:r w:rsidR="00AF41B5">
        <w:rPr>
          <w:rFonts w:asciiTheme="minorHAnsi" w:hAnsiTheme="minorHAnsi" w:cstheme="minorHAnsi"/>
          <w:sz w:val="22"/>
        </w:rPr>
        <w:t>and</w:t>
      </w:r>
      <w:r w:rsidRPr="00990B54">
        <w:rPr>
          <w:rFonts w:asciiTheme="minorHAnsi" w:hAnsiTheme="minorHAnsi" w:cstheme="minorHAnsi"/>
          <w:sz w:val="22"/>
        </w:rPr>
        <w:t xml:space="preserve"> Wellness Centres (AB-HWCs). </w:t>
      </w:r>
    </w:p>
    <w:p w14:paraId="781104BC" w14:textId="4499D89E"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 xml:space="preserve">Building capacity of AB-HWCs and supporting them in facilitating localized people’s movements for ending TB and mitigating TB related stigma and discrimination. Programme shall work with Ministries of Panchayati Raj </w:t>
      </w:r>
      <w:r w:rsidR="00AF41B5">
        <w:rPr>
          <w:rFonts w:asciiTheme="minorHAnsi" w:hAnsiTheme="minorHAnsi" w:cstheme="minorHAnsi"/>
          <w:sz w:val="22"/>
        </w:rPr>
        <w:t>and</w:t>
      </w:r>
      <w:r w:rsidRPr="00990B54">
        <w:rPr>
          <w:rFonts w:asciiTheme="minorHAnsi" w:hAnsiTheme="minorHAnsi" w:cstheme="minorHAnsi"/>
          <w:sz w:val="22"/>
        </w:rPr>
        <w:t xml:space="preserve"> Urban Affairs to jointly recognize and publicize such contribution (</w:t>
      </w:r>
      <w:r w:rsidR="00F51523" w:rsidRPr="00990B54">
        <w:rPr>
          <w:rFonts w:asciiTheme="minorHAnsi" w:hAnsiTheme="minorHAnsi" w:cstheme="minorHAnsi"/>
          <w:sz w:val="22"/>
        </w:rPr>
        <w:t>e.g.</w:t>
      </w:r>
      <w:r w:rsidRPr="00990B54">
        <w:rPr>
          <w:rFonts w:asciiTheme="minorHAnsi" w:hAnsiTheme="minorHAnsi" w:cstheme="minorHAnsi"/>
          <w:sz w:val="22"/>
        </w:rPr>
        <w:t xml:space="preserve">: Nirmal Puraskar is given to Panchayats, Blocks </w:t>
      </w:r>
      <w:r w:rsidR="00AF41B5">
        <w:rPr>
          <w:rFonts w:asciiTheme="minorHAnsi" w:hAnsiTheme="minorHAnsi" w:cstheme="minorHAnsi"/>
          <w:sz w:val="22"/>
        </w:rPr>
        <w:t>and</w:t>
      </w:r>
      <w:r w:rsidRPr="00990B54">
        <w:rPr>
          <w:rFonts w:asciiTheme="minorHAnsi" w:hAnsiTheme="minorHAnsi" w:cstheme="minorHAnsi"/>
          <w:sz w:val="22"/>
        </w:rPr>
        <w:t xml:space="preserve"> Districts, similar recognition can be given for efforts in TB also).</w:t>
      </w:r>
    </w:p>
    <w:p w14:paraId="3FEF9FE6" w14:textId="1F801981"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Involving existing community structures (</w:t>
      </w:r>
      <w:r w:rsidR="00F51523" w:rsidRPr="00990B54">
        <w:rPr>
          <w:rFonts w:asciiTheme="minorHAnsi" w:hAnsiTheme="minorHAnsi" w:cstheme="minorHAnsi"/>
          <w:sz w:val="22"/>
        </w:rPr>
        <w:t>e.g.</w:t>
      </w:r>
      <w:r w:rsidRPr="00990B54">
        <w:rPr>
          <w:rFonts w:asciiTheme="minorHAnsi" w:hAnsiTheme="minorHAnsi" w:cstheme="minorHAnsi"/>
          <w:sz w:val="22"/>
        </w:rPr>
        <w:t xml:space="preserve">: VHSNC, MAS, Self Help Groups, Trade/employment-based associations, Faith Based Organizations, Village Level Task Forces in North Eastern States, </w:t>
      </w:r>
      <w:r w:rsidR="00F51523" w:rsidRPr="00990B54">
        <w:rPr>
          <w:rFonts w:asciiTheme="minorHAnsi" w:hAnsiTheme="minorHAnsi" w:cstheme="minorHAnsi"/>
          <w:sz w:val="22"/>
        </w:rPr>
        <w:t>etc.</w:t>
      </w:r>
      <w:r w:rsidRPr="00990B54">
        <w:rPr>
          <w:rFonts w:asciiTheme="minorHAnsi" w:hAnsiTheme="minorHAnsi" w:cstheme="minorHAnsi"/>
          <w:sz w:val="22"/>
        </w:rPr>
        <w:t xml:space="preserve">) at appropriate levels for awareness generation, early diagnosis, social support, etc. Programme will provide guidance and support to State/District/Sub-district for engagement with such </w:t>
      </w:r>
      <w:r w:rsidR="00F51523" w:rsidRPr="00990B54">
        <w:rPr>
          <w:rFonts w:asciiTheme="minorHAnsi" w:hAnsiTheme="minorHAnsi" w:cstheme="minorHAnsi"/>
          <w:sz w:val="22"/>
        </w:rPr>
        <w:t>organizations</w:t>
      </w:r>
      <w:r w:rsidRPr="00990B54">
        <w:rPr>
          <w:rFonts w:asciiTheme="minorHAnsi" w:hAnsiTheme="minorHAnsi" w:cstheme="minorHAnsi"/>
          <w:sz w:val="22"/>
        </w:rPr>
        <w:t>.</w:t>
      </w:r>
    </w:p>
    <w:p w14:paraId="66D62148" w14:textId="165F46D3"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Working with concerned Departments/Ministries for including TB related agenda to the work of health/non-health community-based interventions by Government of India/States. Other such interventions and potential collaboration will be identified at national/state level and action plans will be prepared jointly with the concerned Ministry/department (</w:t>
      </w:r>
      <w:r w:rsidR="00F51523" w:rsidRPr="00990B54">
        <w:rPr>
          <w:rFonts w:asciiTheme="minorHAnsi" w:hAnsiTheme="minorHAnsi" w:cstheme="minorHAnsi"/>
          <w:sz w:val="22"/>
        </w:rPr>
        <w:t>e.g.</w:t>
      </w:r>
      <w:r w:rsidRPr="00990B54">
        <w:rPr>
          <w:rFonts w:asciiTheme="minorHAnsi" w:hAnsiTheme="minorHAnsi" w:cstheme="minorHAnsi"/>
          <w:sz w:val="22"/>
        </w:rPr>
        <w:t xml:space="preserve">: VHND, Nutritional Rehabilitation Services, Swacch Bharat Mission, Ujjwala scheme, MNREGA, Programmes of Ministry of Social Justice, </w:t>
      </w:r>
      <w:r w:rsidR="00F51523" w:rsidRPr="00990B54">
        <w:rPr>
          <w:rFonts w:asciiTheme="minorHAnsi" w:hAnsiTheme="minorHAnsi" w:cstheme="minorHAnsi"/>
          <w:sz w:val="22"/>
        </w:rPr>
        <w:t>etc.</w:t>
      </w:r>
      <w:r w:rsidRPr="00990B54">
        <w:rPr>
          <w:rFonts w:asciiTheme="minorHAnsi" w:hAnsiTheme="minorHAnsi" w:cstheme="minorHAnsi"/>
          <w:sz w:val="22"/>
        </w:rPr>
        <w:t>)</w:t>
      </w:r>
    </w:p>
    <w:p w14:paraId="3FC7A21F"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 xml:space="preserve">Participatory development and implementation of differential interventions for addressing TB among key populations with support from relevant stakeholders </w:t>
      </w:r>
    </w:p>
    <w:p w14:paraId="68A3465E" w14:textId="469D28FE" w:rsidR="00990B54" w:rsidRPr="00C20ECB" w:rsidRDefault="00990B54" w:rsidP="009136E5">
      <w:pPr>
        <w:pStyle w:val="ListParagraph"/>
        <w:numPr>
          <w:ilvl w:val="3"/>
          <w:numId w:val="75"/>
        </w:numPr>
        <w:ind w:left="1267" w:hanging="720"/>
        <w:contextualSpacing w:val="0"/>
        <w:jc w:val="both"/>
        <w:rPr>
          <w:rFonts w:asciiTheme="minorHAnsi" w:hAnsiTheme="minorHAnsi" w:cstheme="minorHAnsi"/>
          <w:sz w:val="22"/>
        </w:rPr>
      </w:pPr>
      <w:r w:rsidRPr="00C20ECB">
        <w:rPr>
          <w:rFonts w:asciiTheme="minorHAnsi" w:hAnsiTheme="minorHAnsi" w:cstheme="minorHAnsi"/>
          <w:sz w:val="22"/>
        </w:rPr>
        <w:t xml:space="preserve">Identifying and facilitating interventions for reducing vulnerability to TB (including nutrition, housing, access to care for co-morbidities, </w:t>
      </w:r>
      <w:r w:rsidR="00F51523" w:rsidRPr="00C20ECB">
        <w:rPr>
          <w:rFonts w:asciiTheme="minorHAnsi" w:hAnsiTheme="minorHAnsi" w:cstheme="minorHAnsi"/>
          <w:sz w:val="22"/>
        </w:rPr>
        <w:t>etc.</w:t>
      </w:r>
      <w:r w:rsidRPr="00C20ECB">
        <w:rPr>
          <w:rFonts w:asciiTheme="minorHAnsi" w:hAnsiTheme="minorHAnsi" w:cstheme="minorHAnsi"/>
          <w:sz w:val="22"/>
        </w:rPr>
        <w:t>)</w:t>
      </w:r>
      <w:r w:rsidR="00C20ECB" w:rsidRPr="00C20ECB">
        <w:rPr>
          <w:rFonts w:asciiTheme="minorHAnsi" w:hAnsiTheme="minorHAnsi" w:cstheme="minorHAnsi"/>
          <w:sz w:val="22"/>
        </w:rPr>
        <w:t xml:space="preserve"> with focus on tapping into major Partner initiatives beyond TB which focus on poverty reduction related activities</w:t>
      </w:r>
    </w:p>
    <w:p w14:paraId="5ACF6C73" w14:textId="6BFE8199" w:rsidR="00990B54" w:rsidRPr="00FE6B8F" w:rsidRDefault="00990B54" w:rsidP="009136E5">
      <w:pPr>
        <w:pStyle w:val="ListParagraph"/>
        <w:numPr>
          <w:ilvl w:val="2"/>
          <w:numId w:val="75"/>
        </w:numPr>
        <w:spacing w:before="0" w:after="0"/>
        <w:ind w:left="504"/>
        <w:jc w:val="both"/>
        <w:rPr>
          <w:rFonts w:asciiTheme="minorHAnsi" w:hAnsiTheme="minorHAnsi" w:cstheme="minorHAnsi"/>
          <w:b/>
          <w:sz w:val="22"/>
        </w:rPr>
      </w:pPr>
      <w:r w:rsidRPr="00FE6B8F">
        <w:rPr>
          <w:rFonts w:asciiTheme="minorHAnsi" w:hAnsiTheme="minorHAnsi" w:cstheme="minorHAnsi"/>
          <w:b/>
          <w:sz w:val="22"/>
        </w:rPr>
        <w:t xml:space="preserve">Building new need-based collaborations and strengthening current partnerships at national and sub-national levels with Community-Based and Civil Society </w:t>
      </w:r>
      <w:r w:rsidR="00F51523" w:rsidRPr="00FE6B8F">
        <w:rPr>
          <w:rFonts w:asciiTheme="minorHAnsi" w:hAnsiTheme="minorHAnsi" w:cstheme="minorHAnsi"/>
          <w:b/>
          <w:sz w:val="22"/>
        </w:rPr>
        <w:t>Organizations</w:t>
      </w:r>
      <w:r w:rsidRPr="00FE6B8F">
        <w:rPr>
          <w:rFonts w:asciiTheme="minorHAnsi" w:hAnsiTheme="minorHAnsi" w:cstheme="minorHAnsi"/>
          <w:b/>
          <w:sz w:val="22"/>
        </w:rPr>
        <w:t xml:space="preserve"> (CBO and CSO) for expanding and deepening community engagement, including innovative strategies and interventions. </w:t>
      </w:r>
    </w:p>
    <w:p w14:paraId="62804B9F"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Mapping of potential CSOs/CBOs at National/State/District level and creating a panel of CSOs/CBOs for partnering with government on identified areas.</w:t>
      </w:r>
    </w:p>
    <w:p w14:paraId="6EE1F66A" w14:textId="520CA39C"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Need based partnerships with such organizations based on agreed</w:t>
      </w:r>
      <w:r w:rsidR="00F476CA">
        <w:rPr>
          <w:rFonts w:asciiTheme="minorHAnsi" w:hAnsiTheme="minorHAnsi" w:cstheme="minorHAnsi"/>
          <w:sz w:val="22"/>
        </w:rPr>
        <w:t xml:space="preserve"> upon</w:t>
      </w:r>
      <w:r w:rsidRPr="00990B54">
        <w:rPr>
          <w:rFonts w:asciiTheme="minorHAnsi" w:hAnsiTheme="minorHAnsi" w:cstheme="minorHAnsi"/>
          <w:sz w:val="22"/>
        </w:rPr>
        <w:t xml:space="preserve"> strategies, outputs and outcomes for (1) providing </w:t>
      </w:r>
      <w:r w:rsidR="00B35587">
        <w:rPr>
          <w:rFonts w:asciiTheme="minorHAnsi" w:hAnsiTheme="minorHAnsi" w:cstheme="minorHAnsi"/>
          <w:sz w:val="22"/>
        </w:rPr>
        <w:t>TA</w:t>
      </w:r>
      <w:r w:rsidRPr="00990B54">
        <w:rPr>
          <w:rFonts w:asciiTheme="minorHAnsi" w:hAnsiTheme="minorHAnsi" w:cstheme="minorHAnsi"/>
          <w:sz w:val="22"/>
        </w:rPr>
        <w:t xml:space="preserve"> to National/State/District governments on Community Engagement, (2) planning, implementing, monitoring and evaluating community based interventions,  (3) capacity building of community and relevant stakeholders, (4) facilitating community involvement in decision making, and (5) advocacy for patient </w:t>
      </w:r>
      <w:r w:rsidR="00F51523" w:rsidRPr="00990B54">
        <w:rPr>
          <w:rFonts w:asciiTheme="minorHAnsi" w:hAnsiTheme="minorHAnsi" w:cstheme="minorHAnsi"/>
          <w:sz w:val="22"/>
        </w:rPr>
        <w:t>centered</w:t>
      </w:r>
      <w:r w:rsidRPr="00990B54">
        <w:rPr>
          <w:rFonts w:asciiTheme="minorHAnsi" w:hAnsiTheme="minorHAnsi" w:cstheme="minorHAnsi"/>
          <w:sz w:val="22"/>
        </w:rPr>
        <w:t xml:space="preserve"> care. </w:t>
      </w:r>
    </w:p>
    <w:p w14:paraId="6DB730AC"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Capacity building of national and sub-national agencies in entering and managing partnerships with CSOs/CBOs.</w:t>
      </w:r>
    </w:p>
    <w:p w14:paraId="27D3338B" w14:textId="77777777" w:rsidR="00990B54" w:rsidRPr="00990B54" w:rsidRDefault="00990B54" w:rsidP="009136E5">
      <w:pPr>
        <w:pStyle w:val="ListParagraph"/>
        <w:numPr>
          <w:ilvl w:val="3"/>
          <w:numId w:val="75"/>
        </w:numPr>
        <w:ind w:left="1267" w:hanging="720"/>
        <w:contextualSpacing w:val="0"/>
        <w:jc w:val="both"/>
        <w:rPr>
          <w:rFonts w:asciiTheme="minorHAnsi" w:hAnsiTheme="minorHAnsi" w:cstheme="minorHAnsi"/>
          <w:sz w:val="22"/>
        </w:rPr>
      </w:pPr>
      <w:r w:rsidRPr="00990B54">
        <w:rPr>
          <w:rFonts w:asciiTheme="minorHAnsi" w:hAnsiTheme="minorHAnsi" w:cstheme="minorHAnsi"/>
          <w:sz w:val="22"/>
        </w:rPr>
        <w:t>Promoting innovations by CBOs and NGOs by supporting a challenge fund (either through programme funding or through other mechanisms such as CSR).</w:t>
      </w:r>
    </w:p>
    <w:p w14:paraId="6C6D151D" w14:textId="77777777" w:rsidR="00990B54" w:rsidRPr="00FE6B8F" w:rsidRDefault="00990B54" w:rsidP="009136E5">
      <w:pPr>
        <w:pStyle w:val="ListParagraph"/>
        <w:numPr>
          <w:ilvl w:val="2"/>
          <w:numId w:val="75"/>
        </w:numPr>
        <w:spacing w:before="0" w:after="0"/>
        <w:ind w:left="504"/>
        <w:jc w:val="both"/>
        <w:rPr>
          <w:rFonts w:asciiTheme="minorHAnsi" w:hAnsiTheme="minorHAnsi" w:cstheme="minorHAnsi"/>
          <w:b/>
          <w:sz w:val="22"/>
        </w:rPr>
      </w:pPr>
      <w:r w:rsidRPr="00FE6B8F">
        <w:rPr>
          <w:rFonts w:asciiTheme="minorHAnsi" w:hAnsiTheme="minorHAnsi" w:cstheme="minorHAnsi"/>
          <w:b/>
          <w:sz w:val="22"/>
        </w:rPr>
        <w:lastRenderedPageBreak/>
        <w:t xml:space="preserve">Instituting mechanisms at various levels for ensuring accountability of the health system to the community and making the programme responsive to the community needs. </w:t>
      </w:r>
    </w:p>
    <w:p w14:paraId="2FCFED87"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Strengthening role and functioning of TB Forums at national, state, district and sub-district levels as platforms for community to raise, discuss and facilitate/seek solutions to issues faced by the community in addressing TB and ensuring quality of TB services.</w:t>
      </w:r>
    </w:p>
    <w:p w14:paraId="56D80E69" w14:textId="77777777" w:rsidR="00990B54" w:rsidRPr="00990B54" w:rsidRDefault="00990B54" w:rsidP="009136E5">
      <w:pPr>
        <w:pStyle w:val="ListParagraph"/>
        <w:numPr>
          <w:ilvl w:val="2"/>
          <w:numId w:val="82"/>
        </w:numPr>
        <w:jc w:val="both"/>
        <w:rPr>
          <w:rFonts w:asciiTheme="minorHAnsi" w:hAnsiTheme="minorHAnsi" w:cstheme="minorHAnsi"/>
          <w:sz w:val="22"/>
        </w:rPr>
      </w:pPr>
      <w:r w:rsidRPr="00990B54">
        <w:rPr>
          <w:rFonts w:asciiTheme="minorHAnsi" w:hAnsiTheme="minorHAnsi" w:cstheme="minorHAnsi"/>
          <w:sz w:val="22"/>
        </w:rPr>
        <w:t>Designating Civil Society representative as co-chair of TB forums and ensuring diversity in terms of gender and key populations.</w:t>
      </w:r>
    </w:p>
    <w:p w14:paraId="39ADBF17" w14:textId="77777777" w:rsidR="00990B54" w:rsidRPr="00990B54" w:rsidRDefault="00990B54" w:rsidP="009136E5">
      <w:pPr>
        <w:pStyle w:val="ListParagraph"/>
        <w:numPr>
          <w:ilvl w:val="2"/>
          <w:numId w:val="82"/>
        </w:numPr>
        <w:jc w:val="both"/>
        <w:rPr>
          <w:rFonts w:asciiTheme="minorHAnsi" w:hAnsiTheme="minorHAnsi" w:cstheme="minorHAnsi"/>
          <w:sz w:val="22"/>
        </w:rPr>
      </w:pPr>
      <w:r w:rsidRPr="00990B54">
        <w:rPr>
          <w:rFonts w:asciiTheme="minorHAnsi" w:hAnsiTheme="minorHAnsi" w:cstheme="minorHAnsi"/>
          <w:sz w:val="22"/>
        </w:rPr>
        <w:t>Representation of State TB Forums in National TB Forum, of District TB Forums in State TB forum and Sub-district forums in District TB forum on rotational basis.</w:t>
      </w:r>
    </w:p>
    <w:p w14:paraId="5988B33D" w14:textId="77777777" w:rsidR="00990B54" w:rsidRPr="00990B54" w:rsidRDefault="00990B54" w:rsidP="009136E5">
      <w:pPr>
        <w:pStyle w:val="ListParagraph"/>
        <w:numPr>
          <w:ilvl w:val="2"/>
          <w:numId w:val="82"/>
        </w:numPr>
        <w:jc w:val="both"/>
        <w:rPr>
          <w:rFonts w:asciiTheme="minorHAnsi" w:hAnsiTheme="minorHAnsi" w:cstheme="minorHAnsi"/>
          <w:sz w:val="22"/>
        </w:rPr>
      </w:pPr>
      <w:r w:rsidRPr="00990B54">
        <w:rPr>
          <w:rFonts w:asciiTheme="minorHAnsi" w:hAnsiTheme="minorHAnsi" w:cstheme="minorHAnsi"/>
          <w:sz w:val="22"/>
        </w:rPr>
        <w:t xml:space="preserve">Empowering National/State/District TB Forums to participate in National/State/District level policy formulation, planning, monitoring and evaluation of programmatic interventions. </w:t>
      </w:r>
    </w:p>
    <w:p w14:paraId="6C511BDA" w14:textId="4B4C7E88" w:rsidR="00990B54" w:rsidRPr="00990B54" w:rsidRDefault="00990B54" w:rsidP="009136E5">
      <w:pPr>
        <w:pStyle w:val="ListParagraph"/>
        <w:numPr>
          <w:ilvl w:val="2"/>
          <w:numId w:val="82"/>
        </w:numPr>
        <w:jc w:val="both"/>
        <w:rPr>
          <w:rFonts w:asciiTheme="minorHAnsi" w:hAnsiTheme="minorHAnsi" w:cstheme="minorHAnsi"/>
          <w:sz w:val="22"/>
        </w:rPr>
      </w:pPr>
      <w:r w:rsidRPr="00990B54">
        <w:rPr>
          <w:rFonts w:asciiTheme="minorHAnsi" w:hAnsiTheme="minorHAnsi" w:cstheme="minorHAnsi"/>
          <w:sz w:val="22"/>
        </w:rPr>
        <w:t xml:space="preserve">Setting up a mechanism for systematic collection, analysis and time bound response to patient feedback on TB services (and integrating the same to health system functioning </w:t>
      </w:r>
      <w:r w:rsidR="00AF41B5">
        <w:rPr>
          <w:rFonts w:asciiTheme="minorHAnsi" w:hAnsiTheme="minorHAnsi" w:cstheme="minorHAnsi"/>
          <w:sz w:val="22"/>
        </w:rPr>
        <w:t>and</w:t>
      </w:r>
      <w:r w:rsidRPr="00990B54">
        <w:rPr>
          <w:rFonts w:asciiTheme="minorHAnsi" w:hAnsiTheme="minorHAnsi" w:cstheme="minorHAnsi"/>
          <w:sz w:val="22"/>
        </w:rPr>
        <w:t xml:space="preserve"> evaluation. This includes seeking feedback from all patients regularly and also periodic Patient Satisfaction Surveys</w:t>
      </w:r>
      <w:r w:rsidR="00C53210">
        <w:rPr>
          <w:rFonts w:asciiTheme="minorHAnsi" w:hAnsiTheme="minorHAnsi" w:cstheme="minorHAnsi"/>
          <w:sz w:val="22"/>
        </w:rPr>
        <w:t>.</w:t>
      </w:r>
      <w:r w:rsidRPr="00990B54">
        <w:rPr>
          <w:rFonts w:asciiTheme="minorHAnsi" w:hAnsiTheme="minorHAnsi" w:cstheme="minorHAnsi"/>
          <w:sz w:val="22"/>
        </w:rPr>
        <w:t xml:space="preserve"> </w:t>
      </w:r>
    </w:p>
    <w:p w14:paraId="7EA65B39" w14:textId="7CAB576E" w:rsidR="00990B54" w:rsidRPr="00990B54" w:rsidRDefault="00990B54" w:rsidP="009136E5">
      <w:pPr>
        <w:pStyle w:val="ListParagraph"/>
        <w:numPr>
          <w:ilvl w:val="2"/>
          <w:numId w:val="82"/>
        </w:numPr>
        <w:jc w:val="both"/>
        <w:rPr>
          <w:rFonts w:asciiTheme="minorHAnsi" w:hAnsiTheme="minorHAnsi" w:cstheme="minorHAnsi"/>
          <w:sz w:val="22"/>
        </w:rPr>
      </w:pPr>
      <w:r w:rsidRPr="00990B54">
        <w:rPr>
          <w:rFonts w:asciiTheme="minorHAnsi" w:hAnsiTheme="minorHAnsi" w:cstheme="minorHAnsi"/>
          <w:sz w:val="22"/>
        </w:rPr>
        <w:t xml:space="preserve">Periodic social audit in collaboration with Community Based </w:t>
      </w:r>
      <w:r w:rsidR="00663954" w:rsidRPr="00990B54">
        <w:rPr>
          <w:rFonts w:asciiTheme="minorHAnsi" w:hAnsiTheme="minorHAnsi" w:cstheme="minorHAnsi"/>
          <w:sz w:val="22"/>
        </w:rPr>
        <w:t>Organizations</w:t>
      </w:r>
      <w:r w:rsidRPr="00990B54">
        <w:rPr>
          <w:rFonts w:asciiTheme="minorHAnsi" w:hAnsiTheme="minorHAnsi" w:cstheme="minorHAnsi"/>
          <w:sz w:val="22"/>
        </w:rPr>
        <w:t xml:space="preserve"> and Civil Society </w:t>
      </w:r>
      <w:r w:rsidR="00663954" w:rsidRPr="00990B54">
        <w:rPr>
          <w:rFonts w:asciiTheme="minorHAnsi" w:hAnsiTheme="minorHAnsi" w:cstheme="minorHAnsi"/>
          <w:sz w:val="22"/>
        </w:rPr>
        <w:t>Organizations</w:t>
      </w:r>
      <w:r w:rsidRPr="00990B54">
        <w:rPr>
          <w:rFonts w:asciiTheme="minorHAnsi" w:hAnsiTheme="minorHAnsi" w:cstheme="minorHAnsi"/>
          <w:sz w:val="22"/>
        </w:rPr>
        <w:t xml:space="preserve"> </w:t>
      </w:r>
    </w:p>
    <w:p w14:paraId="0345D77E" w14:textId="77777777" w:rsidR="00187C6F" w:rsidRDefault="00187C6F" w:rsidP="009136E5">
      <w:pPr>
        <w:pStyle w:val="ListParagraph"/>
        <w:numPr>
          <w:ilvl w:val="1"/>
          <w:numId w:val="54"/>
        </w:numPr>
        <w:spacing w:before="0" w:after="0"/>
        <w:ind w:left="1440"/>
        <w:jc w:val="both"/>
        <w:rPr>
          <w:rFonts w:asciiTheme="minorHAnsi" w:hAnsiTheme="minorHAnsi" w:cstheme="minorHAnsi"/>
          <w:sz w:val="22"/>
        </w:rPr>
      </w:pPr>
      <w:r>
        <w:rPr>
          <w:rFonts w:asciiTheme="minorHAnsi" w:hAnsiTheme="minorHAnsi" w:cstheme="minorHAnsi"/>
          <w:sz w:val="22"/>
        </w:rPr>
        <w:t>Community led monitoring system using digital platforms</w:t>
      </w:r>
    </w:p>
    <w:p w14:paraId="4F06A29A" w14:textId="77777777" w:rsidR="00990B54" w:rsidRPr="00990B54" w:rsidRDefault="00990B54" w:rsidP="009136E5">
      <w:pPr>
        <w:pStyle w:val="ListParagraph"/>
        <w:numPr>
          <w:ilvl w:val="1"/>
          <w:numId w:val="54"/>
        </w:numPr>
        <w:spacing w:before="0" w:after="0"/>
        <w:ind w:left="1440"/>
        <w:jc w:val="both"/>
        <w:rPr>
          <w:rFonts w:asciiTheme="minorHAnsi" w:hAnsiTheme="minorHAnsi" w:cstheme="minorHAnsi"/>
          <w:sz w:val="22"/>
        </w:rPr>
      </w:pPr>
      <w:r w:rsidRPr="00990B54">
        <w:rPr>
          <w:rFonts w:asciiTheme="minorHAnsi" w:hAnsiTheme="minorHAnsi" w:cstheme="minorHAnsi"/>
          <w:sz w:val="22"/>
        </w:rPr>
        <w:t>Preparation of Community Score Card</w:t>
      </w:r>
    </w:p>
    <w:p w14:paraId="4C98C264" w14:textId="77777777" w:rsidR="00990B54" w:rsidRDefault="00990B54" w:rsidP="009136E5">
      <w:pPr>
        <w:pStyle w:val="ListParagraph"/>
        <w:numPr>
          <w:ilvl w:val="1"/>
          <w:numId w:val="54"/>
        </w:numPr>
        <w:spacing w:before="0" w:after="0"/>
        <w:ind w:left="1440"/>
        <w:contextualSpacing w:val="0"/>
        <w:jc w:val="both"/>
        <w:rPr>
          <w:rFonts w:asciiTheme="minorHAnsi" w:hAnsiTheme="minorHAnsi" w:cstheme="minorHAnsi"/>
          <w:sz w:val="22"/>
        </w:rPr>
      </w:pPr>
      <w:r w:rsidRPr="00990B54">
        <w:rPr>
          <w:rFonts w:asciiTheme="minorHAnsi" w:hAnsiTheme="minorHAnsi" w:cstheme="minorHAnsi"/>
          <w:sz w:val="22"/>
        </w:rPr>
        <w:t xml:space="preserve">Community TB death audit of minimum 25% of TB deaths. </w:t>
      </w:r>
    </w:p>
    <w:p w14:paraId="05DF1D7C" w14:textId="36041D73" w:rsidR="00CF25E9" w:rsidRPr="00CF25E9" w:rsidRDefault="00CF25E9" w:rsidP="009136E5">
      <w:pPr>
        <w:pStyle w:val="ListParagraph"/>
        <w:numPr>
          <w:ilvl w:val="1"/>
          <w:numId w:val="54"/>
        </w:numPr>
        <w:spacing w:before="0"/>
        <w:ind w:left="1440"/>
        <w:contextualSpacing w:val="0"/>
        <w:jc w:val="both"/>
        <w:rPr>
          <w:rFonts w:asciiTheme="minorHAnsi" w:hAnsiTheme="minorHAnsi" w:cstheme="minorHAnsi"/>
          <w:sz w:val="22"/>
        </w:rPr>
      </w:pPr>
      <w:r>
        <w:rPr>
          <w:rFonts w:asciiTheme="minorHAnsi" w:hAnsiTheme="minorHAnsi" w:cstheme="minorHAnsi"/>
          <w:sz w:val="22"/>
        </w:rPr>
        <w:t>TB Stigma Assessment baseline and action planning</w:t>
      </w:r>
      <w:r w:rsidRPr="00990B54">
        <w:rPr>
          <w:rFonts w:asciiTheme="minorHAnsi" w:hAnsiTheme="minorHAnsi" w:cstheme="minorHAnsi"/>
          <w:sz w:val="22"/>
        </w:rPr>
        <w:t xml:space="preserve"> </w:t>
      </w:r>
    </w:p>
    <w:p w14:paraId="1B664501" w14:textId="77777777" w:rsidR="00990B54" w:rsidRPr="003419EB" w:rsidRDefault="00990B54" w:rsidP="009136E5">
      <w:pPr>
        <w:pStyle w:val="ListParagraph"/>
        <w:numPr>
          <w:ilvl w:val="2"/>
          <w:numId w:val="75"/>
        </w:numPr>
        <w:spacing w:before="0" w:after="0"/>
        <w:ind w:left="504"/>
        <w:jc w:val="both"/>
        <w:rPr>
          <w:rFonts w:asciiTheme="minorHAnsi" w:hAnsiTheme="minorHAnsi" w:cstheme="minorHAnsi"/>
          <w:b/>
          <w:sz w:val="22"/>
        </w:rPr>
      </w:pPr>
      <w:r w:rsidRPr="003419EB">
        <w:rPr>
          <w:rFonts w:asciiTheme="minorHAnsi" w:hAnsiTheme="minorHAnsi" w:cstheme="minorHAnsi"/>
          <w:b/>
          <w:sz w:val="22"/>
        </w:rPr>
        <w:t xml:space="preserve">Exploring innovative resource mobilization strategies for community engagement, including but not limited to leveraging CSR funds. </w:t>
      </w:r>
    </w:p>
    <w:p w14:paraId="3D720690" w14:textId="1939778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 xml:space="preserve">Advocacy at national and sub-national levels for leveraging CSR funds for promoting community engagement and patient support – including for adopting localities/communities, corporate led social assistance schemes, </w:t>
      </w:r>
      <w:r w:rsidR="00F51523" w:rsidRPr="00990B54">
        <w:rPr>
          <w:rFonts w:asciiTheme="minorHAnsi" w:hAnsiTheme="minorHAnsi" w:cstheme="minorHAnsi"/>
          <w:sz w:val="22"/>
        </w:rPr>
        <w:t>etc.</w:t>
      </w:r>
    </w:p>
    <w:p w14:paraId="5A729BED"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Working with Ministries for leveraging MP/MLA development funds for TB control and rehabilitation of TB patients.</w:t>
      </w:r>
    </w:p>
    <w:p w14:paraId="79D4B639"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Capacity building of TB survivor networks and CBOs in resource mobilization and income generation</w:t>
      </w:r>
    </w:p>
    <w:p w14:paraId="705FB4D2" w14:textId="1E27A2D1"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Facilitation of formation of Patient Support Groups at Community levels (</w:t>
      </w:r>
      <w:r w:rsidR="00F51523" w:rsidRPr="00990B54">
        <w:rPr>
          <w:rFonts w:asciiTheme="minorHAnsi" w:hAnsiTheme="minorHAnsi" w:cstheme="minorHAnsi"/>
          <w:sz w:val="22"/>
        </w:rPr>
        <w:t>e.g.</w:t>
      </w:r>
      <w:r w:rsidRPr="00990B54">
        <w:rPr>
          <w:rFonts w:asciiTheme="minorHAnsi" w:hAnsiTheme="minorHAnsi" w:cstheme="minorHAnsi"/>
          <w:sz w:val="22"/>
        </w:rPr>
        <w:t>: Kerala model of Patient Support Group)</w:t>
      </w:r>
    </w:p>
    <w:p w14:paraId="22A8CFE8" w14:textId="77777777" w:rsidR="00990B54" w:rsidRPr="00990B54" w:rsidRDefault="00990B54" w:rsidP="009136E5">
      <w:pPr>
        <w:pStyle w:val="ListParagraph"/>
        <w:numPr>
          <w:ilvl w:val="3"/>
          <w:numId w:val="75"/>
        </w:numPr>
        <w:ind w:left="1267" w:hanging="720"/>
        <w:contextualSpacing w:val="0"/>
        <w:jc w:val="both"/>
        <w:rPr>
          <w:rFonts w:asciiTheme="minorHAnsi" w:hAnsiTheme="minorHAnsi" w:cstheme="minorHAnsi"/>
          <w:sz w:val="22"/>
        </w:rPr>
      </w:pPr>
      <w:r w:rsidRPr="00990B54">
        <w:rPr>
          <w:rFonts w:asciiTheme="minorHAnsi" w:hAnsiTheme="minorHAnsi" w:cstheme="minorHAnsi"/>
          <w:sz w:val="22"/>
        </w:rPr>
        <w:t>Compendium of social assistance/protection programmes in the district and its dissemination among affected communities</w:t>
      </w:r>
    </w:p>
    <w:p w14:paraId="413CB53F" w14:textId="77777777" w:rsidR="00990B54" w:rsidRPr="00A23FCF" w:rsidRDefault="00990B54" w:rsidP="009136E5">
      <w:pPr>
        <w:pStyle w:val="ListParagraph"/>
        <w:numPr>
          <w:ilvl w:val="2"/>
          <w:numId w:val="75"/>
        </w:numPr>
        <w:spacing w:before="0" w:after="0"/>
        <w:ind w:left="504"/>
        <w:jc w:val="both"/>
        <w:rPr>
          <w:rFonts w:asciiTheme="minorHAnsi" w:hAnsiTheme="minorHAnsi" w:cstheme="minorHAnsi"/>
          <w:b/>
          <w:sz w:val="22"/>
        </w:rPr>
      </w:pPr>
      <w:r w:rsidRPr="00A23FCF">
        <w:rPr>
          <w:rFonts w:asciiTheme="minorHAnsi" w:hAnsiTheme="minorHAnsi" w:cstheme="minorHAnsi"/>
          <w:b/>
          <w:sz w:val="22"/>
        </w:rPr>
        <w:t xml:space="preserve">Building a knowledge base and sharing of experiences and good practices with potential for replication in different settings </w:t>
      </w:r>
    </w:p>
    <w:p w14:paraId="5102140B"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Systematic documentation and periodic review of experiences in community engagement at national and sub-national levels through annual publications and conferences.</w:t>
      </w:r>
    </w:p>
    <w:p w14:paraId="57C7C1E3"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990B54">
        <w:rPr>
          <w:rFonts w:asciiTheme="minorHAnsi" w:hAnsiTheme="minorHAnsi" w:cstheme="minorHAnsi"/>
          <w:sz w:val="22"/>
        </w:rPr>
        <w:t xml:space="preserve">Identification and sharing of good practices and success stories at national and international level </w:t>
      </w:r>
    </w:p>
    <w:p w14:paraId="2565FDC7" w14:textId="77777777" w:rsidR="00990B54" w:rsidRPr="00990B54" w:rsidRDefault="00990B54" w:rsidP="009136E5">
      <w:pPr>
        <w:pStyle w:val="ListParagraph"/>
        <w:numPr>
          <w:ilvl w:val="3"/>
          <w:numId w:val="75"/>
        </w:numPr>
        <w:ind w:left="1260" w:hanging="720"/>
        <w:jc w:val="both"/>
        <w:rPr>
          <w:rFonts w:asciiTheme="minorHAnsi" w:hAnsiTheme="minorHAnsi" w:cstheme="minorHAnsi"/>
          <w:sz w:val="22"/>
        </w:rPr>
      </w:pPr>
      <w:r w:rsidRPr="00AF3312">
        <w:rPr>
          <w:rFonts w:asciiTheme="minorHAnsi" w:hAnsiTheme="minorHAnsi" w:cstheme="minorHAnsi"/>
          <w:b/>
          <w:sz w:val="22"/>
        </w:rPr>
        <w:t>Participatory operational research</w:t>
      </w:r>
      <w:r w:rsidRPr="00990B54">
        <w:rPr>
          <w:rFonts w:asciiTheme="minorHAnsi" w:hAnsiTheme="minorHAnsi" w:cstheme="minorHAnsi"/>
          <w:sz w:val="22"/>
        </w:rPr>
        <w:t xml:space="preserve"> in collaboration with academia/research entities/CSOs to understand strategies required to improve the reach and sustainability of TB interventions in the communities, especially among key populations. This will be one research priority for the programme.</w:t>
      </w:r>
    </w:p>
    <w:p w14:paraId="53858421" w14:textId="5B858D17" w:rsidR="00990B54" w:rsidRPr="00A23FCF" w:rsidRDefault="00990B54" w:rsidP="009136E5">
      <w:pPr>
        <w:pStyle w:val="ListParagraph"/>
        <w:numPr>
          <w:ilvl w:val="3"/>
          <w:numId w:val="75"/>
        </w:numPr>
        <w:ind w:left="1267" w:hanging="720"/>
        <w:contextualSpacing w:val="0"/>
        <w:jc w:val="both"/>
        <w:rPr>
          <w:rFonts w:asciiTheme="minorHAnsi" w:hAnsiTheme="minorHAnsi" w:cstheme="minorHAnsi"/>
          <w:sz w:val="22"/>
        </w:rPr>
      </w:pPr>
      <w:r w:rsidRPr="001E3F24">
        <w:rPr>
          <w:rFonts w:asciiTheme="minorHAnsi" w:hAnsiTheme="minorHAnsi" w:cstheme="minorHAnsi"/>
          <w:b/>
          <w:sz w:val="22"/>
        </w:rPr>
        <w:t>Participatory mapping</w:t>
      </w:r>
      <w:r w:rsidRPr="00A23FCF">
        <w:rPr>
          <w:rFonts w:asciiTheme="minorHAnsi" w:hAnsiTheme="minorHAnsi" w:cstheme="minorHAnsi"/>
          <w:sz w:val="22"/>
        </w:rPr>
        <w:t xml:space="preserve"> of key stakeholders including AYUSH providers, informal providers, chemists, etc</w:t>
      </w:r>
      <w:r w:rsidR="0065624F">
        <w:rPr>
          <w:rFonts w:asciiTheme="minorHAnsi" w:hAnsiTheme="minorHAnsi" w:cstheme="minorHAnsi"/>
          <w:sz w:val="22"/>
        </w:rPr>
        <w:t>.</w:t>
      </w:r>
      <w:r w:rsidRPr="00A23FCF">
        <w:rPr>
          <w:rFonts w:asciiTheme="minorHAnsi" w:hAnsiTheme="minorHAnsi" w:cstheme="minorHAnsi"/>
          <w:sz w:val="22"/>
        </w:rPr>
        <w:t xml:space="preserve"> at village level by HWC.</w:t>
      </w:r>
    </w:p>
    <w:p w14:paraId="489D3A89" w14:textId="77777777" w:rsidR="00AF3312" w:rsidRPr="00AF3312" w:rsidRDefault="00AF3312" w:rsidP="009136E5">
      <w:pPr>
        <w:pStyle w:val="ListParagraph"/>
        <w:numPr>
          <w:ilvl w:val="2"/>
          <w:numId w:val="75"/>
        </w:numPr>
        <w:spacing w:before="0" w:after="0"/>
        <w:ind w:left="504"/>
        <w:jc w:val="both"/>
        <w:rPr>
          <w:rFonts w:asciiTheme="minorHAnsi" w:hAnsiTheme="minorHAnsi" w:cstheme="minorHAnsi"/>
          <w:sz w:val="22"/>
        </w:rPr>
      </w:pPr>
      <w:r>
        <w:rPr>
          <w:rFonts w:asciiTheme="minorHAnsi" w:hAnsiTheme="minorHAnsi" w:cstheme="minorHAnsi"/>
          <w:b/>
          <w:sz w:val="22"/>
        </w:rPr>
        <w:lastRenderedPageBreak/>
        <w:t>Build capacity of community structures and institutions for supporting different facets of TB elimination</w:t>
      </w:r>
    </w:p>
    <w:p w14:paraId="2891F3E3" w14:textId="52DB8537" w:rsidR="00990B54" w:rsidRPr="00A23FCF" w:rsidRDefault="00AF3312" w:rsidP="009136E5">
      <w:pPr>
        <w:pStyle w:val="ListParagraph"/>
        <w:numPr>
          <w:ilvl w:val="3"/>
          <w:numId w:val="75"/>
        </w:numPr>
        <w:ind w:left="1260" w:hanging="720"/>
        <w:jc w:val="both"/>
        <w:rPr>
          <w:rFonts w:asciiTheme="minorHAnsi" w:hAnsiTheme="minorHAnsi" w:cstheme="minorHAnsi"/>
          <w:sz w:val="22"/>
        </w:rPr>
      </w:pPr>
      <w:r>
        <w:rPr>
          <w:rFonts w:asciiTheme="minorHAnsi" w:hAnsiTheme="minorHAnsi" w:cstheme="minorHAnsi"/>
          <w:b/>
          <w:sz w:val="22"/>
        </w:rPr>
        <w:t xml:space="preserve"> </w:t>
      </w:r>
      <w:r w:rsidR="0065624F" w:rsidRPr="001E3F24">
        <w:rPr>
          <w:rFonts w:asciiTheme="minorHAnsi" w:hAnsiTheme="minorHAnsi" w:cstheme="minorHAnsi"/>
          <w:b/>
          <w:sz w:val="22"/>
        </w:rPr>
        <w:t xml:space="preserve">Train and mentor </w:t>
      </w:r>
      <w:r w:rsidR="00990B54" w:rsidRPr="001E3F24">
        <w:rPr>
          <w:rFonts w:asciiTheme="minorHAnsi" w:hAnsiTheme="minorHAnsi" w:cstheme="minorHAnsi"/>
          <w:b/>
          <w:sz w:val="22"/>
        </w:rPr>
        <w:t>TB Champions</w:t>
      </w:r>
      <w:r w:rsidR="0065624F">
        <w:rPr>
          <w:rFonts w:asciiTheme="minorHAnsi" w:hAnsiTheme="minorHAnsi" w:cstheme="minorHAnsi"/>
          <w:sz w:val="22"/>
        </w:rPr>
        <w:t xml:space="preserve"> who</w:t>
      </w:r>
      <w:r w:rsidR="00990B54" w:rsidRPr="00A23FCF">
        <w:rPr>
          <w:rFonts w:asciiTheme="minorHAnsi" w:hAnsiTheme="minorHAnsi" w:cstheme="minorHAnsi"/>
          <w:sz w:val="22"/>
        </w:rPr>
        <w:t xml:space="preserve"> will serve as Peer Counsellors for TB patients and support treatment init</w:t>
      </w:r>
      <w:r w:rsidR="0065624F">
        <w:rPr>
          <w:rFonts w:asciiTheme="minorHAnsi" w:hAnsiTheme="minorHAnsi" w:cstheme="minorHAnsi"/>
          <w:sz w:val="22"/>
        </w:rPr>
        <w:t>iation, follow-up and adherence</w:t>
      </w:r>
      <w:r w:rsidR="00990B54" w:rsidRPr="00A23FCF">
        <w:rPr>
          <w:rFonts w:asciiTheme="minorHAnsi" w:hAnsiTheme="minorHAnsi" w:cstheme="minorHAnsi"/>
          <w:sz w:val="22"/>
        </w:rPr>
        <w:t xml:space="preserve"> </w:t>
      </w:r>
    </w:p>
    <w:p w14:paraId="024615CC" w14:textId="04F43E07" w:rsidR="00990B54" w:rsidRPr="00A23FCF" w:rsidRDefault="0065624F" w:rsidP="009136E5">
      <w:pPr>
        <w:pStyle w:val="ListParagraph"/>
        <w:numPr>
          <w:ilvl w:val="3"/>
          <w:numId w:val="75"/>
        </w:numPr>
        <w:ind w:left="1260" w:hanging="720"/>
        <w:jc w:val="both"/>
        <w:rPr>
          <w:rFonts w:asciiTheme="minorHAnsi" w:hAnsiTheme="minorHAnsi" w:cstheme="minorHAnsi"/>
          <w:sz w:val="22"/>
        </w:rPr>
      </w:pPr>
      <w:r>
        <w:rPr>
          <w:rFonts w:asciiTheme="minorHAnsi" w:hAnsiTheme="minorHAnsi" w:cstheme="minorHAnsi"/>
          <w:sz w:val="22"/>
        </w:rPr>
        <w:t xml:space="preserve">Form </w:t>
      </w:r>
      <w:r w:rsidR="00990B54" w:rsidRPr="00A23FCF">
        <w:rPr>
          <w:rFonts w:asciiTheme="minorHAnsi" w:hAnsiTheme="minorHAnsi" w:cstheme="minorHAnsi"/>
          <w:sz w:val="22"/>
        </w:rPr>
        <w:t xml:space="preserve">Patient support groups </w:t>
      </w:r>
      <w:r>
        <w:rPr>
          <w:rFonts w:asciiTheme="minorHAnsi" w:hAnsiTheme="minorHAnsi" w:cstheme="minorHAnsi"/>
          <w:sz w:val="22"/>
        </w:rPr>
        <w:t>at TU or PHC level that</w:t>
      </w:r>
      <w:r w:rsidR="00990B54" w:rsidRPr="00A23FCF">
        <w:rPr>
          <w:rFonts w:asciiTheme="minorHAnsi" w:hAnsiTheme="minorHAnsi" w:cstheme="minorHAnsi"/>
          <w:sz w:val="22"/>
        </w:rPr>
        <w:t xml:space="preserve"> will act as a platform for discussing care challenges and support needs. </w:t>
      </w:r>
    </w:p>
    <w:p w14:paraId="18B4CDC1" w14:textId="15A061DE" w:rsidR="00990B54" w:rsidRPr="00A23FCF" w:rsidRDefault="0065624F" w:rsidP="009136E5">
      <w:pPr>
        <w:pStyle w:val="ListParagraph"/>
        <w:numPr>
          <w:ilvl w:val="3"/>
          <w:numId w:val="75"/>
        </w:numPr>
        <w:ind w:left="1260" w:hanging="720"/>
        <w:jc w:val="both"/>
        <w:rPr>
          <w:rFonts w:asciiTheme="minorHAnsi" w:hAnsiTheme="minorHAnsi" w:cstheme="minorHAnsi"/>
          <w:sz w:val="22"/>
        </w:rPr>
      </w:pPr>
      <w:r w:rsidRPr="001E3F24">
        <w:rPr>
          <w:rFonts w:asciiTheme="minorHAnsi" w:hAnsiTheme="minorHAnsi" w:cstheme="minorHAnsi"/>
          <w:b/>
          <w:sz w:val="22"/>
        </w:rPr>
        <w:t xml:space="preserve">Train </w:t>
      </w:r>
      <w:r w:rsidR="00990B54" w:rsidRPr="001E3F24">
        <w:rPr>
          <w:rFonts w:asciiTheme="minorHAnsi" w:hAnsiTheme="minorHAnsi" w:cstheme="minorHAnsi"/>
          <w:b/>
          <w:sz w:val="22"/>
        </w:rPr>
        <w:t>Community Health Officers (CHOs) at AB-HWCs in rural areas</w:t>
      </w:r>
      <w:r w:rsidR="00990B54" w:rsidRPr="00A23FCF">
        <w:rPr>
          <w:rFonts w:asciiTheme="minorHAnsi" w:hAnsiTheme="minorHAnsi" w:cstheme="minorHAnsi"/>
          <w:sz w:val="22"/>
        </w:rPr>
        <w:t xml:space="preserve"> and MO or Multi-Purpose Workers in Urban areas in nutritional assessment of the patient and providing</w:t>
      </w:r>
      <w:r w:rsidR="002350F6">
        <w:rPr>
          <w:rFonts w:asciiTheme="minorHAnsi" w:hAnsiTheme="minorHAnsi" w:cstheme="minorHAnsi"/>
          <w:sz w:val="22"/>
        </w:rPr>
        <w:t xml:space="preserve"> </w:t>
      </w:r>
      <w:r w:rsidR="002350F6" w:rsidRPr="002350F6">
        <w:rPr>
          <w:rFonts w:asciiTheme="minorHAnsi" w:hAnsiTheme="minorHAnsi" w:cstheme="minorHAnsi"/>
          <w:sz w:val="22"/>
        </w:rPr>
        <w:t>treatment literacy, adherence and</w:t>
      </w:r>
      <w:r w:rsidR="00990B54" w:rsidRPr="00A23FCF">
        <w:rPr>
          <w:rFonts w:asciiTheme="minorHAnsi" w:hAnsiTheme="minorHAnsi" w:cstheme="minorHAnsi"/>
          <w:sz w:val="22"/>
        </w:rPr>
        <w:t xml:space="preserve"> nutritional counselling to patients. </w:t>
      </w:r>
    </w:p>
    <w:p w14:paraId="6B462327" w14:textId="60B03DDE" w:rsidR="00990B54" w:rsidRPr="00A23FCF" w:rsidRDefault="00A23FCF" w:rsidP="009136E5">
      <w:pPr>
        <w:pStyle w:val="ListParagraph"/>
        <w:numPr>
          <w:ilvl w:val="3"/>
          <w:numId w:val="75"/>
        </w:numPr>
        <w:ind w:left="1267" w:hanging="720"/>
        <w:contextualSpacing w:val="0"/>
        <w:jc w:val="both"/>
        <w:rPr>
          <w:rFonts w:asciiTheme="minorHAnsi" w:hAnsiTheme="minorHAnsi" w:cstheme="minorHAnsi"/>
          <w:sz w:val="22"/>
        </w:rPr>
      </w:pPr>
      <w:r>
        <w:rPr>
          <w:rFonts w:asciiTheme="minorHAnsi" w:hAnsiTheme="minorHAnsi" w:cstheme="minorHAnsi"/>
          <w:sz w:val="22"/>
        </w:rPr>
        <w:t xml:space="preserve">Provide </w:t>
      </w:r>
      <w:r w:rsidRPr="001E3F24">
        <w:rPr>
          <w:rFonts w:asciiTheme="minorHAnsi" w:hAnsiTheme="minorHAnsi" w:cstheme="minorHAnsi"/>
          <w:b/>
          <w:sz w:val="22"/>
        </w:rPr>
        <w:t xml:space="preserve">financial incentives to </w:t>
      </w:r>
      <w:r w:rsidR="00990B54" w:rsidRPr="001E3F24">
        <w:rPr>
          <w:rFonts w:asciiTheme="minorHAnsi" w:hAnsiTheme="minorHAnsi" w:cstheme="minorHAnsi"/>
          <w:b/>
          <w:sz w:val="22"/>
        </w:rPr>
        <w:t>CHOs and community level TB volunteers (including ASHAs</w:t>
      </w:r>
      <w:r w:rsidR="00990B54" w:rsidRPr="00A23FCF">
        <w:rPr>
          <w:rFonts w:asciiTheme="minorHAnsi" w:hAnsiTheme="minorHAnsi" w:cstheme="minorHAnsi"/>
          <w:sz w:val="22"/>
        </w:rPr>
        <w:t>)</w:t>
      </w:r>
      <w:r>
        <w:rPr>
          <w:rFonts w:asciiTheme="minorHAnsi" w:hAnsiTheme="minorHAnsi" w:cstheme="minorHAnsi"/>
          <w:sz w:val="22"/>
        </w:rPr>
        <w:t xml:space="preserve"> who</w:t>
      </w:r>
      <w:r w:rsidR="00990B54" w:rsidRPr="00A23FCF">
        <w:rPr>
          <w:rFonts w:asciiTheme="minorHAnsi" w:hAnsiTheme="minorHAnsi" w:cstheme="minorHAnsi"/>
          <w:sz w:val="22"/>
        </w:rPr>
        <w:t xml:space="preserve"> will be given the task to retrieve patients who miss treatment and to do long term follow-up. </w:t>
      </w:r>
    </w:p>
    <w:p w14:paraId="20796F62" w14:textId="77777777" w:rsidR="00AF3312" w:rsidRPr="00AF3312" w:rsidRDefault="00AF3312" w:rsidP="009136E5">
      <w:pPr>
        <w:pStyle w:val="ListParagraph"/>
        <w:numPr>
          <w:ilvl w:val="2"/>
          <w:numId w:val="75"/>
        </w:numPr>
        <w:spacing w:before="0" w:after="0"/>
        <w:ind w:left="504"/>
        <w:jc w:val="both"/>
        <w:rPr>
          <w:rFonts w:asciiTheme="minorHAnsi" w:hAnsiTheme="minorHAnsi" w:cstheme="minorHAnsi"/>
          <w:sz w:val="22"/>
        </w:rPr>
      </w:pPr>
      <w:r>
        <w:rPr>
          <w:rFonts w:asciiTheme="minorHAnsi" w:hAnsiTheme="minorHAnsi" w:cstheme="minorHAnsi"/>
          <w:b/>
          <w:sz w:val="22"/>
        </w:rPr>
        <w:t>Build capacity of community structures and institutions for supporting different facets of TB elimination</w:t>
      </w:r>
    </w:p>
    <w:p w14:paraId="6062F8EB" w14:textId="6405F13F" w:rsidR="00990B54" w:rsidRPr="00F3388B" w:rsidRDefault="00990B54" w:rsidP="009136E5">
      <w:pPr>
        <w:pStyle w:val="ListParagraph"/>
        <w:numPr>
          <w:ilvl w:val="3"/>
          <w:numId w:val="75"/>
        </w:numPr>
        <w:ind w:left="1260" w:hanging="720"/>
        <w:jc w:val="both"/>
        <w:rPr>
          <w:rFonts w:asciiTheme="minorHAnsi" w:hAnsiTheme="minorHAnsi" w:cstheme="minorHAnsi"/>
          <w:sz w:val="22"/>
        </w:rPr>
      </w:pPr>
      <w:r w:rsidRPr="00F3388B">
        <w:rPr>
          <w:rFonts w:asciiTheme="minorHAnsi" w:hAnsiTheme="minorHAnsi" w:cstheme="minorHAnsi"/>
          <w:sz w:val="22"/>
        </w:rPr>
        <w:t>Partnership with CSOs/NGOs for working with urban population – including for situational analysis, training of Mahila Arogya Samitis in active case finding activities</w:t>
      </w:r>
      <w:r w:rsidR="002350F6">
        <w:rPr>
          <w:rFonts w:asciiTheme="minorHAnsi" w:hAnsiTheme="minorHAnsi" w:cstheme="minorHAnsi"/>
          <w:sz w:val="22"/>
        </w:rPr>
        <w:t xml:space="preserve"> and </w:t>
      </w:r>
      <w:r w:rsidR="002350F6" w:rsidRPr="002350F6">
        <w:rPr>
          <w:rFonts w:asciiTheme="minorHAnsi" w:hAnsiTheme="minorHAnsi" w:cstheme="minorHAnsi"/>
          <w:sz w:val="22"/>
        </w:rPr>
        <w:t>contact investigation with linkage to case detection and provision of TPT</w:t>
      </w:r>
      <w:r w:rsidRPr="00F3388B">
        <w:rPr>
          <w:rFonts w:asciiTheme="minorHAnsi" w:hAnsiTheme="minorHAnsi" w:cstheme="minorHAnsi"/>
          <w:sz w:val="22"/>
        </w:rPr>
        <w:t xml:space="preserve">, working with local clubs/RWAs/trade or employment based (like riksha </w:t>
      </w:r>
      <w:r w:rsidR="00F51523" w:rsidRPr="00F3388B">
        <w:rPr>
          <w:rFonts w:asciiTheme="minorHAnsi" w:hAnsiTheme="minorHAnsi" w:cstheme="minorHAnsi"/>
          <w:sz w:val="22"/>
        </w:rPr>
        <w:t>drivers’</w:t>
      </w:r>
      <w:r w:rsidRPr="00F3388B">
        <w:rPr>
          <w:rFonts w:asciiTheme="minorHAnsi" w:hAnsiTheme="minorHAnsi" w:cstheme="minorHAnsi"/>
          <w:sz w:val="22"/>
        </w:rPr>
        <w:t xml:space="preserve"> union), </w:t>
      </w:r>
      <w:r w:rsidR="00F51523" w:rsidRPr="00F3388B">
        <w:rPr>
          <w:rFonts w:asciiTheme="minorHAnsi" w:hAnsiTheme="minorHAnsi" w:cstheme="minorHAnsi"/>
          <w:sz w:val="22"/>
        </w:rPr>
        <w:t>etc.</w:t>
      </w:r>
      <w:r w:rsidRPr="00F3388B">
        <w:rPr>
          <w:rFonts w:asciiTheme="minorHAnsi" w:hAnsiTheme="minorHAnsi" w:cstheme="minorHAnsi"/>
          <w:sz w:val="22"/>
        </w:rPr>
        <w:t xml:space="preserve"> for identification and training of volunteers and linking them to nearest UPHC/UCHC, IEC/BCC activities, </w:t>
      </w:r>
      <w:r w:rsidR="00F51523" w:rsidRPr="00F3388B">
        <w:rPr>
          <w:rFonts w:asciiTheme="minorHAnsi" w:hAnsiTheme="minorHAnsi" w:cstheme="minorHAnsi"/>
          <w:sz w:val="22"/>
        </w:rPr>
        <w:t>etc.</w:t>
      </w:r>
    </w:p>
    <w:p w14:paraId="4FF4331A" w14:textId="2E0E4BF5" w:rsidR="00990B54" w:rsidRPr="00F3388B" w:rsidRDefault="00990B54" w:rsidP="009136E5">
      <w:pPr>
        <w:pStyle w:val="ListParagraph"/>
        <w:numPr>
          <w:ilvl w:val="3"/>
          <w:numId w:val="75"/>
        </w:numPr>
        <w:ind w:left="1260" w:hanging="720"/>
        <w:jc w:val="both"/>
        <w:rPr>
          <w:rFonts w:asciiTheme="minorHAnsi" w:hAnsiTheme="minorHAnsi" w:cstheme="minorHAnsi"/>
          <w:sz w:val="22"/>
        </w:rPr>
      </w:pPr>
      <w:r w:rsidRPr="00F3388B">
        <w:rPr>
          <w:rFonts w:asciiTheme="minorHAnsi" w:hAnsiTheme="minorHAnsi" w:cstheme="minorHAnsi"/>
          <w:sz w:val="22"/>
        </w:rPr>
        <w:t xml:space="preserve">Work with Urban Local Body and elected representatives through NUHM to identify high TB pockets and prepare </w:t>
      </w:r>
      <w:r w:rsidR="00AF41B5">
        <w:rPr>
          <w:rFonts w:asciiTheme="minorHAnsi" w:hAnsiTheme="minorHAnsi" w:cstheme="minorHAnsi"/>
          <w:sz w:val="22"/>
        </w:rPr>
        <w:t>and</w:t>
      </w:r>
      <w:r w:rsidRPr="00F3388B">
        <w:rPr>
          <w:rFonts w:asciiTheme="minorHAnsi" w:hAnsiTheme="minorHAnsi" w:cstheme="minorHAnsi"/>
          <w:sz w:val="22"/>
        </w:rPr>
        <w:t xml:space="preserve"> implement action plans to control the same.</w:t>
      </w:r>
    </w:p>
    <w:p w14:paraId="66593D37" w14:textId="5C57AE78" w:rsidR="00990B54" w:rsidRPr="00F3388B" w:rsidRDefault="00990B54" w:rsidP="009136E5">
      <w:pPr>
        <w:pStyle w:val="ListParagraph"/>
        <w:numPr>
          <w:ilvl w:val="3"/>
          <w:numId w:val="75"/>
        </w:numPr>
        <w:ind w:left="1260" w:hanging="720"/>
        <w:jc w:val="both"/>
        <w:rPr>
          <w:rFonts w:asciiTheme="minorHAnsi" w:hAnsiTheme="minorHAnsi" w:cstheme="minorHAnsi"/>
          <w:sz w:val="22"/>
        </w:rPr>
      </w:pPr>
      <w:r w:rsidRPr="00F3388B">
        <w:rPr>
          <w:rFonts w:asciiTheme="minorHAnsi" w:hAnsiTheme="minorHAnsi" w:cstheme="minorHAnsi"/>
          <w:sz w:val="22"/>
        </w:rPr>
        <w:t xml:space="preserve">Special interventions for vulnerable groups like sex workers, street children, migrant labour, </w:t>
      </w:r>
      <w:r w:rsidR="00F51523" w:rsidRPr="00F3388B">
        <w:rPr>
          <w:rFonts w:asciiTheme="minorHAnsi" w:hAnsiTheme="minorHAnsi" w:cstheme="minorHAnsi"/>
          <w:sz w:val="22"/>
        </w:rPr>
        <w:t>etc.</w:t>
      </w:r>
      <w:r w:rsidRPr="00F3388B">
        <w:rPr>
          <w:rFonts w:asciiTheme="minorHAnsi" w:hAnsiTheme="minorHAnsi" w:cstheme="minorHAnsi"/>
          <w:sz w:val="22"/>
        </w:rPr>
        <w:t xml:space="preserve"> in collaboration with agencies which are working with the said populations directly. </w:t>
      </w:r>
    </w:p>
    <w:p w14:paraId="088E5FD8" w14:textId="77777777" w:rsidR="00990B54" w:rsidRPr="00990B54" w:rsidRDefault="00990B54" w:rsidP="00C62BA7">
      <w:pPr>
        <w:pStyle w:val="ListParagraph"/>
        <w:spacing w:before="0" w:after="0"/>
        <w:jc w:val="both"/>
        <w:rPr>
          <w:rFonts w:asciiTheme="minorHAnsi" w:hAnsiTheme="minorHAnsi" w:cstheme="minorHAnsi"/>
          <w:color w:val="000000"/>
          <w:sz w:val="22"/>
        </w:rPr>
      </w:pPr>
    </w:p>
    <w:p w14:paraId="130EE7C7" w14:textId="27B6F88B" w:rsidR="00E1587D" w:rsidRDefault="00E1587D">
      <w:pPr>
        <w:spacing w:before="0" w:after="0"/>
        <w:rPr>
          <w:rFonts w:ascii="Calibri" w:hAnsi="Calibri" w:cs="Calibri"/>
          <w:b/>
          <w:kern w:val="24"/>
          <w:sz w:val="22"/>
          <w:lang w:eastAsia="en-IN"/>
        </w:rPr>
      </w:pPr>
      <w:r>
        <w:rPr>
          <w:rFonts w:ascii="Calibri" w:hAnsi="Calibri" w:cs="Calibri"/>
          <w:b/>
          <w:kern w:val="24"/>
          <w:sz w:val="22"/>
          <w:lang w:eastAsia="en-IN"/>
        </w:rPr>
        <w:br w:type="page"/>
      </w:r>
    </w:p>
    <w:p w14:paraId="36E076EE" w14:textId="0ECB704D" w:rsidR="00B528EA" w:rsidRDefault="00E1587D" w:rsidP="00E1587D">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061D34">
        <w:rPr>
          <w:rFonts w:asciiTheme="minorHAnsi" w:hAnsiTheme="minorHAnsi" w:cstheme="minorHAnsi"/>
          <w:b/>
          <w:snapToGrid w:val="0"/>
          <w:color w:val="auto"/>
          <w:sz w:val="36"/>
        </w:rPr>
        <w:t>1</w:t>
      </w:r>
      <w:r w:rsidR="00BE594E">
        <w:rPr>
          <w:rFonts w:asciiTheme="minorHAnsi" w:hAnsiTheme="minorHAnsi" w:cstheme="minorHAnsi"/>
          <w:b/>
          <w:snapToGrid w:val="0"/>
          <w:color w:val="auto"/>
          <w:sz w:val="36"/>
        </w:rPr>
        <w:t>4</w:t>
      </w:r>
    </w:p>
    <w:p w14:paraId="098BDF59" w14:textId="6E7AAEF4" w:rsidR="00E1587D" w:rsidRPr="00B528EA" w:rsidRDefault="00B528EA" w:rsidP="00B528EA">
      <w:pPr>
        <w:shd w:val="clear" w:color="auto" w:fill="17365D" w:themeFill="text2" w:themeFillShade="BF"/>
        <w:spacing w:before="0" w:after="0"/>
        <w:jc w:val="right"/>
        <w:rPr>
          <w:b/>
          <w:sz w:val="28"/>
        </w:rPr>
      </w:pPr>
      <w:r>
        <w:rPr>
          <w:b/>
          <w:sz w:val="28"/>
        </w:rPr>
        <w:t>NSP STRATEGIC AREA 1.7</w:t>
      </w:r>
      <w:r w:rsidR="00E1587D" w:rsidRPr="00734B6A">
        <w:rPr>
          <w:rFonts w:asciiTheme="minorHAnsi" w:hAnsiTheme="minorHAnsi" w:cstheme="minorHAnsi"/>
          <w:b/>
          <w:snapToGrid w:val="0"/>
          <w:sz w:val="36"/>
        </w:rPr>
        <w:t xml:space="preserve"> </w:t>
      </w:r>
    </w:p>
    <w:p w14:paraId="56041BA4" w14:textId="2B306139" w:rsidR="00E1587D" w:rsidRPr="00734B6A" w:rsidRDefault="00E1587D" w:rsidP="0037477D">
      <w:pPr>
        <w:pStyle w:val="Heading1"/>
        <w:tabs>
          <w:tab w:val="num" w:pos="5670"/>
        </w:tabs>
        <w:ind w:left="2340" w:hanging="1440"/>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sidR="0037477D">
        <w:rPr>
          <w:rFonts w:asciiTheme="minorHAnsi" w:hAnsiTheme="minorHAnsi" w:cstheme="minorHAnsi"/>
          <w:b/>
          <w:snapToGrid w:val="0"/>
          <w:color w:val="auto"/>
        </w:rPr>
        <w:t xml:space="preserve">Advocacy, </w:t>
      </w:r>
      <w:r w:rsidR="00802B02">
        <w:rPr>
          <w:rFonts w:asciiTheme="minorHAnsi" w:hAnsiTheme="minorHAnsi" w:cstheme="minorHAnsi"/>
          <w:b/>
          <w:snapToGrid w:val="0"/>
          <w:color w:val="auto"/>
        </w:rPr>
        <w:t xml:space="preserve">strategic </w:t>
      </w:r>
      <w:r w:rsidR="0037477D">
        <w:rPr>
          <w:rFonts w:asciiTheme="minorHAnsi" w:hAnsiTheme="minorHAnsi" w:cstheme="minorHAnsi"/>
          <w:b/>
          <w:snapToGrid w:val="0"/>
          <w:color w:val="auto"/>
        </w:rPr>
        <w:t>communication</w:t>
      </w:r>
      <w:r w:rsidR="00802B02">
        <w:rPr>
          <w:rFonts w:asciiTheme="minorHAnsi" w:hAnsiTheme="minorHAnsi" w:cstheme="minorHAnsi"/>
          <w:b/>
          <w:snapToGrid w:val="0"/>
          <w:color w:val="auto"/>
        </w:rPr>
        <w:t>s</w:t>
      </w:r>
      <w:r w:rsidR="0037477D">
        <w:rPr>
          <w:rFonts w:asciiTheme="minorHAnsi" w:hAnsiTheme="minorHAnsi" w:cstheme="minorHAnsi"/>
          <w:b/>
          <w:snapToGrid w:val="0"/>
          <w:color w:val="auto"/>
        </w:rPr>
        <w:t>, social mobilization</w:t>
      </w:r>
      <w:r w:rsidR="00696B81">
        <w:rPr>
          <w:rFonts w:asciiTheme="minorHAnsi" w:hAnsiTheme="minorHAnsi" w:cstheme="minorHAnsi"/>
          <w:b/>
          <w:snapToGrid w:val="0"/>
          <w:color w:val="auto"/>
        </w:rPr>
        <w:t xml:space="preserve"> </w:t>
      </w:r>
    </w:p>
    <w:p w14:paraId="0D9D19CA" w14:textId="6B092A96" w:rsidR="0075389F" w:rsidRPr="00C45A90" w:rsidRDefault="0033007D" w:rsidP="0075389F">
      <w:pPr>
        <w:spacing w:before="0"/>
        <w:jc w:val="both"/>
        <w:rPr>
          <w:rFonts w:asciiTheme="minorHAnsi" w:hAnsiTheme="minorHAnsi" w:cstheme="minorHAnsi"/>
          <w:b/>
          <w:color w:val="CD630B" w:themeColor="accent4" w:themeShade="80"/>
          <w:sz w:val="28"/>
        </w:rPr>
      </w:pPr>
      <w:r>
        <w:rPr>
          <w:rFonts w:asciiTheme="minorHAnsi" w:hAnsiTheme="minorHAnsi" w:cstheme="minorHAnsi"/>
          <w:b/>
          <w:color w:val="CD630B" w:themeColor="accent4" w:themeShade="80"/>
          <w:sz w:val="28"/>
        </w:rPr>
        <w:t>1</w:t>
      </w:r>
      <w:r w:rsidR="00BE594E">
        <w:rPr>
          <w:rFonts w:asciiTheme="minorHAnsi" w:hAnsiTheme="minorHAnsi" w:cstheme="minorHAnsi"/>
          <w:b/>
          <w:color w:val="CD630B" w:themeColor="accent4" w:themeShade="80"/>
          <w:sz w:val="28"/>
        </w:rPr>
        <w:t>4</w:t>
      </w:r>
      <w:r>
        <w:rPr>
          <w:rFonts w:asciiTheme="minorHAnsi" w:hAnsiTheme="minorHAnsi" w:cstheme="minorHAnsi"/>
          <w:b/>
          <w:color w:val="CD630B" w:themeColor="accent4" w:themeShade="80"/>
          <w:sz w:val="28"/>
        </w:rPr>
        <w:t xml:space="preserve">.1 </w:t>
      </w:r>
      <w:r w:rsidR="0075389F" w:rsidRPr="00C45A90">
        <w:rPr>
          <w:rFonts w:asciiTheme="minorHAnsi" w:hAnsiTheme="minorHAnsi" w:cstheme="minorHAnsi"/>
          <w:b/>
          <w:color w:val="CD630B" w:themeColor="accent4" w:themeShade="80"/>
          <w:sz w:val="28"/>
        </w:rPr>
        <w:t>INTRODUCTION</w:t>
      </w:r>
    </w:p>
    <w:p w14:paraId="1BCF5354" w14:textId="2B5F952C" w:rsidR="003D0511" w:rsidRDefault="003D0511" w:rsidP="00E66516">
      <w:pPr>
        <w:jc w:val="both"/>
        <w:rPr>
          <w:rFonts w:asciiTheme="minorHAnsi" w:hAnsiTheme="minorHAnsi" w:cstheme="minorHAnsi"/>
          <w:sz w:val="22"/>
        </w:rPr>
      </w:pPr>
      <w:r w:rsidRPr="003D0511">
        <w:rPr>
          <w:rFonts w:asciiTheme="minorHAnsi" w:hAnsiTheme="minorHAnsi" w:cstheme="minorHAnsi"/>
          <w:sz w:val="22"/>
        </w:rPr>
        <w:t>Advocacy, Communication and Social Mobilisation (ACSM) across all aspects of TB Elimination is integral to the National TB Elimination Program. ACSM is three interconnected strategies. Each of these strategies build greater commitment to fighting TB.</w:t>
      </w:r>
      <w:r>
        <w:rPr>
          <w:rFonts w:asciiTheme="minorHAnsi" w:hAnsiTheme="minorHAnsi" w:cstheme="minorHAnsi"/>
          <w:sz w:val="22"/>
        </w:rPr>
        <w:t xml:space="preserve"> </w:t>
      </w:r>
    </w:p>
    <w:p w14:paraId="32CCB19A" w14:textId="30E4789E" w:rsidR="00E66516" w:rsidRPr="00A934AF" w:rsidRDefault="003D0511" w:rsidP="00E66516">
      <w:pPr>
        <w:jc w:val="both"/>
        <w:rPr>
          <w:rFonts w:asciiTheme="minorHAnsi" w:hAnsiTheme="minorHAnsi" w:cstheme="minorHAnsi"/>
          <w:sz w:val="22"/>
        </w:rPr>
      </w:pPr>
      <w:r w:rsidRPr="003C6E3F">
        <w:rPr>
          <w:b/>
          <w:noProof/>
          <w:lang w:val="en-IN" w:eastAsia="en-IN"/>
        </w:rPr>
        <w:drawing>
          <wp:anchor distT="0" distB="0" distL="114300" distR="114300" simplePos="0" relativeHeight="251665408" behindDoc="0" locked="0" layoutInCell="1" allowOverlap="1" wp14:anchorId="162F3AA3" wp14:editId="43F8F3CA">
            <wp:simplePos x="0" y="0"/>
            <wp:positionH relativeFrom="column">
              <wp:posOffset>0</wp:posOffset>
            </wp:positionH>
            <wp:positionV relativeFrom="paragraph">
              <wp:posOffset>-733</wp:posOffset>
            </wp:positionV>
            <wp:extent cx="3903785" cy="1757633"/>
            <wp:effectExtent l="0" t="0" r="1905" b="0"/>
            <wp:wrapThrough wrapText="bothSides">
              <wp:wrapPolygon edited="0">
                <wp:start x="0" y="0"/>
                <wp:lineTo x="0" y="21311"/>
                <wp:lineTo x="21505" y="21311"/>
                <wp:lineTo x="21505" y="0"/>
                <wp:lineTo x="0" y="0"/>
              </wp:wrapPolygon>
            </wp:wrapThrough>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_14.jpg"/>
                    <pic:cNvPicPr/>
                  </pic:nvPicPr>
                  <pic:blipFill rotWithShape="1">
                    <a:blip r:embed="rId62">
                      <a:extLst>
                        <a:ext uri="{28A0092B-C50C-407E-A947-70E740481C1C}">
                          <a14:useLocalDpi xmlns:a14="http://schemas.microsoft.com/office/drawing/2010/main" val="0"/>
                        </a:ext>
                      </a:extLst>
                    </a:blip>
                    <a:srcRect l="9322" t="43644" r="8758" b="7181"/>
                    <a:stretch/>
                  </pic:blipFill>
                  <pic:spPr bwMode="auto">
                    <a:xfrm>
                      <a:off x="0" y="0"/>
                      <a:ext cx="3903785" cy="1757633"/>
                    </a:xfrm>
                    <a:prstGeom prst="rect">
                      <a:avLst/>
                    </a:prstGeom>
                    <a:ln>
                      <a:noFill/>
                    </a:ln>
                    <a:extLst>
                      <a:ext uri="{53640926-AAD7-44D8-BBD7-CCE9431645EC}">
                        <a14:shadowObscured xmlns:a14="http://schemas.microsoft.com/office/drawing/2010/main"/>
                      </a:ext>
                    </a:extLst>
                  </pic:spPr>
                </pic:pic>
              </a:graphicData>
            </a:graphic>
          </wp:anchor>
        </w:drawing>
      </w:r>
      <w:r w:rsidR="00E66516" w:rsidRPr="00E66516">
        <w:rPr>
          <w:rFonts w:asciiTheme="minorHAnsi" w:hAnsiTheme="minorHAnsi" w:cstheme="minorHAnsi"/>
          <w:sz w:val="22"/>
        </w:rPr>
        <w:t xml:space="preserve">A massive social movement is urgently required to achieve </w:t>
      </w:r>
      <w:r w:rsidR="002020C2">
        <w:rPr>
          <w:rFonts w:asciiTheme="minorHAnsi" w:hAnsiTheme="minorHAnsi" w:cstheme="minorHAnsi"/>
          <w:sz w:val="22"/>
        </w:rPr>
        <w:t xml:space="preserve">the </w:t>
      </w:r>
      <w:r w:rsidR="00E66516" w:rsidRPr="00E66516">
        <w:rPr>
          <w:rFonts w:asciiTheme="minorHAnsi" w:hAnsiTheme="minorHAnsi" w:cstheme="minorHAnsi"/>
          <w:sz w:val="22"/>
        </w:rPr>
        <w:t xml:space="preserve">ambitious target of ending TB by 2025. As an important first step this NSP will pursue effective integration of this thematic area within all the four pillars of the NSP: </w:t>
      </w:r>
      <w:r w:rsidR="00E66516" w:rsidRPr="00E66516">
        <w:rPr>
          <w:rFonts w:asciiTheme="minorHAnsi" w:hAnsiTheme="minorHAnsi" w:cstheme="minorHAnsi"/>
          <w:b/>
          <w:sz w:val="22"/>
        </w:rPr>
        <w:t>Build, Prevent, Detect, and Treat.</w:t>
      </w:r>
      <w:r w:rsidR="002020C2">
        <w:rPr>
          <w:rFonts w:asciiTheme="minorHAnsi" w:hAnsiTheme="minorHAnsi" w:cstheme="minorHAnsi"/>
          <w:b/>
          <w:sz w:val="22"/>
        </w:rPr>
        <w:t xml:space="preserve"> </w:t>
      </w:r>
      <w:r w:rsidR="00A934AF">
        <w:rPr>
          <w:rFonts w:asciiTheme="minorHAnsi" w:hAnsiTheme="minorHAnsi" w:cstheme="minorHAnsi"/>
          <w:sz w:val="22"/>
        </w:rPr>
        <w:t>The NTEP has crafted a massive TB elimination campaign titled “</w:t>
      </w:r>
      <w:r w:rsidR="00A934AF" w:rsidRPr="00A934AF">
        <w:rPr>
          <w:rFonts w:asciiTheme="minorHAnsi" w:hAnsiTheme="minorHAnsi" w:cstheme="minorHAnsi"/>
          <w:b/>
          <w:sz w:val="22"/>
        </w:rPr>
        <w:t xml:space="preserve">Accelerator </w:t>
      </w:r>
      <w:r w:rsidR="00A934AF">
        <w:rPr>
          <w:rFonts w:asciiTheme="minorHAnsi" w:hAnsiTheme="minorHAnsi" w:cstheme="minorHAnsi"/>
          <w:b/>
          <w:sz w:val="22"/>
        </w:rPr>
        <w:t xml:space="preserve">to </w:t>
      </w:r>
      <w:r w:rsidR="00A934AF" w:rsidRPr="00A934AF">
        <w:rPr>
          <w:rFonts w:asciiTheme="minorHAnsi" w:hAnsiTheme="minorHAnsi" w:cstheme="minorHAnsi"/>
          <w:b/>
          <w:sz w:val="22"/>
        </w:rPr>
        <w:t>NSP – TB Harega, Desh Jeetega</w:t>
      </w:r>
      <w:r w:rsidR="00A934AF">
        <w:rPr>
          <w:rFonts w:asciiTheme="minorHAnsi" w:hAnsiTheme="minorHAnsi" w:cstheme="minorHAnsi"/>
          <w:sz w:val="22"/>
        </w:rPr>
        <w:t>” to complement the key strategies of the NSP.</w:t>
      </w:r>
    </w:p>
    <w:p w14:paraId="31E377D8" w14:textId="5C0DB06E" w:rsidR="00DD4576" w:rsidRPr="00C45A90" w:rsidRDefault="0033007D" w:rsidP="00C45A90">
      <w:pPr>
        <w:spacing w:before="0"/>
        <w:jc w:val="both"/>
        <w:rPr>
          <w:rFonts w:asciiTheme="minorHAnsi" w:hAnsiTheme="minorHAnsi" w:cstheme="minorHAnsi"/>
          <w:b/>
          <w:color w:val="CD630B" w:themeColor="accent4" w:themeShade="80"/>
          <w:sz w:val="28"/>
        </w:rPr>
      </w:pPr>
      <w:r>
        <w:rPr>
          <w:rFonts w:asciiTheme="minorHAnsi" w:hAnsiTheme="minorHAnsi" w:cstheme="minorHAnsi"/>
          <w:b/>
          <w:color w:val="CD630B" w:themeColor="accent4" w:themeShade="80"/>
          <w:sz w:val="28"/>
        </w:rPr>
        <w:t>1</w:t>
      </w:r>
      <w:r w:rsidR="00BE594E">
        <w:rPr>
          <w:rFonts w:asciiTheme="minorHAnsi" w:hAnsiTheme="minorHAnsi" w:cstheme="minorHAnsi"/>
          <w:b/>
          <w:color w:val="CD630B" w:themeColor="accent4" w:themeShade="80"/>
          <w:sz w:val="28"/>
        </w:rPr>
        <w:t>4</w:t>
      </w:r>
      <w:r>
        <w:rPr>
          <w:rFonts w:asciiTheme="minorHAnsi" w:hAnsiTheme="minorHAnsi" w:cstheme="minorHAnsi"/>
          <w:b/>
          <w:color w:val="CD630B" w:themeColor="accent4" w:themeShade="80"/>
          <w:sz w:val="28"/>
        </w:rPr>
        <w:t xml:space="preserve">.2 </w:t>
      </w:r>
      <w:r w:rsidR="00DD4576" w:rsidRPr="00C45A90">
        <w:rPr>
          <w:rFonts w:asciiTheme="minorHAnsi" w:hAnsiTheme="minorHAnsi" w:cstheme="minorHAnsi"/>
          <w:b/>
          <w:color w:val="CD630B" w:themeColor="accent4" w:themeShade="80"/>
          <w:sz w:val="28"/>
        </w:rPr>
        <w:t>THE PROGRESS SO FAR:</w:t>
      </w:r>
      <w:r w:rsidR="007137CC" w:rsidRPr="00C45A90">
        <w:rPr>
          <w:rFonts w:asciiTheme="minorHAnsi" w:hAnsiTheme="minorHAnsi" w:cstheme="minorHAnsi"/>
          <w:b/>
          <w:color w:val="CD630B" w:themeColor="accent4" w:themeShade="80"/>
          <w:sz w:val="28"/>
        </w:rPr>
        <w:t xml:space="preserve"> </w:t>
      </w:r>
    </w:p>
    <w:p w14:paraId="44309DBC" w14:textId="39734F02" w:rsidR="007137CC" w:rsidRDefault="00696B81" w:rsidP="00E66516">
      <w:pPr>
        <w:jc w:val="both"/>
        <w:rPr>
          <w:rFonts w:asciiTheme="minorHAnsi" w:hAnsiTheme="minorHAnsi" w:cstheme="minorHAnsi"/>
          <w:sz w:val="22"/>
        </w:rPr>
      </w:pPr>
      <w:r>
        <w:rPr>
          <w:rFonts w:asciiTheme="minorHAnsi" w:hAnsiTheme="minorHAnsi" w:cstheme="minorHAnsi"/>
          <w:sz w:val="22"/>
        </w:rPr>
        <w:t xml:space="preserve">As is known, there is </w:t>
      </w:r>
      <w:r w:rsidR="00E66516">
        <w:rPr>
          <w:rFonts w:asciiTheme="minorHAnsi" w:hAnsiTheme="minorHAnsi" w:cstheme="minorHAnsi"/>
          <w:sz w:val="22"/>
        </w:rPr>
        <w:t>unprecedented political c</w:t>
      </w:r>
      <w:r w:rsidR="00E66516" w:rsidRPr="00E66516">
        <w:rPr>
          <w:rFonts w:asciiTheme="minorHAnsi" w:hAnsiTheme="minorHAnsi" w:cstheme="minorHAnsi"/>
          <w:sz w:val="22"/>
        </w:rPr>
        <w:t xml:space="preserve">ommitment </w:t>
      </w:r>
      <w:r w:rsidR="00E66516">
        <w:rPr>
          <w:rFonts w:asciiTheme="minorHAnsi" w:hAnsiTheme="minorHAnsi" w:cstheme="minorHAnsi"/>
          <w:sz w:val="22"/>
        </w:rPr>
        <w:t>a</w:t>
      </w:r>
      <w:r w:rsidR="00E66516" w:rsidRPr="00E66516">
        <w:rPr>
          <w:rFonts w:asciiTheme="minorHAnsi" w:hAnsiTheme="minorHAnsi" w:cstheme="minorHAnsi"/>
          <w:sz w:val="22"/>
        </w:rPr>
        <w:t>t the highest level,</w:t>
      </w:r>
      <w:r w:rsidR="00E66516">
        <w:rPr>
          <w:rFonts w:asciiTheme="minorHAnsi" w:hAnsiTheme="minorHAnsi" w:cstheme="minorHAnsi"/>
          <w:sz w:val="22"/>
        </w:rPr>
        <w:t xml:space="preserve"> the Prime Minister’s Office </w:t>
      </w:r>
      <w:r w:rsidR="00E66516" w:rsidRPr="00E66516">
        <w:rPr>
          <w:rFonts w:asciiTheme="minorHAnsi" w:hAnsiTheme="minorHAnsi" w:cstheme="minorHAnsi"/>
          <w:sz w:val="22"/>
        </w:rPr>
        <w:t>actively leading and monitoring the fight to end TB in India.</w:t>
      </w:r>
      <w:r w:rsidR="00E66516">
        <w:rPr>
          <w:rFonts w:asciiTheme="minorHAnsi" w:hAnsiTheme="minorHAnsi" w:cstheme="minorHAnsi"/>
          <w:sz w:val="22"/>
        </w:rPr>
        <w:t xml:space="preserve"> A reflection of the advocacy efforts has been the quadrupling of the </w:t>
      </w:r>
      <w:r w:rsidR="00E66516" w:rsidRPr="00E66516">
        <w:rPr>
          <w:rFonts w:asciiTheme="minorHAnsi" w:hAnsiTheme="minorHAnsi" w:cstheme="minorHAnsi"/>
          <w:sz w:val="22"/>
        </w:rPr>
        <w:t>domestic budget for the</w:t>
      </w:r>
      <w:r w:rsidR="00E66516">
        <w:rPr>
          <w:rFonts w:asciiTheme="minorHAnsi" w:hAnsiTheme="minorHAnsi" w:cstheme="minorHAnsi"/>
          <w:sz w:val="22"/>
        </w:rPr>
        <w:t xml:space="preserve"> NTEP</w:t>
      </w:r>
      <w:r w:rsidR="00E66516" w:rsidRPr="00E66516">
        <w:rPr>
          <w:rFonts w:asciiTheme="minorHAnsi" w:hAnsiTheme="minorHAnsi" w:cstheme="minorHAnsi"/>
          <w:sz w:val="22"/>
        </w:rPr>
        <w:t>.</w:t>
      </w:r>
      <w:r w:rsidR="00E66516">
        <w:rPr>
          <w:rFonts w:asciiTheme="minorHAnsi" w:hAnsiTheme="minorHAnsi" w:cstheme="minorHAnsi"/>
          <w:sz w:val="22"/>
        </w:rPr>
        <w:t xml:space="preserve"> However for </w:t>
      </w:r>
      <w:r w:rsidR="008E1B3A">
        <w:rPr>
          <w:rFonts w:asciiTheme="minorHAnsi" w:hAnsiTheme="minorHAnsi" w:cstheme="minorHAnsi"/>
          <w:sz w:val="22"/>
        </w:rPr>
        <w:t>realizing the gains of this high level commitment it is imperative that t</w:t>
      </w:r>
      <w:r w:rsidR="00E66516" w:rsidRPr="00E66516">
        <w:rPr>
          <w:rFonts w:asciiTheme="minorHAnsi" w:hAnsiTheme="minorHAnsi" w:cstheme="minorHAnsi"/>
          <w:sz w:val="22"/>
        </w:rPr>
        <w:t xml:space="preserve">he full potential of all elected representatives, including MPs, MLAs, and Gram Panchayat members, </w:t>
      </w:r>
      <w:r>
        <w:rPr>
          <w:rFonts w:asciiTheme="minorHAnsi" w:hAnsiTheme="minorHAnsi" w:cstheme="minorHAnsi"/>
          <w:sz w:val="22"/>
        </w:rPr>
        <w:t>is</w:t>
      </w:r>
      <w:r w:rsidR="00E66516" w:rsidRPr="00E66516">
        <w:rPr>
          <w:rFonts w:asciiTheme="minorHAnsi" w:hAnsiTheme="minorHAnsi" w:cstheme="minorHAnsi"/>
          <w:sz w:val="22"/>
        </w:rPr>
        <w:t xml:space="preserve"> realized</w:t>
      </w:r>
      <w:r w:rsidR="008E1B3A">
        <w:rPr>
          <w:rFonts w:asciiTheme="minorHAnsi" w:hAnsiTheme="minorHAnsi" w:cstheme="minorHAnsi"/>
          <w:sz w:val="22"/>
        </w:rPr>
        <w:t>.</w:t>
      </w:r>
      <w:r w:rsidR="00E66516" w:rsidRPr="00E66516">
        <w:rPr>
          <w:rFonts w:asciiTheme="minorHAnsi" w:hAnsiTheme="minorHAnsi" w:cstheme="minorHAnsi"/>
          <w:sz w:val="22"/>
        </w:rPr>
        <w:t xml:space="preserve"> The creation of state and district elimination boards in a few states establishes an accountability system for this goal (e.g. in Kerala).</w:t>
      </w:r>
      <w:r w:rsidR="008E1B3A">
        <w:rPr>
          <w:rFonts w:asciiTheme="minorHAnsi" w:hAnsiTheme="minorHAnsi" w:cstheme="minorHAnsi"/>
          <w:sz w:val="22"/>
        </w:rPr>
        <w:t xml:space="preserve"> </w:t>
      </w:r>
    </w:p>
    <w:p w14:paraId="6D9C3BAB" w14:textId="0F38D803" w:rsidR="008E1B3A" w:rsidRDefault="00696B81" w:rsidP="008E1B3A">
      <w:pPr>
        <w:jc w:val="both"/>
        <w:rPr>
          <w:rFonts w:asciiTheme="minorHAnsi" w:hAnsiTheme="minorHAnsi" w:cstheme="minorHAnsi"/>
          <w:sz w:val="22"/>
        </w:rPr>
      </w:pPr>
      <w:r>
        <w:rPr>
          <w:rFonts w:asciiTheme="minorHAnsi" w:hAnsiTheme="minorHAnsi" w:cstheme="minorHAnsi"/>
          <w:sz w:val="22"/>
        </w:rPr>
        <w:t>In addition, t</w:t>
      </w:r>
      <w:r w:rsidR="008E1B3A" w:rsidRPr="008E1B3A">
        <w:rPr>
          <w:rFonts w:asciiTheme="minorHAnsi" w:hAnsiTheme="minorHAnsi" w:cstheme="minorHAnsi"/>
          <w:sz w:val="22"/>
        </w:rPr>
        <w:t xml:space="preserve">here is improvement in the content of communication material on TB with campaigns bearing high-profile public faces, e.g. Amitabh </w:t>
      </w:r>
      <w:r w:rsidR="00C7491B" w:rsidRPr="008E1B3A">
        <w:rPr>
          <w:rFonts w:asciiTheme="minorHAnsi" w:hAnsiTheme="minorHAnsi" w:cstheme="minorHAnsi"/>
          <w:sz w:val="22"/>
        </w:rPr>
        <w:t>Bacchan</w:t>
      </w:r>
      <w:r w:rsidR="008E1B3A" w:rsidRPr="008E1B3A">
        <w:rPr>
          <w:rFonts w:asciiTheme="minorHAnsi" w:hAnsiTheme="minorHAnsi" w:cstheme="minorHAnsi"/>
          <w:sz w:val="22"/>
        </w:rPr>
        <w:t>.</w:t>
      </w:r>
      <w:r w:rsidR="005B42EB">
        <w:rPr>
          <w:rFonts w:asciiTheme="minorHAnsi" w:hAnsiTheme="minorHAnsi" w:cstheme="minorHAnsi"/>
          <w:sz w:val="22"/>
        </w:rPr>
        <w:t xml:space="preserve"> It is envisaged that the i</w:t>
      </w:r>
      <w:r w:rsidR="008E1B3A" w:rsidRPr="008E1B3A">
        <w:rPr>
          <w:rFonts w:asciiTheme="minorHAnsi" w:hAnsiTheme="minorHAnsi" w:cstheme="minorHAnsi"/>
          <w:sz w:val="22"/>
        </w:rPr>
        <w:t xml:space="preserve">mplementation of </w:t>
      </w:r>
      <w:r w:rsidR="005B42EB">
        <w:rPr>
          <w:rFonts w:asciiTheme="minorHAnsi" w:hAnsiTheme="minorHAnsi" w:cstheme="minorHAnsi"/>
          <w:sz w:val="22"/>
        </w:rPr>
        <w:t xml:space="preserve">such </w:t>
      </w:r>
      <w:r w:rsidR="008E1B3A" w:rsidRPr="008E1B3A">
        <w:rPr>
          <w:rFonts w:asciiTheme="minorHAnsi" w:hAnsiTheme="minorHAnsi" w:cstheme="minorHAnsi"/>
          <w:sz w:val="22"/>
        </w:rPr>
        <w:t xml:space="preserve">communication campaigns </w:t>
      </w:r>
      <w:r w:rsidR="005B42EB">
        <w:rPr>
          <w:rFonts w:asciiTheme="minorHAnsi" w:hAnsiTheme="minorHAnsi" w:cstheme="minorHAnsi"/>
          <w:sz w:val="22"/>
        </w:rPr>
        <w:t>will</w:t>
      </w:r>
      <w:r w:rsidR="008E1B3A" w:rsidRPr="008E1B3A">
        <w:rPr>
          <w:rFonts w:asciiTheme="minorHAnsi" w:hAnsiTheme="minorHAnsi" w:cstheme="minorHAnsi"/>
          <w:sz w:val="22"/>
        </w:rPr>
        <w:t xml:space="preserve"> be ongoing</w:t>
      </w:r>
      <w:r>
        <w:rPr>
          <w:rFonts w:asciiTheme="minorHAnsi" w:hAnsiTheme="minorHAnsi" w:cstheme="minorHAnsi"/>
          <w:sz w:val="22"/>
        </w:rPr>
        <w:t xml:space="preserve">. </w:t>
      </w:r>
      <w:r w:rsidR="005B42EB">
        <w:rPr>
          <w:rFonts w:asciiTheme="minorHAnsi" w:hAnsiTheme="minorHAnsi" w:cstheme="minorHAnsi"/>
          <w:sz w:val="22"/>
        </w:rPr>
        <w:t xml:space="preserve">Also </w:t>
      </w:r>
      <w:r w:rsidR="008E1B3A" w:rsidRPr="008E1B3A">
        <w:rPr>
          <w:rFonts w:asciiTheme="minorHAnsi" w:hAnsiTheme="minorHAnsi" w:cstheme="minorHAnsi"/>
          <w:sz w:val="22"/>
        </w:rPr>
        <w:t>effective monitoring and impact evaluation needs to influence new communi</w:t>
      </w:r>
      <w:r w:rsidR="005B42EB">
        <w:rPr>
          <w:rFonts w:asciiTheme="minorHAnsi" w:hAnsiTheme="minorHAnsi" w:cstheme="minorHAnsi"/>
          <w:sz w:val="22"/>
        </w:rPr>
        <w:t xml:space="preserve">cation strategies and content. </w:t>
      </w:r>
      <w:r w:rsidR="008E1B3A" w:rsidRPr="008E1B3A">
        <w:rPr>
          <w:rFonts w:asciiTheme="minorHAnsi" w:hAnsiTheme="minorHAnsi" w:cstheme="minorHAnsi"/>
          <w:sz w:val="22"/>
        </w:rPr>
        <w:t xml:space="preserve"> </w:t>
      </w:r>
    </w:p>
    <w:p w14:paraId="0E6D501B" w14:textId="77777777" w:rsidR="003D0511" w:rsidRPr="003D0511" w:rsidRDefault="003D0511" w:rsidP="003D0511">
      <w:pPr>
        <w:jc w:val="both"/>
        <w:rPr>
          <w:rFonts w:asciiTheme="minorHAnsi" w:hAnsiTheme="minorHAnsi" w:cstheme="minorHAnsi"/>
          <w:b/>
          <w:sz w:val="22"/>
          <w:lang w:val="en-IN"/>
        </w:rPr>
      </w:pPr>
      <w:r w:rsidRPr="003D0511">
        <w:rPr>
          <w:rFonts w:asciiTheme="minorHAnsi" w:hAnsiTheme="minorHAnsi" w:cstheme="minorHAnsi"/>
          <w:b/>
          <w:sz w:val="22"/>
          <w:lang w:val="en-IN"/>
        </w:rPr>
        <w:t>Some of the noteworthy achievements have been:</w:t>
      </w:r>
    </w:p>
    <w:p w14:paraId="12A6D2CF" w14:textId="77777777" w:rsidR="003D0511" w:rsidRPr="003D0511" w:rsidRDefault="003D0511" w:rsidP="00575DDF">
      <w:pPr>
        <w:numPr>
          <w:ilvl w:val="0"/>
          <w:numId w:val="130"/>
        </w:numPr>
        <w:jc w:val="both"/>
        <w:rPr>
          <w:rFonts w:asciiTheme="minorHAnsi" w:hAnsiTheme="minorHAnsi" w:cstheme="minorHAnsi"/>
          <w:sz w:val="22"/>
          <w:lang w:val="en-IN"/>
        </w:rPr>
      </w:pPr>
      <w:r w:rsidRPr="003D0511">
        <w:rPr>
          <w:rFonts w:asciiTheme="minorHAnsi" w:hAnsiTheme="minorHAnsi" w:cstheme="minorHAnsi"/>
          <w:sz w:val="22"/>
          <w:lang w:val="en-IN"/>
        </w:rPr>
        <w:t xml:space="preserve">The National “TB Mukt Bharat” active case finding campaigns, which are massive, repetitive, intensive, persuasive, and community commitment from the panchayat, districts and states, have become center-stage in the programme. </w:t>
      </w:r>
    </w:p>
    <w:p w14:paraId="24F20F1D" w14:textId="77777777" w:rsidR="003D0511" w:rsidRPr="003D0511" w:rsidRDefault="003D0511" w:rsidP="00575DDF">
      <w:pPr>
        <w:numPr>
          <w:ilvl w:val="0"/>
          <w:numId w:val="130"/>
        </w:numPr>
        <w:jc w:val="both"/>
        <w:rPr>
          <w:rFonts w:asciiTheme="minorHAnsi" w:hAnsiTheme="minorHAnsi" w:cstheme="minorHAnsi"/>
          <w:sz w:val="22"/>
          <w:lang w:val="x-none"/>
        </w:rPr>
      </w:pPr>
      <w:r w:rsidRPr="003D0511">
        <w:rPr>
          <w:rFonts w:asciiTheme="minorHAnsi" w:hAnsiTheme="minorHAnsi" w:cstheme="minorHAnsi"/>
          <w:sz w:val="22"/>
          <w:lang w:val="en-IN"/>
        </w:rPr>
        <w:lastRenderedPageBreak/>
        <w:t>There has been a significant movement on the ACSM front with a high visibility media campaign involving Amitabh Bacchan, India’s biggest film star and an ex-TB patient, as the TB brand ambassador. This has made a big impact on conveying the threat of TB to the public at large.</w:t>
      </w:r>
    </w:p>
    <w:p w14:paraId="753AA30C" w14:textId="77777777" w:rsidR="003D0511" w:rsidRPr="003D0511" w:rsidRDefault="003D0511" w:rsidP="00575DDF">
      <w:pPr>
        <w:numPr>
          <w:ilvl w:val="0"/>
          <w:numId w:val="130"/>
        </w:numPr>
        <w:jc w:val="both"/>
        <w:rPr>
          <w:rFonts w:asciiTheme="minorHAnsi" w:hAnsiTheme="minorHAnsi" w:cstheme="minorHAnsi"/>
          <w:sz w:val="22"/>
          <w:lang w:val="x-none"/>
        </w:rPr>
      </w:pPr>
      <w:r w:rsidRPr="003D0511">
        <w:rPr>
          <w:rFonts w:asciiTheme="minorHAnsi" w:hAnsiTheme="minorHAnsi" w:cstheme="minorHAnsi"/>
          <w:sz w:val="22"/>
          <w:lang w:val="en-IN"/>
        </w:rPr>
        <w:t>Substantial efforts have been made towards capacity building of programme managers, state IEC officers and communication facilitators in ACSM with dedicated national, regional and state level ACSM trainings and workshops.</w:t>
      </w:r>
    </w:p>
    <w:p w14:paraId="658E098E" w14:textId="77777777" w:rsidR="003D0511" w:rsidRPr="003D0511" w:rsidRDefault="003D0511" w:rsidP="00575DDF">
      <w:pPr>
        <w:numPr>
          <w:ilvl w:val="0"/>
          <w:numId w:val="130"/>
        </w:numPr>
        <w:jc w:val="both"/>
        <w:rPr>
          <w:rFonts w:asciiTheme="minorHAnsi" w:hAnsiTheme="minorHAnsi" w:cstheme="minorHAnsi"/>
          <w:sz w:val="22"/>
        </w:rPr>
      </w:pPr>
      <w:r w:rsidRPr="003D0511">
        <w:rPr>
          <w:rFonts w:asciiTheme="minorHAnsi" w:hAnsiTheme="minorHAnsi" w:cstheme="minorHAnsi"/>
          <w:sz w:val="22"/>
          <w:lang w:val="x-none"/>
        </w:rPr>
        <w:t>Engag</w:t>
      </w:r>
      <w:r w:rsidRPr="003D0511">
        <w:rPr>
          <w:rFonts w:asciiTheme="minorHAnsi" w:hAnsiTheme="minorHAnsi" w:cstheme="minorHAnsi"/>
          <w:sz w:val="22"/>
          <w:lang w:val="en-IN"/>
        </w:rPr>
        <w:t>ing</w:t>
      </w:r>
      <w:r w:rsidRPr="003D0511">
        <w:rPr>
          <w:rFonts w:asciiTheme="minorHAnsi" w:hAnsiTheme="minorHAnsi" w:cstheme="minorHAnsi"/>
          <w:sz w:val="22"/>
          <w:lang w:val="x-none"/>
        </w:rPr>
        <w:t xml:space="preserve"> diverse stakeholders specifically political and administrative (at </w:t>
      </w:r>
      <w:r w:rsidRPr="003D0511">
        <w:rPr>
          <w:rFonts w:asciiTheme="minorHAnsi" w:hAnsiTheme="minorHAnsi" w:cstheme="minorHAnsi"/>
          <w:sz w:val="22"/>
          <w:lang w:val="en-IN"/>
        </w:rPr>
        <w:t>N</w:t>
      </w:r>
      <w:r w:rsidRPr="003D0511">
        <w:rPr>
          <w:rFonts w:asciiTheme="minorHAnsi" w:hAnsiTheme="minorHAnsi" w:cstheme="minorHAnsi"/>
          <w:sz w:val="22"/>
          <w:lang w:val="x-none"/>
        </w:rPr>
        <w:t xml:space="preserve">ational, </w:t>
      </w:r>
      <w:r w:rsidRPr="003D0511">
        <w:rPr>
          <w:rFonts w:asciiTheme="minorHAnsi" w:hAnsiTheme="minorHAnsi" w:cstheme="minorHAnsi"/>
          <w:sz w:val="22"/>
          <w:lang w:val="en-IN"/>
        </w:rPr>
        <w:t>S</w:t>
      </w:r>
      <w:r w:rsidRPr="003D0511">
        <w:rPr>
          <w:rFonts w:asciiTheme="minorHAnsi" w:hAnsiTheme="minorHAnsi" w:cstheme="minorHAnsi"/>
          <w:sz w:val="22"/>
          <w:lang w:val="x-none"/>
        </w:rPr>
        <w:t xml:space="preserve">tate, </w:t>
      </w:r>
      <w:r w:rsidRPr="003D0511">
        <w:rPr>
          <w:rFonts w:asciiTheme="minorHAnsi" w:hAnsiTheme="minorHAnsi" w:cstheme="minorHAnsi"/>
          <w:sz w:val="22"/>
          <w:lang w:val="en-IN"/>
        </w:rPr>
        <w:t>D</w:t>
      </w:r>
      <w:r w:rsidRPr="003D0511">
        <w:rPr>
          <w:rFonts w:asciiTheme="minorHAnsi" w:hAnsiTheme="minorHAnsi" w:cstheme="minorHAnsi"/>
          <w:sz w:val="22"/>
          <w:lang w:val="x-none"/>
        </w:rPr>
        <w:t xml:space="preserve">istrict, </w:t>
      </w:r>
      <w:r w:rsidRPr="003D0511">
        <w:rPr>
          <w:rFonts w:asciiTheme="minorHAnsi" w:hAnsiTheme="minorHAnsi" w:cstheme="minorHAnsi"/>
          <w:sz w:val="22"/>
          <w:lang w:val="en-IN"/>
        </w:rPr>
        <w:t>P</w:t>
      </w:r>
      <w:r w:rsidRPr="003D0511">
        <w:rPr>
          <w:rFonts w:asciiTheme="minorHAnsi" w:hAnsiTheme="minorHAnsi" w:cstheme="minorHAnsi"/>
          <w:sz w:val="22"/>
          <w:lang w:val="x-none"/>
        </w:rPr>
        <w:t>anchayat is underway.</w:t>
      </w:r>
      <w:r w:rsidRPr="003D0511">
        <w:rPr>
          <w:rFonts w:asciiTheme="minorHAnsi" w:hAnsiTheme="minorHAnsi" w:cstheme="minorHAnsi"/>
          <w:sz w:val="22"/>
        </w:rPr>
        <w:t xml:space="preserve"> The creation of state and district elimination boards in a few states establishes an accountability system for this goal (e.g. in Kerala). </w:t>
      </w:r>
    </w:p>
    <w:p w14:paraId="151172B7" w14:textId="77777777" w:rsidR="003D0511" w:rsidRPr="003D0511" w:rsidRDefault="003D0511" w:rsidP="00575DDF">
      <w:pPr>
        <w:numPr>
          <w:ilvl w:val="0"/>
          <w:numId w:val="130"/>
        </w:numPr>
        <w:jc w:val="both"/>
        <w:rPr>
          <w:rFonts w:asciiTheme="minorHAnsi" w:hAnsiTheme="minorHAnsi" w:cstheme="minorHAnsi"/>
          <w:sz w:val="22"/>
          <w:lang w:val="x-none"/>
        </w:rPr>
      </w:pPr>
      <w:r w:rsidRPr="003D0511">
        <w:rPr>
          <w:rFonts w:asciiTheme="minorHAnsi" w:hAnsiTheme="minorHAnsi" w:cstheme="minorHAnsi"/>
          <w:sz w:val="22"/>
          <w:lang w:val="x-none"/>
        </w:rPr>
        <w:t>Ensur</w:t>
      </w:r>
      <w:r w:rsidRPr="003D0511">
        <w:rPr>
          <w:rFonts w:asciiTheme="minorHAnsi" w:hAnsiTheme="minorHAnsi" w:cstheme="minorHAnsi"/>
          <w:sz w:val="22"/>
          <w:lang w:val="en-IN"/>
        </w:rPr>
        <w:t>ing</w:t>
      </w:r>
      <w:r w:rsidRPr="003D0511">
        <w:rPr>
          <w:rFonts w:asciiTheme="minorHAnsi" w:hAnsiTheme="minorHAnsi" w:cstheme="minorHAnsi"/>
          <w:sz w:val="22"/>
          <w:lang w:val="x-none"/>
        </w:rPr>
        <w:t xml:space="preserve"> civil society partnerships from groups such as Rotary, </w:t>
      </w:r>
      <w:r w:rsidRPr="003D0511">
        <w:rPr>
          <w:rFonts w:asciiTheme="minorHAnsi" w:hAnsiTheme="minorHAnsi" w:cstheme="minorHAnsi"/>
          <w:sz w:val="22"/>
          <w:lang w:val="en-IN"/>
        </w:rPr>
        <w:t>F</w:t>
      </w:r>
      <w:r w:rsidRPr="003D0511">
        <w:rPr>
          <w:rFonts w:asciiTheme="minorHAnsi" w:hAnsiTheme="minorHAnsi" w:cstheme="minorHAnsi"/>
          <w:sz w:val="22"/>
          <w:lang w:val="x-none"/>
        </w:rPr>
        <w:t xml:space="preserve">aith </w:t>
      </w:r>
      <w:r w:rsidRPr="003D0511">
        <w:rPr>
          <w:rFonts w:asciiTheme="minorHAnsi" w:hAnsiTheme="minorHAnsi" w:cstheme="minorHAnsi"/>
          <w:sz w:val="22"/>
          <w:lang w:val="en-IN"/>
        </w:rPr>
        <w:t>B</w:t>
      </w:r>
      <w:r w:rsidRPr="003D0511">
        <w:rPr>
          <w:rFonts w:asciiTheme="minorHAnsi" w:hAnsiTheme="minorHAnsi" w:cstheme="minorHAnsi"/>
          <w:sz w:val="22"/>
          <w:lang w:val="x-none"/>
        </w:rPr>
        <w:t xml:space="preserve">ased </w:t>
      </w:r>
      <w:r w:rsidRPr="003D0511">
        <w:rPr>
          <w:rFonts w:asciiTheme="minorHAnsi" w:hAnsiTheme="minorHAnsi" w:cstheme="minorHAnsi"/>
          <w:sz w:val="22"/>
          <w:lang w:val="en-IN"/>
        </w:rPr>
        <w:t>O</w:t>
      </w:r>
      <w:r w:rsidRPr="003D0511">
        <w:rPr>
          <w:rFonts w:asciiTheme="minorHAnsi" w:hAnsiTheme="minorHAnsi" w:cstheme="minorHAnsi"/>
          <w:sz w:val="22"/>
          <w:lang w:val="x-none"/>
        </w:rPr>
        <w:t>rganizations</w:t>
      </w:r>
      <w:r w:rsidRPr="003D0511">
        <w:rPr>
          <w:rFonts w:asciiTheme="minorHAnsi" w:hAnsiTheme="minorHAnsi" w:cstheme="minorHAnsi"/>
          <w:sz w:val="22"/>
          <w:lang w:val="en-IN"/>
        </w:rPr>
        <w:t>,</w:t>
      </w:r>
      <w:r w:rsidRPr="003D0511">
        <w:rPr>
          <w:rFonts w:asciiTheme="minorHAnsi" w:hAnsiTheme="minorHAnsi" w:cstheme="minorHAnsi"/>
          <w:sz w:val="22"/>
          <w:lang w:val="x-none"/>
        </w:rPr>
        <w:t xml:space="preserve"> </w:t>
      </w:r>
      <w:r w:rsidRPr="003D0511">
        <w:rPr>
          <w:rFonts w:asciiTheme="minorHAnsi" w:hAnsiTheme="minorHAnsi" w:cstheme="minorHAnsi"/>
          <w:sz w:val="22"/>
          <w:lang w:val="en-IN"/>
        </w:rPr>
        <w:t>M</w:t>
      </w:r>
      <w:r w:rsidRPr="003D0511">
        <w:rPr>
          <w:rFonts w:asciiTheme="minorHAnsi" w:hAnsiTheme="minorHAnsi" w:cstheme="minorHAnsi"/>
          <w:sz w:val="22"/>
          <w:lang w:val="x-none"/>
        </w:rPr>
        <w:t>edia (print, TV, radio, digital)</w:t>
      </w:r>
      <w:r w:rsidRPr="003D0511">
        <w:rPr>
          <w:rFonts w:asciiTheme="minorHAnsi" w:hAnsiTheme="minorHAnsi" w:cstheme="minorHAnsi"/>
          <w:sz w:val="22"/>
          <w:lang w:val="en-IN"/>
        </w:rPr>
        <w:t xml:space="preserve"> is an important strategy in the programme</w:t>
      </w:r>
    </w:p>
    <w:p w14:paraId="596AA00F" w14:textId="77777777" w:rsidR="003D0511" w:rsidRPr="003D0511" w:rsidRDefault="003D0511" w:rsidP="00575DDF">
      <w:pPr>
        <w:numPr>
          <w:ilvl w:val="0"/>
          <w:numId w:val="130"/>
        </w:numPr>
        <w:jc w:val="both"/>
        <w:rPr>
          <w:rFonts w:asciiTheme="minorHAnsi" w:hAnsiTheme="minorHAnsi" w:cstheme="minorHAnsi"/>
          <w:sz w:val="22"/>
          <w:lang w:val="x-none"/>
        </w:rPr>
      </w:pPr>
      <w:r w:rsidRPr="003D0511">
        <w:rPr>
          <w:rFonts w:asciiTheme="minorHAnsi" w:hAnsiTheme="minorHAnsi" w:cstheme="minorHAnsi"/>
          <w:sz w:val="22"/>
          <w:lang w:val="en-IN"/>
        </w:rPr>
        <w:t xml:space="preserve">Media advocacy has geared up with the programme routinely and openly sharing </w:t>
      </w:r>
      <w:r w:rsidRPr="003D0511">
        <w:rPr>
          <w:rFonts w:asciiTheme="minorHAnsi" w:hAnsiTheme="minorHAnsi" w:cstheme="minorHAnsi"/>
          <w:sz w:val="22"/>
          <w:lang w:val="x-none"/>
        </w:rPr>
        <w:t>share information about TB with the media, engaging academia / subject experts to share scientific talks</w:t>
      </w:r>
      <w:r w:rsidRPr="003D0511">
        <w:rPr>
          <w:rFonts w:asciiTheme="minorHAnsi" w:hAnsiTheme="minorHAnsi" w:cstheme="minorHAnsi"/>
          <w:sz w:val="22"/>
          <w:lang w:val="en-IN"/>
        </w:rPr>
        <w:t xml:space="preserve"> and information</w:t>
      </w:r>
      <w:r w:rsidRPr="003D0511">
        <w:rPr>
          <w:rFonts w:asciiTheme="minorHAnsi" w:hAnsiTheme="minorHAnsi" w:cstheme="minorHAnsi"/>
          <w:sz w:val="22"/>
          <w:lang w:val="x-none"/>
        </w:rPr>
        <w:t xml:space="preserve"> with the media</w:t>
      </w:r>
      <w:r w:rsidRPr="003D0511">
        <w:rPr>
          <w:rFonts w:asciiTheme="minorHAnsi" w:hAnsiTheme="minorHAnsi" w:cstheme="minorHAnsi"/>
          <w:sz w:val="22"/>
          <w:lang w:val="en-IN"/>
        </w:rPr>
        <w:t xml:space="preserve"> etc</w:t>
      </w:r>
      <w:r w:rsidRPr="003D0511">
        <w:rPr>
          <w:rFonts w:asciiTheme="minorHAnsi" w:hAnsiTheme="minorHAnsi" w:cstheme="minorHAnsi"/>
          <w:sz w:val="22"/>
          <w:lang w:val="x-none"/>
        </w:rPr>
        <w:t xml:space="preserve">. </w:t>
      </w:r>
      <w:r w:rsidRPr="003D0511">
        <w:rPr>
          <w:rFonts w:asciiTheme="minorHAnsi" w:hAnsiTheme="minorHAnsi" w:cstheme="minorHAnsi"/>
          <w:sz w:val="22"/>
          <w:lang w:val="en-IN"/>
        </w:rPr>
        <w:t xml:space="preserve"> Programme has also designed</w:t>
      </w:r>
      <w:r w:rsidRPr="003D0511">
        <w:rPr>
          <w:rFonts w:asciiTheme="minorHAnsi" w:hAnsiTheme="minorHAnsi" w:cstheme="minorHAnsi"/>
          <w:sz w:val="22"/>
          <w:lang w:val="x-none"/>
        </w:rPr>
        <w:t xml:space="preserve"> effective online and social media strategies for TB to engage with the public (FB/ Twitter handle for programme)</w:t>
      </w:r>
      <w:r w:rsidRPr="003D0511">
        <w:rPr>
          <w:rFonts w:asciiTheme="minorHAnsi" w:hAnsiTheme="minorHAnsi" w:cstheme="minorHAnsi"/>
          <w:sz w:val="22"/>
          <w:lang w:val="en-IN"/>
        </w:rPr>
        <w:t>.</w:t>
      </w:r>
    </w:p>
    <w:p w14:paraId="6A8B4786" w14:textId="77777777" w:rsidR="003D0511" w:rsidRPr="003D0511" w:rsidRDefault="003D0511" w:rsidP="00575DDF">
      <w:pPr>
        <w:numPr>
          <w:ilvl w:val="0"/>
          <w:numId w:val="130"/>
        </w:numPr>
        <w:jc w:val="both"/>
        <w:rPr>
          <w:rFonts w:asciiTheme="minorHAnsi" w:hAnsiTheme="minorHAnsi" w:cstheme="minorHAnsi"/>
          <w:sz w:val="22"/>
          <w:lang w:val="x-none"/>
        </w:rPr>
      </w:pPr>
      <w:r w:rsidRPr="003D0511">
        <w:rPr>
          <w:rFonts w:asciiTheme="minorHAnsi" w:hAnsiTheme="minorHAnsi" w:cstheme="minorHAnsi"/>
          <w:sz w:val="22"/>
          <w:lang w:val="en-IN"/>
        </w:rPr>
        <w:t>A Pan India communication campaign, “TB Harega Desh Jeetega’ has been launched.  A</w:t>
      </w:r>
      <w:r w:rsidRPr="003D0511">
        <w:rPr>
          <w:rFonts w:asciiTheme="minorHAnsi" w:hAnsiTheme="minorHAnsi" w:cstheme="minorHAnsi"/>
          <w:sz w:val="22"/>
          <w:lang w:val="x-none"/>
        </w:rPr>
        <w:t xml:space="preserve">ambassadors (celebrities/ influencers etc.)  at regional level </w:t>
      </w:r>
      <w:r w:rsidRPr="003D0511">
        <w:rPr>
          <w:rFonts w:asciiTheme="minorHAnsi" w:hAnsiTheme="minorHAnsi" w:cstheme="minorHAnsi"/>
          <w:sz w:val="22"/>
          <w:lang w:val="en-IN"/>
        </w:rPr>
        <w:t xml:space="preserve"> are being increasingly engaged </w:t>
      </w:r>
      <w:r w:rsidRPr="003D0511">
        <w:rPr>
          <w:rFonts w:asciiTheme="minorHAnsi" w:hAnsiTheme="minorHAnsi" w:cstheme="minorHAnsi"/>
          <w:sz w:val="22"/>
          <w:lang w:val="x-none"/>
        </w:rPr>
        <w:t>to increase visibility</w:t>
      </w:r>
      <w:r w:rsidRPr="003D0511">
        <w:rPr>
          <w:rFonts w:asciiTheme="minorHAnsi" w:hAnsiTheme="minorHAnsi" w:cstheme="minorHAnsi"/>
          <w:sz w:val="22"/>
          <w:lang w:val="en-IN"/>
        </w:rPr>
        <w:t xml:space="preserve"> in some States.  </w:t>
      </w:r>
      <w:r w:rsidRPr="003D0511">
        <w:rPr>
          <w:rFonts w:asciiTheme="minorHAnsi" w:hAnsiTheme="minorHAnsi" w:cstheme="minorHAnsi"/>
          <w:sz w:val="22"/>
          <w:lang w:val="x-none"/>
        </w:rPr>
        <w:t>Empower</w:t>
      </w:r>
      <w:r w:rsidRPr="003D0511">
        <w:rPr>
          <w:rFonts w:asciiTheme="minorHAnsi" w:hAnsiTheme="minorHAnsi" w:cstheme="minorHAnsi"/>
          <w:sz w:val="22"/>
          <w:lang w:val="en-IN"/>
        </w:rPr>
        <w:t>ing</w:t>
      </w:r>
      <w:r w:rsidRPr="003D0511">
        <w:rPr>
          <w:rFonts w:asciiTheme="minorHAnsi" w:hAnsiTheme="minorHAnsi" w:cstheme="minorHAnsi"/>
          <w:sz w:val="22"/>
          <w:lang w:val="x-none"/>
        </w:rPr>
        <w:t xml:space="preserve"> patient advocates</w:t>
      </w:r>
      <w:r w:rsidRPr="003D0511">
        <w:rPr>
          <w:rFonts w:asciiTheme="minorHAnsi" w:hAnsiTheme="minorHAnsi" w:cstheme="minorHAnsi"/>
          <w:sz w:val="22"/>
          <w:lang w:val="en-IN"/>
        </w:rPr>
        <w:t xml:space="preserve"> from</w:t>
      </w:r>
      <w:r w:rsidRPr="003D0511">
        <w:rPr>
          <w:rFonts w:asciiTheme="minorHAnsi" w:hAnsiTheme="minorHAnsi" w:cstheme="minorHAnsi"/>
          <w:sz w:val="22"/>
          <w:lang w:val="x-none"/>
        </w:rPr>
        <w:t xml:space="preserve"> TB communit</w:t>
      </w:r>
      <w:r w:rsidRPr="003D0511">
        <w:rPr>
          <w:rFonts w:asciiTheme="minorHAnsi" w:hAnsiTheme="minorHAnsi" w:cstheme="minorHAnsi"/>
          <w:sz w:val="22"/>
          <w:lang w:val="en-IN"/>
        </w:rPr>
        <w:t>ies</w:t>
      </w:r>
      <w:r w:rsidRPr="003D0511">
        <w:rPr>
          <w:rFonts w:asciiTheme="minorHAnsi" w:hAnsiTheme="minorHAnsi" w:cstheme="minorHAnsi"/>
          <w:sz w:val="22"/>
          <w:lang w:val="x-none"/>
        </w:rPr>
        <w:t xml:space="preserve"> (affected community, cured patients, caretakers ) </w:t>
      </w:r>
      <w:r w:rsidRPr="003D0511">
        <w:rPr>
          <w:rFonts w:asciiTheme="minorHAnsi" w:hAnsiTheme="minorHAnsi" w:cstheme="minorHAnsi"/>
          <w:sz w:val="22"/>
          <w:lang w:val="en-IN"/>
        </w:rPr>
        <w:t xml:space="preserve"> are being encouraged and provided platforms </w:t>
      </w:r>
      <w:r w:rsidRPr="003D0511">
        <w:rPr>
          <w:rFonts w:asciiTheme="minorHAnsi" w:hAnsiTheme="minorHAnsi" w:cstheme="minorHAnsi"/>
          <w:sz w:val="22"/>
          <w:lang w:val="x-none"/>
        </w:rPr>
        <w:t>to speak up/ voice their concerns</w:t>
      </w:r>
      <w:r w:rsidRPr="003D0511">
        <w:rPr>
          <w:rFonts w:asciiTheme="minorHAnsi" w:hAnsiTheme="minorHAnsi" w:cstheme="minorHAnsi"/>
          <w:sz w:val="22"/>
          <w:lang w:val="en-IN"/>
        </w:rPr>
        <w:t>.</w:t>
      </w:r>
    </w:p>
    <w:p w14:paraId="2D4F65C8" w14:textId="77777777" w:rsidR="002E1A65" w:rsidRDefault="0033007D" w:rsidP="00EB1896">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4</w:t>
      </w:r>
      <w:r>
        <w:rPr>
          <w:rFonts w:asciiTheme="minorHAnsi" w:hAnsiTheme="minorHAnsi" w:cstheme="minorHAnsi"/>
          <w:b/>
          <w:color w:val="C86A07" w:themeColor="accent2" w:themeShade="BF"/>
          <w:sz w:val="28"/>
          <w:lang w:val="en"/>
        </w:rPr>
        <w:t xml:space="preserve">.3 </w:t>
      </w:r>
      <w:r w:rsidR="002E1A65">
        <w:rPr>
          <w:rFonts w:asciiTheme="minorHAnsi" w:hAnsiTheme="minorHAnsi" w:cstheme="minorHAnsi"/>
          <w:b/>
          <w:color w:val="C86A07" w:themeColor="accent2" w:themeShade="BF"/>
          <w:sz w:val="28"/>
          <w:lang w:val="en"/>
        </w:rPr>
        <w:t>CHALLENGES</w:t>
      </w:r>
    </w:p>
    <w:p w14:paraId="13986A43" w14:textId="77777777" w:rsidR="002E1A65" w:rsidRPr="002E1A65" w:rsidRDefault="002E1A65" w:rsidP="00575DDF">
      <w:pPr>
        <w:numPr>
          <w:ilvl w:val="0"/>
          <w:numId w:val="130"/>
        </w:numPr>
        <w:jc w:val="both"/>
        <w:rPr>
          <w:rFonts w:asciiTheme="minorHAnsi" w:hAnsiTheme="minorHAnsi" w:cstheme="minorHAnsi"/>
          <w:sz w:val="22"/>
          <w:lang w:val="x-none"/>
        </w:rPr>
      </w:pPr>
      <w:r w:rsidRPr="002E1A65">
        <w:rPr>
          <w:rFonts w:asciiTheme="minorHAnsi" w:hAnsiTheme="minorHAnsi" w:cstheme="minorHAnsi"/>
          <w:sz w:val="22"/>
          <w:lang w:val="x-none"/>
        </w:rPr>
        <w:t>Peripheral health staff who deal with all programmes at field level tends to give less attention to TB ACSM due to priority issues. Although coverage by the auxiliary health workers, mainly the female health workers, Anganwadi Workers (AWWs) and Accredited Social Health Activists (ASHAs) is considerable, their involvement in TB ACSM is relatively limited as a result of competing priorities such as maternal and child health, nutrition, malaria and other social issues</w:t>
      </w:r>
    </w:p>
    <w:p w14:paraId="59315339" w14:textId="77777777" w:rsidR="002E1A65" w:rsidRPr="002E1A65" w:rsidRDefault="002E1A65" w:rsidP="00575DDF">
      <w:pPr>
        <w:numPr>
          <w:ilvl w:val="0"/>
          <w:numId w:val="130"/>
        </w:numPr>
        <w:jc w:val="both"/>
        <w:rPr>
          <w:rFonts w:asciiTheme="minorHAnsi" w:hAnsiTheme="minorHAnsi" w:cstheme="minorHAnsi"/>
          <w:sz w:val="22"/>
          <w:lang w:val="x-none"/>
        </w:rPr>
      </w:pPr>
      <w:r w:rsidRPr="002E1A65">
        <w:rPr>
          <w:rFonts w:asciiTheme="minorHAnsi" w:hAnsiTheme="minorHAnsi" w:cstheme="minorHAnsi"/>
          <w:sz w:val="22"/>
          <w:lang w:val="x-none"/>
        </w:rPr>
        <w:t>There is sub-optimal coordination between the TB ACSM and IEC management to establish a cohesive and integrated management structure to coordinate programme activities</w:t>
      </w:r>
    </w:p>
    <w:p w14:paraId="5452851A" w14:textId="77777777" w:rsidR="002E1A65" w:rsidRPr="002E1A65" w:rsidRDefault="002E1A65" w:rsidP="00575DDF">
      <w:pPr>
        <w:numPr>
          <w:ilvl w:val="0"/>
          <w:numId w:val="130"/>
        </w:numPr>
        <w:jc w:val="both"/>
        <w:rPr>
          <w:rFonts w:asciiTheme="minorHAnsi" w:hAnsiTheme="minorHAnsi" w:cstheme="minorHAnsi"/>
          <w:sz w:val="22"/>
          <w:lang w:val="x-none"/>
        </w:rPr>
      </w:pPr>
      <w:r w:rsidRPr="002E1A65">
        <w:rPr>
          <w:rFonts w:asciiTheme="minorHAnsi" w:hAnsiTheme="minorHAnsi" w:cstheme="minorHAnsi"/>
          <w:sz w:val="22"/>
          <w:lang w:val="x-none"/>
        </w:rPr>
        <w:t>Coordination with stakeholders to develop formative, evaluative, impact and outcome research methods and tools in ACSM has not progressed. ACSM M&amp;E remains the weak link in ACSM functions of the programme.</w:t>
      </w:r>
    </w:p>
    <w:p w14:paraId="2E5665AB" w14:textId="0492ECF0" w:rsidR="00EB1896" w:rsidRDefault="002E1A65" w:rsidP="00EB1896">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 xml:space="preserve">14.4 </w:t>
      </w:r>
      <w:r w:rsidR="00EB1896" w:rsidRPr="00C45A90">
        <w:rPr>
          <w:rFonts w:asciiTheme="minorHAnsi" w:hAnsiTheme="minorHAnsi" w:cstheme="minorHAnsi"/>
          <w:b/>
          <w:color w:val="C86A07" w:themeColor="accent2" w:themeShade="BF"/>
          <w:sz w:val="28"/>
          <w:lang w:val="en"/>
        </w:rPr>
        <w:t>THE WAY FORWARD</w:t>
      </w:r>
      <w:r w:rsidR="00696B81">
        <w:rPr>
          <w:rFonts w:asciiTheme="minorHAnsi" w:hAnsiTheme="minorHAnsi" w:cstheme="minorHAnsi"/>
          <w:b/>
          <w:color w:val="C86A07" w:themeColor="accent2" w:themeShade="BF"/>
          <w:sz w:val="28"/>
          <w:lang w:val="en"/>
        </w:rPr>
        <w:t xml:space="preserve"> </w:t>
      </w:r>
    </w:p>
    <w:p w14:paraId="6983266E" w14:textId="2869A314" w:rsidR="00ED0BD6" w:rsidRDefault="00696B81" w:rsidP="002E1A65">
      <w:pPr>
        <w:spacing w:before="0" w:after="0"/>
        <w:jc w:val="both"/>
        <w:rPr>
          <w:rFonts w:asciiTheme="minorHAnsi" w:hAnsiTheme="minorHAnsi" w:cstheme="minorHAnsi"/>
          <w:sz w:val="22"/>
        </w:rPr>
      </w:pPr>
      <w:r w:rsidRPr="00696B81">
        <w:rPr>
          <w:rFonts w:asciiTheme="minorHAnsi" w:hAnsiTheme="minorHAnsi" w:cstheme="minorHAnsi"/>
          <w:sz w:val="22"/>
        </w:rPr>
        <w:t>Advocacy</w:t>
      </w:r>
      <w:r w:rsidR="00AE111D">
        <w:rPr>
          <w:rFonts w:asciiTheme="minorHAnsi" w:hAnsiTheme="minorHAnsi" w:cstheme="minorHAnsi"/>
          <w:sz w:val="22"/>
        </w:rPr>
        <w:t xml:space="preserve">, information, </w:t>
      </w:r>
      <w:r>
        <w:rPr>
          <w:rFonts w:asciiTheme="minorHAnsi" w:hAnsiTheme="minorHAnsi" w:cstheme="minorHAnsi"/>
          <w:sz w:val="22"/>
        </w:rPr>
        <w:t>communications</w:t>
      </w:r>
      <w:r w:rsidR="00AE111D">
        <w:rPr>
          <w:rFonts w:asciiTheme="minorHAnsi" w:hAnsiTheme="minorHAnsi" w:cstheme="minorHAnsi"/>
          <w:sz w:val="22"/>
        </w:rPr>
        <w:t xml:space="preserve"> and social mobilization </w:t>
      </w:r>
      <w:r>
        <w:rPr>
          <w:rFonts w:asciiTheme="minorHAnsi" w:hAnsiTheme="minorHAnsi" w:cstheme="minorHAnsi"/>
          <w:sz w:val="22"/>
        </w:rPr>
        <w:t>will provide the necessary thrust to a</w:t>
      </w:r>
      <w:r w:rsidRPr="00696B81">
        <w:rPr>
          <w:rFonts w:asciiTheme="minorHAnsi" w:hAnsiTheme="minorHAnsi" w:cstheme="minorHAnsi"/>
          <w:sz w:val="22"/>
        </w:rPr>
        <w:t>ccelerate Universal TB Care coverage and preventive services</w:t>
      </w:r>
      <w:r>
        <w:rPr>
          <w:rFonts w:asciiTheme="minorHAnsi" w:hAnsiTheme="minorHAnsi" w:cstheme="minorHAnsi"/>
          <w:sz w:val="22"/>
        </w:rPr>
        <w:t xml:space="preserve">. </w:t>
      </w:r>
      <w:r w:rsidR="009B6677">
        <w:rPr>
          <w:rFonts w:asciiTheme="minorHAnsi" w:hAnsiTheme="minorHAnsi" w:cstheme="minorHAnsi"/>
          <w:sz w:val="22"/>
        </w:rPr>
        <w:t xml:space="preserve">To achieve </w:t>
      </w:r>
      <w:r w:rsidR="00ED0BD6" w:rsidRPr="00ED0BD6">
        <w:rPr>
          <w:rFonts w:asciiTheme="minorHAnsi" w:hAnsiTheme="minorHAnsi" w:cstheme="minorHAnsi"/>
          <w:sz w:val="22"/>
        </w:rPr>
        <w:t xml:space="preserve">TB preventive and community level interventions </w:t>
      </w:r>
      <w:r w:rsidR="009B6677">
        <w:rPr>
          <w:rFonts w:asciiTheme="minorHAnsi" w:hAnsiTheme="minorHAnsi" w:cstheme="minorHAnsi"/>
          <w:sz w:val="22"/>
        </w:rPr>
        <w:t>will be</w:t>
      </w:r>
      <w:r w:rsidR="00ED0BD6" w:rsidRPr="00ED0BD6">
        <w:rPr>
          <w:rFonts w:asciiTheme="minorHAnsi" w:hAnsiTheme="minorHAnsi" w:cstheme="minorHAnsi"/>
          <w:sz w:val="22"/>
        </w:rPr>
        <w:t xml:space="preserve"> implemented along with a multi-sectoral and community led response. Considering </w:t>
      </w:r>
      <w:r w:rsidR="00ED0BD6" w:rsidRPr="00F51523">
        <w:rPr>
          <w:rFonts w:asciiTheme="minorHAnsi" w:hAnsiTheme="minorHAnsi" w:cstheme="minorHAnsi"/>
          <w:sz w:val="22"/>
        </w:rPr>
        <w:t xml:space="preserve">this, </w:t>
      </w:r>
      <w:r w:rsidR="00526254" w:rsidRPr="00F51523">
        <w:rPr>
          <w:rFonts w:asciiTheme="minorHAnsi" w:hAnsiTheme="minorHAnsi" w:cstheme="minorHAnsi"/>
          <w:sz w:val="22"/>
        </w:rPr>
        <w:t>CTD</w:t>
      </w:r>
      <w:r w:rsidR="00ED0BD6" w:rsidRPr="00F51523">
        <w:rPr>
          <w:rFonts w:asciiTheme="minorHAnsi" w:hAnsiTheme="minorHAnsi" w:cstheme="minorHAnsi"/>
          <w:sz w:val="22"/>
        </w:rPr>
        <w:t xml:space="preserve"> has drawn up an “Accelerator to National Strategic Plan”. </w:t>
      </w:r>
      <w:r w:rsidR="00526254" w:rsidRPr="00F51523">
        <w:rPr>
          <w:rFonts w:asciiTheme="minorHAnsi" w:hAnsiTheme="minorHAnsi" w:cstheme="minorHAnsi"/>
          <w:sz w:val="22"/>
        </w:rPr>
        <w:t xml:space="preserve">The </w:t>
      </w:r>
      <w:r w:rsidR="00ED0BD6" w:rsidRPr="00F51523">
        <w:rPr>
          <w:rFonts w:asciiTheme="minorHAnsi" w:hAnsiTheme="minorHAnsi" w:cstheme="minorHAnsi"/>
          <w:sz w:val="22"/>
        </w:rPr>
        <w:t>key components</w:t>
      </w:r>
      <w:r w:rsidR="00526254" w:rsidRPr="00F51523">
        <w:rPr>
          <w:rFonts w:asciiTheme="minorHAnsi" w:hAnsiTheme="minorHAnsi" w:cstheme="minorHAnsi"/>
          <w:sz w:val="22"/>
        </w:rPr>
        <w:t xml:space="preserve"> and interventions therein is enumerated below</w:t>
      </w:r>
      <w:r w:rsidR="001C5A92">
        <w:rPr>
          <w:rFonts w:asciiTheme="minorHAnsi" w:hAnsiTheme="minorHAnsi" w:cstheme="minorHAnsi"/>
          <w:sz w:val="22"/>
        </w:rPr>
        <w:t xml:space="preserve"> alongwith the </w:t>
      </w:r>
      <w:r w:rsidR="001C5A92" w:rsidRPr="001C5A92">
        <w:rPr>
          <w:rFonts w:asciiTheme="minorHAnsi" w:hAnsiTheme="minorHAnsi" w:cstheme="minorHAnsi"/>
          <w:sz w:val="22"/>
        </w:rPr>
        <w:t>ACSM Intervention Framework</w:t>
      </w:r>
      <w:r w:rsidR="00526254" w:rsidRPr="00F51523">
        <w:rPr>
          <w:rFonts w:asciiTheme="minorHAnsi" w:hAnsiTheme="minorHAnsi" w:cstheme="minorHAnsi"/>
          <w:sz w:val="22"/>
        </w:rPr>
        <w:t>.</w:t>
      </w:r>
    </w:p>
    <w:p w14:paraId="220A8D8D" w14:textId="77777777" w:rsidR="002D035D" w:rsidRDefault="002D035D" w:rsidP="002E1A65">
      <w:pPr>
        <w:spacing w:before="0" w:after="0"/>
        <w:jc w:val="both"/>
        <w:rPr>
          <w:rFonts w:asciiTheme="minorHAnsi" w:hAnsiTheme="minorHAnsi" w:cstheme="minorHAnsi"/>
          <w:sz w:val="22"/>
        </w:rPr>
      </w:pPr>
    </w:p>
    <w:p w14:paraId="09E514D2" w14:textId="77777777" w:rsidR="002D035D" w:rsidRDefault="002D035D" w:rsidP="002E1A65">
      <w:pPr>
        <w:spacing w:before="0" w:after="0"/>
        <w:jc w:val="both"/>
        <w:rPr>
          <w:rFonts w:asciiTheme="minorHAnsi" w:hAnsiTheme="minorHAnsi" w:cstheme="minorHAnsi"/>
          <w:sz w:val="22"/>
        </w:rPr>
      </w:pPr>
    </w:p>
    <w:p w14:paraId="345C716A" w14:textId="77777777" w:rsidR="002D035D" w:rsidRDefault="002D035D" w:rsidP="002E1A65">
      <w:pPr>
        <w:spacing w:before="0" w:after="0"/>
        <w:jc w:val="both"/>
        <w:rPr>
          <w:rFonts w:asciiTheme="minorHAnsi" w:hAnsiTheme="minorHAnsi" w:cstheme="minorHAnsi"/>
          <w:sz w:val="22"/>
        </w:rPr>
      </w:pPr>
    </w:p>
    <w:p w14:paraId="694AF9C2" w14:textId="36C83CAB" w:rsidR="001C5A92" w:rsidRPr="001C5A92" w:rsidRDefault="001C5A92" w:rsidP="002E1A65">
      <w:pPr>
        <w:spacing w:before="0" w:after="0"/>
        <w:jc w:val="both"/>
        <w:rPr>
          <w:rFonts w:asciiTheme="minorHAnsi" w:hAnsiTheme="minorHAnsi" w:cstheme="minorHAnsi"/>
          <w:b/>
          <w:sz w:val="22"/>
        </w:rPr>
      </w:pPr>
      <w:r w:rsidRPr="001C5A92">
        <w:rPr>
          <w:rFonts w:asciiTheme="minorHAnsi" w:hAnsiTheme="minorHAnsi" w:cstheme="minorHAnsi"/>
          <w:b/>
          <w:sz w:val="22"/>
        </w:rPr>
        <w:lastRenderedPageBreak/>
        <w:t>ACSM Implementation framework</w:t>
      </w:r>
    </w:p>
    <w:p w14:paraId="33D4EAA2" w14:textId="77777777" w:rsidR="001E3F24" w:rsidRPr="001E3F24" w:rsidRDefault="001E3F24" w:rsidP="009136E5">
      <w:pPr>
        <w:pStyle w:val="ListParagraph"/>
        <w:numPr>
          <w:ilvl w:val="1"/>
          <w:numId w:val="75"/>
        </w:numPr>
        <w:spacing w:before="0" w:after="0"/>
        <w:jc w:val="both"/>
        <w:rPr>
          <w:rFonts w:asciiTheme="minorHAnsi" w:hAnsiTheme="minorHAnsi" w:cstheme="minorHAnsi"/>
          <w:b/>
          <w:vanish/>
          <w:sz w:val="22"/>
        </w:rPr>
      </w:pPr>
    </w:p>
    <w:tbl>
      <w:tblPr>
        <w:tblStyle w:val="GridTable4-Accent6"/>
        <w:tblW w:w="9243" w:type="dxa"/>
        <w:tblLayout w:type="fixed"/>
        <w:tblCellMar>
          <w:left w:w="72" w:type="dxa"/>
          <w:right w:w="29" w:type="dxa"/>
        </w:tblCellMar>
        <w:tblLook w:val="04A0" w:firstRow="1" w:lastRow="0" w:firstColumn="1" w:lastColumn="0" w:noHBand="0" w:noVBand="1"/>
      </w:tblPr>
      <w:tblGrid>
        <w:gridCol w:w="1368"/>
        <w:gridCol w:w="4104"/>
        <w:gridCol w:w="3771"/>
      </w:tblGrid>
      <w:tr w:rsidR="00A9591E" w:rsidRPr="00A9591E" w14:paraId="632A9CEE" w14:textId="77777777" w:rsidTr="00A9591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68" w:type="dxa"/>
            <w:hideMark/>
          </w:tcPr>
          <w:p w14:paraId="7FBC710B" w14:textId="77777777" w:rsidR="00A9591E" w:rsidRPr="00A9591E" w:rsidRDefault="00A9591E" w:rsidP="00A9591E">
            <w:pPr>
              <w:spacing w:before="0" w:after="0"/>
              <w:rPr>
                <w:rFonts w:asciiTheme="minorHAnsi" w:hAnsiTheme="minorHAnsi" w:cstheme="minorHAnsi"/>
                <w:bCs w:val="0"/>
                <w:color w:val="auto"/>
                <w:sz w:val="22"/>
              </w:rPr>
            </w:pPr>
            <w:r w:rsidRPr="00A9591E">
              <w:rPr>
                <w:rFonts w:asciiTheme="minorHAnsi" w:hAnsiTheme="minorHAnsi" w:cstheme="minorHAnsi"/>
                <w:bCs w:val="0"/>
                <w:color w:val="auto"/>
                <w:sz w:val="22"/>
              </w:rPr>
              <w:t>Channels</w:t>
            </w:r>
          </w:p>
        </w:tc>
        <w:tc>
          <w:tcPr>
            <w:tcW w:w="4104" w:type="dxa"/>
            <w:hideMark/>
          </w:tcPr>
          <w:p w14:paraId="7B49BF7C" w14:textId="77777777" w:rsidR="00A9591E" w:rsidRPr="00A9591E" w:rsidRDefault="00A9591E" w:rsidP="00A9591E">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2"/>
              </w:rPr>
            </w:pPr>
            <w:r w:rsidRPr="00A9591E">
              <w:rPr>
                <w:rFonts w:asciiTheme="minorHAnsi" w:hAnsiTheme="minorHAnsi" w:cstheme="minorHAnsi"/>
                <w:bCs w:val="0"/>
                <w:color w:val="auto"/>
                <w:sz w:val="22"/>
              </w:rPr>
              <w:t>Target Audience</w:t>
            </w:r>
          </w:p>
        </w:tc>
        <w:tc>
          <w:tcPr>
            <w:tcW w:w="3771" w:type="dxa"/>
            <w:hideMark/>
          </w:tcPr>
          <w:p w14:paraId="5743E810" w14:textId="77777777" w:rsidR="00A9591E" w:rsidRPr="00A9591E" w:rsidRDefault="00A9591E" w:rsidP="00A9591E">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2"/>
              </w:rPr>
            </w:pPr>
            <w:r w:rsidRPr="00A9591E">
              <w:rPr>
                <w:rFonts w:asciiTheme="minorHAnsi" w:hAnsiTheme="minorHAnsi" w:cstheme="minorHAnsi"/>
                <w:bCs w:val="0"/>
                <w:color w:val="auto"/>
                <w:sz w:val="22"/>
              </w:rPr>
              <w:t>Tools</w:t>
            </w:r>
          </w:p>
        </w:tc>
      </w:tr>
      <w:tr w:rsidR="00A9591E" w:rsidRPr="00A9591E" w14:paraId="7D730BB3" w14:textId="77777777" w:rsidTr="00A9591E">
        <w:trPr>
          <w:cnfStyle w:val="000000100000" w:firstRow="0" w:lastRow="0" w:firstColumn="0" w:lastColumn="0" w:oddVBand="0" w:evenVBand="0" w:oddHBand="1" w:evenHBand="0" w:firstRowFirstColumn="0" w:firstRowLastColumn="0" w:lastRowFirstColumn="0" w:lastRowLastColumn="0"/>
          <w:trHeight w:val="2015"/>
        </w:trPr>
        <w:tc>
          <w:tcPr>
            <w:cnfStyle w:val="001000000000" w:firstRow="0" w:lastRow="0" w:firstColumn="1" w:lastColumn="0" w:oddVBand="0" w:evenVBand="0" w:oddHBand="0" w:evenHBand="0" w:firstRowFirstColumn="0" w:firstRowLastColumn="0" w:lastRowFirstColumn="0" w:lastRowLastColumn="0"/>
            <w:tcW w:w="1368" w:type="dxa"/>
            <w:hideMark/>
          </w:tcPr>
          <w:p w14:paraId="74D33E9C" w14:textId="77777777" w:rsidR="00A9591E" w:rsidRPr="00A9591E" w:rsidRDefault="00A9591E" w:rsidP="00A9591E">
            <w:pPr>
              <w:spacing w:before="0" w:after="0"/>
              <w:rPr>
                <w:rFonts w:asciiTheme="minorHAnsi" w:hAnsiTheme="minorHAnsi" w:cstheme="minorHAnsi"/>
                <w:b w:val="0"/>
                <w:bCs w:val="0"/>
                <w:sz w:val="22"/>
              </w:rPr>
            </w:pPr>
            <w:r w:rsidRPr="00A9591E">
              <w:rPr>
                <w:rFonts w:asciiTheme="minorHAnsi" w:hAnsiTheme="minorHAnsi" w:cstheme="minorHAnsi"/>
                <w:b w:val="0"/>
                <w:bCs w:val="0"/>
                <w:sz w:val="22"/>
              </w:rPr>
              <w:t>Mass Media</w:t>
            </w:r>
          </w:p>
        </w:tc>
        <w:tc>
          <w:tcPr>
            <w:tcW w:w="4104" w:type="dxa"/>
            <w:hideMark/>
          </w:tcPr>
          <w:p w14:paraId="6715D2F1" w14:textId="77777777" w:rsidR="00A9591E" w:rsidRPr="00A9591E" w:rsidRDefault="00A9591E" w:rsidP="00A9591E">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General public, policy and decision makers, opinion leaders, healthcare providers, healthcare workers, health programme staff, current patients, cured patients, patient families, communities, vulnerable groups, corporates, industry associations, medical associations, NGOs, CSOs etc.</w:t>
            </w:r>
          </w:p>
        </w:tc>
        <w:tc>
          <w:tcPr>
            <w:tcW w:w="3771" w:type="dxa"/>
            <w:hideMark/>
          </w:tcPr>
          <w:p w14:paraId="4B4A5386" w14:textId="77777777" w:rsidR="00A9591E" w:rsidRPr="00A9591E" w:rsidRDefault="00A9591E" w:rsidP="00A9591E">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Print advertisements in Newspapers and Magazines, Television, Radio, Cinema spots, Cable TV ads, online display ads and banners, blogs, seminars, press conferences, media briefings, workshops and roundtables, interviews, op-eds </w:t>
            </w:r>
          </w:p>
        </w:tc>
      </w:tr>
      <w:tr w:rsidR="00A9591E" w:rsidRPr="00A9591E" w14:paraId="4E0997D5" w14:textId="77777777" w:rsidTr="00A9591E">
        <w:trPr>
          <w:trHeight w:val="404"/>
        </w:trPr>
        <w:tc>
          <w:tcPr>
            <w:cnfStyle w:val="001000000000" w:firstRow="0" w:lastRow="0" w:firstColumn="1" w:lastColumn="0" w:oddVBand="0" w:evenVBand="0" w:oddHBand="0" w:evenHBand="0" w:firstRowFirstColumn="0" w:firstRowLastColumn="0" w:lastRowFirstColumn="0" w:lastRowLastColumn="0"/>
            <w:tcW w:w="1368" w:type="dxa"/>
            <w:hideMark/>
          </w:tcPr>
          <w:p w14:paraId="4194D1EE" w14:textId="77777777" w:rsidR="00A9591E" w:rsidRPr="00A9591E" w:rsidRDefault="00A9591E" w:rsidP="00A9591E">
            <w:pPr>
              <w:spacing w:before="0" w:after="0"/>
              <w:rPr>
                <w:rFonts w:asciiTheme="minorHAnsi" w:hAnsiTheme="minorHAnsi" w:cstheme="minorHAnsi"/>
                <w:b w:val="0"/>
                <w:bCs w:val="0"/>
                <w:sz w:val="22"/>
              </w:rPr>
            </w:pPr>
            <w:r w:rsidRPr="00A9591E">
              <w:rPr>
                <w:rFonts w:asciiTheme="minorHAnsi" w:hAnsiTheme="minorHAnsi" w:cstheme="minorHAnsi"/>
                <w:b w:val="0"/>
                <w:bCs w:val="0"/>
                <w:sz w:val="22"/>
              </w:rPr>
              <w:t>Mid Media</w:t>
            </w:r>
          </w:p>
        </w:tc>
        <w:tc>
          <w:tcPr>
            <w:tcW w:w="4104" w:type="dxa"/>
            <w:hideMark/>
          </w:tcPr>
          <w:p w14:paraId="054673B4" w14:textId="77777777" w:rsidR="00A9591E" w:rsidRPr="00A9591E" w:rsidRDefault="00A9591E" w:rsidP="00A9591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General public, opinion leaders, healthcare workers, health programme staff, current patients, cured patients, patient families, communities, vulnerable groups</w:t>
            </w:r>
          </w:p>
        </w:tc>
        <w:tc>
          <w:tcPr>
            <w:tcW w:w="3771" w:type="dxa"/>
            <w:hideMark/>
          </w:tcPr>
          <w:p w14:paraId="7AD16481" w14:textId="77777777" w:rsidR="00A9591E" w:rsidRPr="00A9591E" w:rsidRDefault="00A9591E" w:rsidP="00A9591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 xml:space="preserve">Briefs, factsheets, brochures, flyers, banners, posters, stickers, flip charts, Z-cards, hoardings, wall paintings, street plays </w:t>
            </w:r>
          </w:p>
        </w:tc>
      </w:tr>
      <w:tr w:rsidR="00A9591E" w:rsidRPr="00A9591E" w14:paraId="0AA7FDEA" w14:textId="77777777" w:rsidTr="00A9591E">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368" w:type="dxa"/>
            <w:hideMark/>
          </w:tcPr>
          <w:p w14:paraId="6112A0AA" w14:textId="77777777" w:rsidR="00A9591E" w:rsidRPr="00A9591E" w:rsidRDefault="00A9591E" w:rsidP="00A9591E">
            <w:pPr>
              <w:spacing w:before="0" w:after="0"/>
              <w:rPr>
                <w:rFonts w:asciiTheme="minorHAnsi" w:hAnsiTheme="minorHAnsi" w:cstheme="minorHAnsi"/>
                <w:b w:val="0"/>
                <w:bCs w:val="0"/>
                <w:sz w:val="22"/>
              </w:rPr>
            </w:pPr>
            <w:r w:rsidRPr="00A9591E">
              <w:rPr>
                <w:rFonts w:asciiTheme="minorHAnsi" w:hAnsiTheme="minorHAnsi" w:cstheme="minorHAnsi"/>
                <w:b w:val="0"/>
                <w:bCs w:val="0"/>
                <w:sz w:val="22"/>
              </w:rPr>
              <w:t>Social &amp; Personal media</w:t>
            </w:r>
          </w:p>
        </w:tc>
        <w:tc>
          <w:tcPr>
            <w:tcW w:w="4104" w:type="dxa"/>
            <w:hideMark/>
          </w:tcPr>
          <w:p w14:paraId="22AA953E" w14:textId="77777777" w:rsidR="00A9591E" w:rsidRPr="00A9591E" w:rsidRDefault="00A9591E" w:rsidP="00A9591E">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General public, opinion leaders, healthcare workers, health programme staff, current patients, cured patients, patient families, communities, vulnerable groups</w:t>
            </w:r>
          </w:p>
        </w:tc>
        <w:tc>
          <w:tcPr>
            <w:tcW w:w="3771" w:type="dxa"/>
            <w:hideMark/>
          </w:tcPr>
          <w:p w14:paraId="052C2C31" w14:textId="77777777" w:rsidR="00A9591E" w:rsidRPr="00A9591E" w:rsidRDefault="00A9591E" w:rsidP="00A9591E">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Facebook, YouTube, Twitter, SMS, IVR</w:t>
            </w:r>
          </w:p>
        </w:tc>
      </w:tr>
      <w:tr w:rsidR="00A9591E" w:rsidRPr="00A9591E" w14:paraId="6646A789" w14:textId="77777777" w:rsidTr="00A9591E">
        <w:trPr>
          <w:trHeight w:val="665"/>
        </w:trPr>
        <w:tc>
          <w:tcPr>
            <w:cnfStyle w:val="001000000000" w:firstRow="0" w:lastRow="0" w:firstColumn="1" w:lastColumn="0" w:oddVBand="0" w:evenVBand="0" w:oddHBand="0" w:evenHBand="0" w:firstRowFirstColumn="0" w:firstRowLastColumn="0" w:lastRowFirstColumn="0" w:lastRowLastColumn="0"/>
            <w:tcW w:w="1368" w:type="dxa"/>
            <w:hideMark/>
          </w:tcPr>
          <w:p w14:paraId="69C4B0A1" w14:textId="77777777" w:rsidR="00A9591E" w:rsidRPr="00A9591E" w:rsidRDefault="00A9591E" w:rsidP="00A9591E">
            <w:pPr>
              <w:spacing w:before="0" w:after="0"/>
              <w:rPr>
                <w:rFonts w:asciiTheme="minorHAnsi" w:hAnsiTheme="minorHAnsi" w:cstheme="minorHAnsi"/>
                <w:b w:val="0"/>
                <w:bCs w:val="0"/>
                <w:sz w:val="22"/>
              </w:rPr>
            </w:pPr>
            <w:r w:rsidRPr="00A9591E">
              <w:rPr>
                <w:rFonts w:asciiTheme="minorHAnsi" w:hAnsiTheme="minorHAnsi" w:cstheme="minorHAnsi"/>
                <w:b w:val="0"/>
                <w:bCs w:val="0"/>
                <w:sz w:val="22"/>
              </w:rPr>
              <w:t>Community dialogue</w:t>
            </w:r>
          </w:p>
        </w:tc>
        <w:tc>
          <w:tcPr>
            <w:tcW w:w="4104" w:type="dxa"/>
            <w:hideMark/>
          </w:tcPr>
          <w:p w14:paraId="39B8FA4A" w14:textId="77777777" w:rsidR="00A9591E" w:rsidRPr="00A9591E" w:rsidRDefault="00A9591E" w:rsidP="00A9591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Current patients, communities, vulnerable groups</w:t>
            </w:r>
          </w:p>
        </w:tc>
        <w:tc>
          <w:tcPr>
            <w:tcW w:w="3771" w:type="dxa"/>
            <w:hideMark/>
          </w:tcPr>
          <w:p w14:paraId="0866AEA5" w14:textId="00F7BB2D" w:rsidR="00A9591E" w:rsidRPr="00A9591E" w:rsidRDefault="00A9591E" w:rsidP="00A9591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 xml:space="preserve"> TB champions, meetings, events, announcements at places of public gathering, </w:t>
            </w:r>
            <w:r w:rsidR="003252EB">
              <w:rPr>
                <w:rFonts w:asciiTheme="minorHAnsi" w:hAnsiTheme="minorHAnsi" w:cstheme="minorHAnsi"/>
                <w:sz w:val="22"/>
              </w:rPr>
              <w:t>‘</w:t>
            </w:r>
            <w:r w:rsidRPr="00A9591E">
              <w:rPr>
                <w:rFonts w:asciiTheme="minorHAnsi" w:hAnsiTheme="minorHAnsi" w:cstheme="minorHAnsi"/>
                <w:sz w:val="22"/>
              </w:rPr>
              <w:t>miking</w:t>
            </w:r>
            <w:r w:rsidR="003252EB">
              <w:rPr>
                <w:rFonts w:asciiTheme="minorHAnsi" w:hAnsiTheme="minorHAnsi" w:cstheme="minorHAnsi"/>
                <w:sz w:val="22"/>
              </w:rPr>
              <w:t>’</w:t>
            </w:r>
            <w:r w:rsidRPr="00A9591E">
              <w:rPr>
                <w:rFonts w:asciiTheme="minorHAnsi" w:hAnsiTheme="minorHAnsi" w:cstheme="minorHAnsi"/>
                <w:sz w:val="22"/>
              </w:rPr>
              <w:t>, engaging elementary and higher education institutions</w:t>
            </w:r>
          </w:p>
        </w:tc>
      </w:tr>
      <w:tr w:rsidR="00A9591E" w:rsidRPr="00A9591E" w14:paraId="232E0B6D" w14:textId="77777777" w:rsidTr="00A9591E">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68" w:type="dxa"/>
            <w:hideMark/>
          </w:tcPr>
          <w:p w14:paraId="3F962A6E" w14:textId="77777777" w:rsidR="00A9591E" w:rsidRPr="00A9591E" w:rsidRDefault="00A9591E" w:rsidP="00A9591E">
            <w:pPr>
              <w:spacing w:before="0" w:after="0"/>
              <w:jc w:val="both"/>
              <w:rPr>
                <w:rFonts w:asciiTheme="minorHAnsi" w:hAnsiTheme="minorHAnsi" w:cstheme="minorHAnsi"/>
                <w:b w:val="0"/>
                <w:bCs w:val="0"/>
                <w:sz w:val="22"/>
              </w:rPr>
            </w:pPr>
            <w:r w:rsidRPr="00A9591E">
              <w:rPr>
                <w:rFonts w:asciiTheme="minorHAnsi" w:hAnsiTheme="minorHAnsi" w:cstheme="minorHAnsi"/>
                <w:b w:val="0"/>
                <w:bCs w:val="0"/>
                <w:sz w:val="22"/>
              </w:rPr>
              <w:t>IPC</w:t>
            </w:r>
          </w:p>
        </w:tc>
        <w:tc>
          <w:tcPr>
            <w:tcW w:w="4104" w:type="dxa"/>
            <w:hideMark/>
          </w:tcPr>
          <w:p w14:paraId="7EE69ADE" w14:textId="77777777" w:rsidR="00A9591E" w:rsidRPr="00A9591E" w:rsidRDefault="00A9591E" w:rsidP="00A9591E">
            <w:pPr>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Healthcare workers</w:t>
            </w:r>
          </w:p>
        </w:tc>
        <w:tc>
          <w:tcPr>
            <w:tcW w:w="3771" w:type="dxa"/>
            <w:hideMark/>
          </w:tcPr>
          <w:p w14:paraId="6FD03FD7" w14:textId="77777777" w:rsidR="00A9591E" w:rsidRPr="00A9591E" w:rsidRDefault="00A9591E" w:rsidP="00A9591E">
            <w:pPr>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9591E">
              <w:rPr>
                <w:rFonts w:asciiTheme="minorHAnsi" w:hAnsiTheme="minorHAnsi" w:cstheme="minorHAnsi"/>
                <w:sz w:val="22"/>
              </w:rPr>
              <w:t>Modules and job-aids</w:t>
            </w:r>
          </w:p>
        </w:tc>
      </w:tr>
    </w:tbl>
    <w:p w14:paraId="5C78EB9D" w14:textId="77777777" w:rsidR="002E1A65" w:rsidRPr="002E1A65" w:rsidRDefault="002E1A65" w:rsidP="002E1A65">
      <w:pPr>
        <w:spacing w:before="0" w:after="0"/>
        <w:jc w:val="both"/>
        <w:rPr>
          <w:rFonts w:asciiTheme="minorHAnsi" w:hAnsiTheme="minorHAnsi" w:cstheme="minorHAnsi"/>
          <w:sz w:val="22"/>
        </w:rPr>
      </w:pPr>
    </w:p>
    <w:p w14:paraId="4A2B6348" w14:textId="7FB19FC0" w:rsidR="009B6677" w:rsidRPr="00B63E3D" w:rsidRDefault="00526254" w:rsidP="009136E5">
      <w:pPr>
        <w:pStyle w:val="ListParagraph"/>
        <w:numPr>
          <w:ilvl w:val="2"/>
          <w:numId w:val="75"/>
        </w:numPr>
        <w:spacing w:before="0" w:after="0"/>
        <w:ind w:left="720" w:hanging="720"/>
        <w:jc w:val="both"/>
        <w:rPr>
          <w:rFonts w:asciiTheme="minorHAnsi" w:hAnsiTheme="minorHAnsi" w:cstheme="minorHAnsi"/>
          <w:sz w:val="22"/>
        </w:rPr>
      </w:pPr>
      <w:r w:rsidRPr="00B63E3D">
        <w:rPr>
          <w:rFonts w:asciiTheme="minorHAnsi" w:hAnsiTheme="minorHAnsi" w:cstheme="minorHAnsi"/>
          <w:b/>
          <w:sz w:val="22"/>
        </w:rPr>
        <w:t>Advocacy and Communication:</w:t>
      </w:r>
      <w:r w:rsidRPr="00B63E3D">
        <w:rPr>
          <w:rFonts w:asciiTheme="minorHAnsi" w:hAnsiTheme="minorHAnsi" w:cstheme="minorHAnsi"/>
          <w:sz w:val="22"/>
        </w:rPr>
        <w:t xml:space="preserve"> A 360</w:t>
      </w:r>
      <w:r w:rsidRPr="00B63E3D">
        <w:rPr>
          <w:rFonts w:asciiTheme="minorHAnsi" w:hAnsiTheme="minorHAnsi" w:cstheme="minorHAnsi"/>
          <w:sz w:val="22"/>
          <w:vertAlign w:val="superscript"/>
        </w:rPr>
        <w:t>0</w:t>
      </w:r>
      <w:r w:rsidRPr="00B63E3D">
        <w:rPr>
          <w:rFonts w:asciiTheme="minorHAnsi" w:hAnsiTheme="minorHAnsi" w:cstheme="minorHAnsi"/>
          <w:sz w:val="22"/>
        </w:rPr>
        <w:t xml:space="preserve"> approach to</w:t>
      </w:r>
      <w:r w:rsidR="009B6677" w:rsidRPr="00B63E3D">
        <w:rPr>
          <w:rFonts w:asciiTheme="minorHAnsi" w:hAnsiTheme="minorHAnsi" w:cstheme="minorHAnsi"/>
          <w:sz w:val="22"/>
        </w:rPr>
        <w:t xml:space="preserve"> communications utilizing mass Media Broadcasting, leveraging Social media to disseminate TB related messages, conducting monthly TB Harega Desh Jeetega/ NIKSHAY Diwas,  and messages from Hon’ble Prime Minister, Health Minister, Chief Minister,</w:t>
      </w:r>
      <w:r w:rsidR="00B63E3D" w:rsidRPr="00B63E3D">
        <w:rPr>
          <w:rFonts w:asciiTheme="minorHAnsi" w:hAnsiTheme="minorHAnsi" w:cstheme="minorHAnsi"/>
          <w:sz w:val="22"/>
        </w:rPr>
        <w:t xml:space="preserve"> and other key political leaders </w:t>
      </w:r>
      <w:r w:rsidR="009B6677" w:rsidRPr="00B63E3D">
        <w:rPr>
          <w:rFonts w:asciiTheme="minorHAnsi" w:hAnsiTheme="minorHAnsi" w:cstheme="minorHAnsi"/>
          <w:sz w:val="22"/>
        </w:rPr>
        <w:t>through multiple forums will be undertaken.</w:t>
      </w:r>
      <w:r w:rsidR="00B63E3D" w:rsidRPr="00B63E3D">
        <w:rPr>
          <w:rFonts w:asciiTheme="minorHAnsi" w:hAnsiTheme="minorHAnsi" w:cstheme="minorHAnsi"/>
          <w:sz w:val="22"/>
        </w:rPr>
        <w:t xml:space="preserve"> In addition, at the grass roots level, </w:t>
      </w:r>
      <w:r w:rsidR="009B6677" w:rsidRPr="00B63E3D">
        <w:rPr>
          <w:rFonts w:asciiTheme="minorHAnsi" w:hAnsiTheme="minorHAnsi" w:cstheme="minorHAnsi"/>
          <w:sz w:val="22"/>
        </w:rPr>
        <w:t xml:space="preserve">Gram Sabhas at Gram Panchayat and ward level in </w:t>
      </w:r>
      <w:r w:rsidR="00F51523" w:rsidRPr="00B63E3D">
        <w:rPr>
          <w:rFonts w:asciiTheme="minorHAnsi" w:hAnsiTheme="minorHAnsi" w:cstheme="minorHAnsi"/>
          <w:sz w:val="22"/>
        </w:rPr>
        <w:t>urban</w:t>
      </w:r>
      <w:r w:rsidR="009B6677" w:rsidRPr="00B63E3D">
        <w:rPr>
          <w:rFonts w:asciiTheme="minorHAnsi" w:hAnsiTheme="minorHAnsi" w:cstheme="minorHAnsi"/>
          <w:sz w:val="22"/>
        </w:rPr>
        <w:t xml:space="preserve"> areas </w:t>
      </w:r>
      <w:r w:rsidR="00B63E3D" w:rsidRPr="00B63E3D">
        <w:rPr>
          <w:rFonts w:asciiTheme="minorHAnsi" w:hAnsiTheme="minorHAnsi" w:cstheme="minorHAnsi"/>
          <w:sz w:val="22"/>
        </w:rPr>
        <w:t xml:space="preserve">will be conducted </w:t>
      </w:r>
      <w:r w:rsidR="009B6677" w:rsidRPr="00B63E3D">
        <w:rPr>
          <w:rFonts w:asciiTheme="minorHAnsi" w:hAnsiTheme="minorHAnsi" w:cstheme="minorHAnsi"/>
          <w:sz w:val="22"/>
        </w:rPr>
        <w:t>once in a year</w:t>
      </w:r>
      <w:r w:rsidR="00B63E3D" w:rsidRPr="00B63E3D">
        <w:rPr>
          <w:rFonts w:asciiTheme="minorHAnsi" w:hAnsiTheme="minorHAnsi" w:cstheme="minorHAnsi"/>
          <w:sz w:val="22"/>
        </w:rPr>
        <w:t xml:space="preserve">. </w:t>
      </w:r>
      <w:r w:rsidR="009B6677" w:rsidRPr="00B63E3D">
        <w:rPr>
          <w:rFonts w:asciiTheme="minorHAnsi" w:hAnsiTheme="minorHAnsi" w:cstheme="minorHAnsi"/>
          <w:sz w:val="22"/>
        </w:rPr>
        <w:t>Celebrity Engagement</w:t>
      </w:r>
      <w:r w:rsidR="00B63E3D" w:rsidRPr="00B63E3D">
        <w:rPr>
          <w:rFonts w:asciiTheme="minorHAnsi" w:hAnsiTheme="minorHAnsi" w:cstheme="minorHAnsi"/>
          <w:sz w:val="22"/>
        </w:rPr>
        <w:t xml:space="preserve"> will continue to be an important activity. </w:t>
      </w:r>
    </w:p>
    <w:p w14:paraId="1DBA27EC" w14:textId="77777777" w:rsidR="00BD48E9" w:rsidRPr="00BD48E9" w:rsidRDefault="00BD48E9" w:rsidP="00BD48E9">
      <w:pPr>
        <w:pStyle w:val="ListParagraph"/>
        <w:numPr>
          <w:ilvl w:val="2"/>
          <w:numId w:val="75"/>
        </w:numPr>
        <w:spacing w:before="0" w:after="0"/>
        <w:ind w:left="720" w:hanging="720"/>
        <w:jc w:val="both"/>
        <w:rPr>
          <w:rFonts w:asciiTheme="minorHAnsi" w:hAnsiTheme="minorHAnsi" w:cstheme="minorHAnsi"/>
          <w:sz w:val="22"/>
        </w:rPr>
      </w:pPr>
      <w:r w:rsidRPr="00BD48E9">
        <w:rPr>
          <w:rFonts w:asciiTheme="minorHAnsi" w:hAnsiTheme="minorHAnsi" w:cstheme="minorHAnsi"/>
          <w:sz w:val="22"/>
        </w:rPr>
        <w:t>Mobilization of local political commitment and resources for TB:</w:t>
      </w:r>
    </w:p>
    <w:p w14:paraId="7FB3B660" w14:textId="23A69C84" w:rsidR="00BD48E9" w:rsidRPr="00BD48E9" w:rsidRDefault="00BD48E9" w:rsidP="00BD48E9">
      <w:pPr>
        <w:pStyle w:val="ListParagraph"/>
        <w:numPr>
          <w:ilvl w:val="3"/>
          <w:numId w:val="75"/>
        </w:numPr>
        <w:tabs>
          <w:tab w:val="left" w:pos="1890"/>
        </w:tabs>
        <w:spacing w:before="0" w:after="0"/>
        <w:jc w:val="both"/>
        <w:rPr>
          <w:rFonts w:asciiTheme="minorHAnsi" w:hAnsiTheme="minorHAnsi" w:cstheme="minorHAnsi"/>
          <w:sz w:val="22"/>
        </w:rPr>
      </w:pPr>
      <w:r w:rsidRPr="00BD48E9">
        <w:rPr>
          <w:rFonts w:asciiTheme="minorHAnsi" w:hAnsiTheme="minorHAnsi" w:cstheme="minorHAnsi"/>
          <w:sz w:val="22"/>
        </w:rPr>
        <w:t>Improve case detection and treatment adherence</w:t>
      </w:r>
    </w:p>
    <w:p w14:paraId="41FB791E" w14:textId="16B1EDE6" w:rsidR="00BD48E9" w:rsidRPr="00BD48E9" w:rsidRDefault="00BD48E9" w:rsidP="00BD48E9">
      <w:pPr>
        <w:pStyle w:val="ListParagraph"/>
        <w:numPr>
          <w:ilvl w:val="3"/>
          <w:numId w:val="75"/>
        </w:numPr>
        <w:tabs>
          <w:tab w:val="left" w:pos="1890"/>
        </w:tabs>
        <w:spacing w:before="0" w:after="0"/>
        <w:jc w:val="both"/>
        <w:rPr>
          <w:rFonts w:asciiTheme="minorHAnsi" w:hAnsiTheme="minorHAnsi" w:cstheme="minorHAnsi"/>
          <w:sz w:val="22"/>
        </w:rPr>
      </w:pPr>
      <w:r w:rsidRPr="00BD48E9">
        <w:rPr>
          <w:rFonts w:asciiTheme="minorHAnsi" w:hAnsiTheme="minorHAnsi" w:cstheme="minorHAnsi"/>
          <w:sz w:val="22"/>
        </w:rPr>
        <w:t>Empower people and communities affected by TB</w:t>
      </w:r>
    </w:p>
    <w:p w14:paraId="3F89D1A3" w14:textId="01428E61" w:rsidR="00BD48E9" w:rsidRPr="00BD48E9" w:rsidRDefault="00BD48E9" w:rsidP="00BD48E9">
      <w:pPr>
        <w:pStyle w:val="ListParagraph"/>
        <w:numPr>
          <w:ilvl w:val="3"/>
          <w:numId w:val="75"/>
        </w:numPr>
        <w:tabs>
          <w:tab w:val="left" w:pos="1890"/>
        </w:tabs>
        <w:spacing w:before="0" w:after="0"/>
        <w:jc w:val="both"/>
        <w:rPr>
          <w:rFonts w:asciiTheme="minorHAnsi" w:hAnsiTheme="minorHAnsi" w:cstheme="minorHAnsi"/>
          <w:sz w:val="22"/>
        </w:rPr>
      </w:pPr>
      <w:r w:rsidRPr="00BD48E9">
        <w:rPr>
          <w:rFonts w:asciiTheme="minorHAnsi" w:hAnsiTheme="minorHAnsi" w:cstheme="minorHAnsi"/>
          <w:sz w:val="22"/>
        </w:rPr>
        <w:t xml:space="preserve">Reduced stigma and discrimination against persons and families affected by TB.  </w:t>
      </w:r>
    </w:p>
    <w:p w14:paraId="10CE3876" w14:textId="64DD92F3" w:rsidR="00BD48E9" w:rsidRPr="00BD48E9" w:rsidRDefault="00BD48E9" w:rsidP="00BD48E9">
      <w:pPr>
        <w:pStyle w:val="ListParagraph"/>
        <w:numPr>
          <w:ilvl w:val="3"/>
          <w:numId w:val="75"/>
        </w:numPr>
        <w:tabs>
          <w:tab w:val="left" w:pos="1890"/>
        </w:tabs>
        <w:spacing w:before="0" w:after="0"/>
        <w:jc w:val="both"/>
        <w:rPr>
          <w:rFonts w:asciiTheme="minorHAnsi" w:hAnsiTheme="minorHAnsi" w:cstheme="minorHAnsi"/>
          <w:sz w:val="22"/>
        </w:rPr>
      </w:pPr>
      <w:r w:rsidRPr="00BD48E9">
        <w:rPr>
          <w:rFonts w:asciiTheme="minorHAnsi" w:hAnsiTheme="minorHAnsi" w:cstheme="minorHAnsi"/>
          <w:sz w:val="22"/>
        </w:rPr>
        <w:t>The government machinery at the field level should work with communities and provide free diagnosis and treatment to every affected individual.</w:t>
      </w:r>
    </w:p>
    <w:p w14:paraId="3133B0AB" w14:textId="1D68B0C5" w:rsidR="00BD48E9" w:rsidRPr="00BD48E9" w:rsidRDefault="00BD48E9" w:rsidP="00BD48E9">
      <w:pPr>
        <w:pStyle w:val="ListParagraph"/>
        <w:numPr>
          <w:ilvl w:val="3"/>
          <w:numId w:val="75"/>
        </w:numPr>
        <w:tabs>
          <w:tab w:val="left" w:pos="1890"/>
        </w:tabs>
        <w:spacing w:before="0" w:after="0"/>
        <w:jc w:val="both"/>
        <w:rPr>
          <w:rFonts w:asciiTheme="minorHAnsi" w:hAnsiTheme="minorHAnsi" w:cstheme="minorHAnsi"/>
          <w:sz w:val="22"/>
        </w:rPr>
      </w:pPr>
      <w:r w:rsidRPr="00BD48E9">
        <w:rPr>
          <w:rFonts w:asciiTheme="minorHAnsi" w:hAnsiTheme="minorHAnsi" w:cstheme="minorHAnsi"/>
          <w:sz w:val="22"/>
        </w:rPr>
        <w:t>Every patient should seek care that is free from discrimination and with dignity.</w:t>
      </w:r>
    </w:p>
    <w:p w14:paraId="1BBBBE8C" w14:textId="7CB019EF" w:rsidR="00BD48E9" w:rsidRPr="00BD48E9" w:rsidRDefault="00BD48E9" w:rsidP="00BD48E9">
      <w:pPr>
        <w:pStyle w:val="ListParagraph"/>
        <w:numPr>
          <w:ilvl w:val="3"/>
          <w:numId w:val="75"/>
        </w:numPr>
        <w:tabs>
          <w:tab w:val="left" w:pos="1890"/>
        </w:tabs>
        <w:spacing w:before="0" w:after="0"/>
        <w:jc w:val="both"/>
        <w:rPr>
          <w:rFonts w:asciiTheme="minorHAnsi" w:hAnsiTheme="minorHAnsi" w:cstheme="minorHAnsi"/>
          <w:sz w:val="22"/>
        </w:rPr>
      </w:pPr>
      <w:r w:rsidRPr="00BD48E9">
        <w:rPr>
          <w:rFonts w:asciiTheme="minorHAnsi" w:hAnsiTheme="minorHAnsi" w:cstheme="minorHAnsi"/>
          <w:sz w:val="22"/>
        </w:rPr>
        <w:t>The community must act as a source of support for the patient, which could be achieved through health education and awareness.</w:t>
      </w:r>
    </w:p>
    <w:p w14:paraId="3BC59480" w14:textId="32A88810" w:rsidR="00956D93" w:rsidRPr="00061BE3" w:rsidRDefault="00956D93" w:rsidP="009136E5">
      <w:pPr>
        <w:pStyle w:val="ListParagraph"/>
        <w:numPr>
          <w:ilvl w:val="2"/>
          <w:numId w:val="75"/>
        </w:numPr>
        <w:spacing w:before="0" w:after="0"/>
        <w:ind w:left="720" w:hanging="720"/>
        <w:jc w:val="both"/>
        <w:rPr>
          <w:rFonts w:asciiTheme="minorHAnsi" w:hAnsiTheme="minorHAnsi" w:cstheme="minorHAnsi"/>
          <w:sz w:val="22"/>
        </w:rPr>
      </w:pPr>
      <w:r w:rsidRPr="00061BE3">
        <w:rPr>
          <w:rFonts w:asciiTheme="minorHAnsi" w:hAnsiTheme="minorHAnsi" w:cstheme="minorHAnsi"/>
          <w:b/>
          <w:sz w:val="22"/>
        </w:rPr>
        <w:t xml:space="preserve">At the Health &amp; Wellness centres, </w:t>
      </w:r>
      <w:r w:rsidRPr="00061BE3">
        <w:rPr>
          <w:rFonts w:asciiTheme="minorHAnsi" w:hAnsiTheme="minorHAnsi" w:cstheme="minorHAnsi"/>
          <w:sz w:val="22"/>
        </w:rPr>
        <w:t xml:space="preserve">monthly IEC activities will be conducted as part of TB Harega Desh Jeetega/ NIKSHAY Diwas and will comprise of respiratory hygiene </w:t>
      </w:r>
      <w:r w:rsidR="00F51523" w:rsidRPr="00061BE3">
        <w:rPr>
          <w:rFonts w:asciiTheme="minorHAnsi" w:hAnsiTheme="minorHAnsi" w:cstheme="minorHAnsi"/>
          <w:sz w:val="22"/>
        </w:rPr>
        <w:t>practices</w:t>
      </w:r>
      <w:r w:rsidRPr="00061BE3">
        <w:rPr>
          <w:rFonts w:asciiTheme="minorHAnsi" w:hAnsiTheme="minorHAnsi" w:cstheme="minorHAnsi"/>
          <w:sz w:val="22"/>
        </w:rPr>
        <w:t>, TB patient bank seeding and effective utilization of incentives.</w:t>
      </w:r>
    </w:p>
    <w:p w14:paraId="1833B8FF" w14:textId="42F98CBF" w:rsidR="00956D93" w:rsidRPr="00061BE3" w:rsidRDefault="00526254" w:rsidP="009136E5">
      <w:pPr>
        <w:pStyle w:val="ListParagraph"/>
        <w:numPr>
          <w:ilvl w:val="2"/>
          <w:numId w:val="75"/>
        </w:numPr>
        <w:spacing w:before="0" w:after="0"/>
        <w:ind w:left="720" w:hanging="720"/>
        <w:jc w:val="both"/>
        <w:rPr>
          <w:rFonts w:asciiTheme="minorHAnsi" w:hAnsiTheme="minorHAnsi" w:cstheme="minorHAnsi"/>
          <w:b/>
          <w:bCs/>
          <w:sz w:val="22"/>
        </w:rPr>
      </w:pPr>
      <w:r w:rsidRPr="00061BE3">
        <w:rPr>
          <w:rFonts w:asciiTheme="minorHAnsi" w:hAnsiTheme="minorHAnsi" w:cstheme="minorHAnsi"/>
          <w:b/>
          <w:sz w:val="22"/>
        </w:rPr>
        <w:t>Inter-Ministerial collaboration for addressing social determinants of TB</w:t>
      </w:r>
      <w:r w:rsidR="00956D93" w:rsidRPr="00061BE3">
        <w:rPr>
          <w:rFonts w:asciiTheme="minorHAnsi" w:hAnsiTheme="minorHAnsi" w:cstheme="minorHAnsi"/>
          <w:b/>
          <w:sz w:val="22"/>
        </w:rPr>
        <w:t xml:space="preserve"> </w:t>
      </w:r>
      <w:r w:rsidR="00956D93" w:rsidRPr="00061BE3">
        <w:rPr>
          <w:rFonts w:asciiTheme="minorHAnsi" w:hAnsiTheme="minorHAnsi" w:cstheme="minorHAnsi"/>
          <w:sz w:val="22"/>
        </w:rPr>
        <w:t>will facilitated by MOUs with the different ministries with provisions for TB related services in AYUSH, Railways, Defence, etc., and leveraging Swacch Bharat Abhiyaan, Pradhan Mantri Ujjwala Yojana to spread messages on TB and hygiene, air pollution.</w:t>
      </w:r>
    </w:p>
    <w:p w14:paraId="316481BD" w14:textId="307EC88E" w:rsidR="00526254" w:rsidRPr="00061BE3" w:rsidRDefault="00526254" w:rsidP="009136E5">
      <w:pPr>
        <w:pStyle w:val="ListParagraph"/>
        <w:numPr>
          <w:ilvl w:val="2"/>
          <w:numId w:val="75"/>
        </w:numPr>
        <w:spacing w:before="0" w:after="0"/>
        <w:ind w:left="504"/>
        <w:jc w:val="both"/>
        <w:rPr>
          <w:rFonts w:asciiTheme="minorHAnsi" w:hAnsiTheme="minorHAnsi" w:cstheme="minorHAnsi"/>
          <w:sz w:val="22"/>
        </w:rPr>
      </w:pPr>
      <w:r w:rsidRPr="00061BE3">
        <w:rPr>
          <w:rFonts w:asciiTheme="minorHAnsi" w:hAnsiTheme="minorHAnsi" w:cstheme="minorHAnsi"/>
          <w:b/>
          <w:sz w:val="22"/>
        </w:rPr>
        <w:t>Private health sector engagement</w:t>
      </w:r>
      <w:r w:rsidR="00956D93" w:rsidRPr="00061BE3">
        <w:rPr>
          <w:rFonts w:asciiTheme="minorHAnsi" w:hAnsiTheme="minorHAnsi" w:cstheme="minorHAnsi"/>
          <w:b/>
          <w:sz w:val="22"/>
        </w:rPr>
        <w:t>:</w:t>
      </w:r>
      <w:r w:rsidR="00956D93" w:rsidRPr="00061BE3">
        <w:rPr>
          <w:rFonts w:asciiTheme="minorHAnsi" w:hAnsiTheme="minorHAnsi" w:cstheme="minorHAnsi"/>
          <w:sz w:val="22"/>
        </w:rPr>
        <w:t xml:space="preserve"> Please refer the chapter on private sector engagement</w:t>
      </w:r>
      <w:r w:rsidR="00284688" w:rsidRPr="00061BE3">
        <w:rPr>
          <w:rFonts w:asciiTheme="minorHAnsi" w:hAnsiTheme="minorHAnsi" w:cstheme="minorHAnsi"/>
          <w:sz w:val="22"/>
        </w:rPr>
        <w:t xml:space="preserve">, </w:t>
      </w:r>
      <w:r w:rsidR="00284688" w:rsidRPr="00061BE3">
        <w:rPr>
          <w:rFonts w:asciiTheme="minorHAnsi" w:hAnsiTheme="minorHAnsi" w:cstheme="minorHAnsi"/>
          <w:sz w:val="22"/>
        </w:rPr>
        <w:tab/>
        <w:t>Chapter 11.</w:t>
      </w:r>
    </w:p>
    <w:p w14:paraId="11A62A1B" w14:textId="3258509B" w:rsidR="00956D93" w:rsidRPr="00061BE3" w:rsidRDefault="00284688" w:rsidP="009136E5">
      <w:pPr>
        <w:pStyle w:val="ListParagraph"/>
        <w:numPr>
          <w:ilvl w:val="2"/>
          <w:numId w:val="75"/>
        </w:numPr>
        <w:spacing w:before="0" w:after="0"/>
        <w:ind w:left="504"/>
        <w:jc w:val="both"/>
        <w:rPr>
          <w:rFonts w:asciiTheme="minorHAnsi" w:hAnsiTheme="minorHAnsi" w:cstheme="minorHAnsi"/>
          <w:sz w:val="22"/>
        </w:rPr>
      </w:pPr>
      <w:r w:rsidRPr="00061BE3">
        <w:rPr>
          <w:rFonts w:asciiTheme="minorHAnsi" w:hAnsiTheme="minorHAnsi" w:cstheme="minorHAnsi"/>
          <w:sz w:val="22"/>
        </w:rPr>
        <w:lastRenderedPageBreak/>
        <w:t>The NTEP will l</w:t>
      </w:r>
      <w:r w:rsidR="00956D93" w:rsidRPr="00061BE3">
        <w:rPr>
          <w:rFonts w:asciiTheme="minorHAnsi" w:hAnsiTheme="minorHAnsi" w:cstheme="minorHAnsi"/>
          <w:sz w:val="22"/>
        </w:rPr>
        <w:t xml:space="preserve">everage </w:t>
      </w:r>
      <w:r w:rsidR="00956D93" w:rsidRPr="00061BE3">
        <w:rPr>
          <w:rFonts w:asciiTheme="minorHAnsi" w:hAnsiTheme="minorHAnsi" w:cstheme="minorHAnsi"/>
          <w:b/>
          <w:sz w:val="22"/>
        </w:rPr>
        <w:t>corporate sector resources</w:t>
      </w:r>
      <w:r w:rsidR="00956D93" w:rsidRPr="00061BE3">
        <w:rPr>
          <w:rFonts w:asciiTheme="minorHAnsi" w:hAnsiTheme="minorHAnsi" w:cstheme="minorHAnsi"/>
          <w:sz w:val="22"/>
        </w:rPr>
        <w:t xml:space="preserve"> to Increase awareness, reduce </w:t>
      </w:r>
      <w:r w:rsidRPr="00061BE3">
        <w:rPr>
          <w:rFonts w:asciiTheme="minorHAnsi" w:hAnsiTheme="minorHAnsi" w:cstheme="minorHAnsi"/>
          <w:sz w:val="22"/>
        </w:rPr>
        <w:tab/>
      </w:r>
      <w:r w:rsidR="00956D93" w:rsidRPr="00061BE3">
        <w:rPr>
          <w:rFonts w:asciiTheme="minorHAnsi" w:hAnsiTheme="minorHAnsi" w:cstheme="minorHAnsi"/>
          <w:sz w:val="22"/>
        </w:rPr>
        <w:t xml:space="preserve">stigma/discrimination around TB, </w:t>
      </w:r>
      <w:r w:rsidRPr="00061BE3">
        <w:rPr>
          <w:rFonts w:asciiTheme="minorHAnsi" w:hAnsiTheme="minorHAnsi" w:cstheme="minorHAnsi"/>
          <w:sz w:val="22"/>
        </w:rPr>
        <w:t xml:space="preserve">and </w:t>
      </w:r>
      <w:r w:rsidR="00956D93" w:rsidRPr="00061BE3">
        <w:rPr>
          <w:rFonts w:asciiTheme="minorHAnsi" w:hAnsiTheme="minorHAnsi" w:cstheme="minorHAnsi"/>
          <w:sz w:val="22"/>
        </w:rPr>
        <w:t xml:space="preserve">strengthen patient support system. </w:t>
      </w:r>
      <w:r w:rsidRPr="00061BE3">
        <w:rPr>
          <w:rFonts w:asciiTheme="minorHAnsi" w:hAnsiTheme="minorHAnsi" w:cstheme="minorHAnsi"/>
          <w:sz w:val="22"/>
        </w:rPr>
        <w:t xml:space="preserve">Corporate Social </w:t>
      </w:r>
      <w:r w:rsidRPr="00061BE3">
        <w:rPr>
          <w:rFonts w:asciiTheme="minorHAnsi" w:hAnsiTheme="minorHAnsi" w:cstheme="minorHAnsi"/>
          <w:sz w:val="22"/>
        </w:rPr>
        <w:tab/>
        <w:t>Responsibility functions could be utilized for this purpose.</w:t>
      </w:r>
    </w:p>
    <w:p w14:paraId="1A1EE57B" w14:textId="3F2AF310" w:rsidR="00EB1896" w:rsidRPr="00061BE3" w:rsidRDefault="00526254" w:rsidP="009136E5">
      <w:pPr>
        <w:pStyle w:val="ListParagraph"/>
        <w:numPr>
          <w:ilvl w:val="2"/>
          <w:numId w:val="75"/>
        </w:numPr>
        <w:spacing w:before="0" w:after="0"/>
        <w:ind w:left="504"/>
        <w:jc w:val="both"/>
        <w:rPr>
          <w:rFonts w:asciiTheme="minorHAnsi" w:hAnsiTheme="minorHAnsi" w:cstheme="minorHAnsi"/>
          <w:sz w:val="22"/>
        </w:rPr>
      </w:pPr>
      <w:r w:rsidRPr="00061BE3">
        <w:rPr>
          <w:rFonts w:asciiTheme="minorHAnsi" w:hAnsiTheme="minorHAnsi" w:cstheme="minorHAnsi"/>
          <w:b/>
          <w:sz w:val="22"/>
        </w:rPr>
        <w:t>Community Engagement</w:t>
      </w:r>
      <w:r w:rsidR="00284688" w:rsidRPr="00061BE3">
        <w:rPr>
          <w:rFonts w:asciiTheme="minorHAnsi" w:hAnsiTheme="minorHAnsi" w:cstheme="minorHAnsi"/>
          <w:b/>
          <w:sz w:val="22"/>
        </w:rPr>
        <w:t>:</w:t>
      </w:r>
      <w:r w:rsidR="00284688" w:rsidRPr="00061BE3">
        <w:rPr>
          <w:rFonts w:asciiTheme="minorHAnsi" w:hAnsiTheme="minorHAnsi" w:cstheme="minorHAnsi"/>
          <w:sz w:val="22"/>
        </w:rPr>
        <w:t xml:space="preserve"> Please refer the chapter on Community Engagement, </w:t>
      </w:r>
      <w:r w:rsidR="00284688" w:rsidRPr="00061BE3">
        <w:rPr>
          <w:rFonts w:asciiTheme="minorHAnsi" w:hAnsiTheme="minorHAnsi" w:cstheme="minorHAnsi"/>
          <w:sz w:val="22"/>
          <w:lang w:val="en-GB"/>
        </w:rPr>
        <w:t>Chapter 13.</w:t>
      </w:r>
    </w:p>
    <w:p w14:paraId="058951AE" w14:textId="4B102A09" w:rsidR="00526254" w:rsidRPr="00061BE3" w:rsidRDefault="00526254" w:rsidP="009136E5">
      <w:pPr>
        <w:pStyle w:val="ListParagraph"/>
        <w:numPr>
          <w:ilvl w:val="2"/>
          <w:numId w:val="75"/>
        </w:numPr>
        <w:spacing w:before="0" w:after="0"/>
        <w:ind w:left="504"/>
        <w:jc w:val="both"/>
        <w:rPr>
          <w:rFonts w:asciiTheme="minorHAnsi" w:hAnsiTheme="minorHAnsi" w:cstheme="minorHAnsi"/>
          <w:sz w:val="22"/>
        </w:rPr>
      </w:pPr>
      <w:r w:rsidRPr="00061BE3">
        <w:rPr>
          <w:rFonts w:asciiTheme="minorHAnsi" w:hAnsiTheme="minorHAnsi" w:cstheme="minorHAnsi"/>
          <w:b/>
          <w:sz w:val="22"/>
        </w:rPr>
        <w:t>Latent TB Infection Management</w:t>
      </w:r>
      <w:r w:rsidR="00284688" w:rsidRPr="00061BE3">
        <w:rPr>
          <w:rFonts w:asciiTheme="minorHAnsi" w:hAnsiTheme="minorHAnsi" w:cstheme="minorHAnsi"/>
          <w:b/>
          <w:sz w:val="22"/>
        </w:rPr>
        <w:t>:</w:t>
      </w:r>
      <w:r w:rsidR="00284688" w:rsidRPr="00061BE3">
        <w:rPr>
          <w:rFonts w:asciiTheme="minorHAnsi" w:hAnsiTheme="minorHAnsi" w:cstheme="minorHAnsi"/>
          <w:sz w:val="22"/>
        </w:rPr>
        <w:t xml:space="preserve"> Please refer the chapter on LTBI, Chapter no 22.</w:t>
      </w:r>
    </w:p>
    <w:p w14:paraId="181036E6" w14:textId="03EED364" w:rsidR="001C5A92" w:rsidRPr="001C5A92" w:rsidRDefault="001C5A92" w:rsidP="001C5A92">
      <w:pPr>
        <w:jc w:val="both"/>
        <w:rPr>
          <w:rFonts w:asciiTheme="minorHAnsi" w:hAnsiTheme="minorHAnsi" w:cstheme="minorHAnsi"/>
          <w:b/>
          <w:color w:val="C86A07" w:themeColor="accent2" w:themeShade="BF"/>
          <w:sz w:val="28"/>
          <w:lang w:val="en"/>
        </w:rPr>
      </w:pPr>
      <w:r w:rsidRPr="001C5A92">
        <w:rPr>
          <w:rFonts w:asciiTheme="minorHAnsi" w:hAnsiTheme="minorHAnsi" w:cstheme="minorHAnsi"/>
          <w:b/>
          <w:color w:val="C86A07" w:themeColor="accent2" w:themeShade="BF"/>
          <w:sz w:val="28"/>
          <w:lang w:val="en"/>
        </w:rPr>
        <w:t>14.</w:t>
      </w:r>
      <w:r>
        <w:rPr>
          <w:rFonts w:asciiTheme="minorHAnsi" w:hAnsiTheme="minorHAnsi" w:cstheme="minorHAnsi"/>
          <w:b/>
          <w:color w:val="C86A07" w:themeColor="accent2" w:themeShade="BF"/>
          <w:sz w:val="28"/>
          <w:lang w:val="en"/>
        </w:rPr>
        <w:t>5</w:t>
      </w:r>
      <w:r w:rsidRPr="001C5A92">
        <w:rPr>
          <w:rFonts w:asciiTheme="minorHAnsi" w:hAnsiTheme="minorHAnsi" w:cstheme="minorHAnsi"/>
          <w:b/>
          <w:color w:val="C86A07" w:themeColor="accent2" w:themeShade="BF"/>
          <w:sz w:val="28"/>
          <w:lang w:val="en"/>
        </w:rPr>
        <w:t xml:space="preserve">   MONITORING &amp; EVALUATION OF ACSM</w:t>
      </w:r>
    </w:p>
    <w:p w14:paraId="629CD4B4" w14:textId="14D468C0" w:rsidR="001C5A92" w:rsidRPr="001C5A92" w:rsidRDefault="001C5A92" w:rsidP="001C5A92">
      <w:pPr>
        <w:rPr>
          <w:rFonts w:asciiTheme="minorHAnsi" w:hAnsiTheme="minorHAnsi" w:cstheme="minorHAnsi"/>
          <w:sz w:val="22"/>
        </w:rPr>
      </w:pPr>
      <w:r w:rsidRPr="001C5A92">
        <w:rPr>
          <w:rFonts w:asciiTheme="minorHAnsi" w:hAnsiTheme="minorHAnsi" w:cstheme="minorHAnsi"/>
          <w:sz w:val="22"/>
        </w:rPr>
        <w:t>The following set of tools and forms are indicated below to monitor ACSM activity data program:</w:t>
      </w:r>
    </w:p>
    <w:p w14:paraId="3598DF53" w14:textId="77777777" w:rsidR="001C5A92" w:rsidRPr="001C5A92" w:rsidRDefault="001C5A92" w:rsidP="00575DDF">
      <w:pPr>
        <w:pStyle w:val="ListParagraph"/>
        <w:numPr>
          <w:ilvl w:val="0"/>
          <w:numId w:val="131"/>
        </w:numPr>
        <w:spacing w:before="0" w:after="160"/>
        <w:rPr>
          <w:rFonts w:asciiTheme="minorHAnsi" w:hAnsiTheme="minorHAnsi" w:cstheme="minorHAnsi"/>
          <w:sz w:val="22"/>
        </w:rPr>
      </w:pPr>
      <w:r w:rsidRPr="001C5A92">
        <w:rPr>
          <w:rFonts w:asciiTheme="minorHAnsi" w:hAnsiTheme="minorHAnsi" w:cstheme="minorHAnsi"/>
          <w:sz w:val="22"/>
        </w:rPr>
        <w:t>Outreach contact forms</w:t>
      </w:r>
    </w:p>
    <w:p w14:paraId="44BC3623" w14:textId="77777777" w:rsidR="001C5A92" w:rsidRPr="001C5A92" w:rsidRDefault="001C5A92" w:rsidP="00575DDF">
      <w:pPr>
        <w:pStyle w:val="ListParagraph"/>
        <w:numPr>
          <w:ilvl w:val="0"/>
          <w:numId w:val="131"/>
        </w:numPr>
        <w:spacing w:before="0" w:after="160"/>
        <w:rPr>
          <w:rFonts w:asciiTheme="minorHAnsi" w:hAnsiTheme="minorHAnsi" w:cstheme="minorHAnsi"/>
          <w:sz w:val="22"/>
        </w:rPr>
      </w:pPr>
      <w:r w:rsidRPr="001C5A92">
        <w:rPr>
          <w:rFonts w:asciiTheme="minorHAnsi" w:hAnsiTheme="minorHAnsi" w:cstheme="minorHAnsi"/>
          <w:sz w:val="22"/>
        </w:rPr>
        <w:t>No of trainings in IPC and counselling for healthcare workers in a year</w:t>
      </w:r>
    </w:p>
    <w:p w14:paraId="0375C565" w14:textId="77777777" w:rsidR="001C5A92" w:rsidRPr="001C5A92" w:rsidRDefault="001C5A92" w:rsidP="00575DDF">
      <w:pPr>
        <w:pStyle w:val="ListParagraph"/>
        <w:numPr>
          <w:ilvl w:val="0"/>
          <w:numId w:val="131"/>
        </w:numPr>
        <w:spacing w:before="0" w:after="160"/>
        <w:rPr>
          <w:rFonts w:asciiTheme="minorHAnsi" w:hAnsiTheme="minorHAnsi" w:cstheme="minorHAnsi"/>
          <w:sz w:val="22"/>
        </w:rPr>
      </w:pPr>
      <w:r w:rsidRPr="001C5A92">
        <w:rPr>
          <w:rFonts w:asciiTheme="minorHAnsi" w:hAnsiTheme="minorHAnsi" w:cstheme="minorHAnsi"/>
          <w:sz w:val="22"/>
        </w:rPr>
        <w:t>No of sensitization workshops at Centre/State/District/Block level in a year</w:t>
      </w:r>
    </w:p>
    <w:p w14:paraId="58225DA6" w14:textId="77777777" w:rsidR="001C5A92" w:rsidRPr="001C5A92" w:rsidRDefault="001C5A92" w:rsidP="00575DDF">
      <w:pPr>
        <w:pStyle w:val="ListParagraph"/>
        <w:numPr>
          <w:ilvl w:val="0"/>
          <w:numId w:val="131"/>
        </w:numPr>
        <w:spacing w:before="0" w:after="160"/>
        <w:rPr>
          <w:rFonts w:asciiTheme="minorHAnsi" w:hAnsiTheme="minorHAnsi" w:cstheme="minorHAnsi"/>
          <w:sz w:val="22"/>
        </w:rPr>
      </w:pPr>
      <w:r w:rsidRPr="001C5A92">
        <w:rPr>
          <w:rFonts w:asciiTheme="minorHAnsi" w:hAnsiTheme="minorHAnsi" w:cstheme="minorHAnsi"/>
          <w:sz w:val="22"/>
        </w:rPr>
        <w:t>ACSM training attendance sheets</w:t>
      </w:r>
    </w:p>
    <w:p w14:paraId="396F9EB8" w14:textId="77777777" w:rsidR="001C5A92" w:rsidRPr="001C5A92" w:rsidRDefault="001C5A92" w:rsidP="00575DDF">
      <w:pPr>
        <w:pStyle w:val="ListParagraph"/>
        <w:numPr>
          <w:ilvl w:val="0"/>
          <w:numId w:val="131"/>
        </w:numPr>
        <w:spacing w:before="0" w:after="160"/>
        <w:rPr>
          <w:rFonts w:asciiTheme="minorHAnsi" w:hAnsiTheme="minorHAnsi" w:cstheme="minorHAnsi"/>
          <w:sz w:val="22"/>
        </w:rPr>
      </w:pPr>
      <w:r w:rsidRPr="001C5A92">
        <w:rPr>
          <w:rFonts w:asciiTheme="minorHAnsi" w:hAnsiTheme="minorHAnsi" w:cstheme="minorHAnsi"/>
          <w:sz w:val="22"/>
        </w:rPr>
        <w:t>Meeting minutes</w:t>
      </w:r>
    </w:p>
    <w:p w14:paraId="0A28C486" w14:textId="77777777" w:rsidR="001C5A92" w:rsidRPr="001C5A92" w:rsidRDefault="001C5A92" w:rsidP="00575DDF">
      <w:pPr>
        <w:pStyle w:val="ListParagraph"/>
        <w:numPr>
          <w:ilvl w:val="0"/>
          <w:numId w:val="131"/>
        </w:numPr>
        <w:spacing w:before="0" w:after="160"/>
        <w:rPr>
          <w:rFonts w:asciiTheme="minorHAnsi" w:hAnsiTheme="minorHAnsi" w:cstheme="minorHAnsi"/>
          <w:sz w:val="22"/>
        </w:rPr>
      </w:pPr>
      <w:r w:rsidRPr="001C5A92">
        <w:rPr>
          <w:rFonts w:asciiTheme="minorHAnsi" w:hAnsiTheme="minorHAnsi" w:cstheme="minorHAnsi"/>
          <w:sz w:val="22"/>
        </w:rPr>
        <w:t>Patient registration forms</w:t>
      </w:r>
    </w:p>
    <w:p w14:paraId="59080DB0" w14:textId="77777777" w:rsidR="001C5A92" w:rsidRPr="001C5A92" w:rsidRDefault="001C5A92" w:rsidP="00575DDF">
      <w:pPr>
        <w:pStyle w:val="ListParagraph"/>
        <w:numPr>
          <w:ilvl w:val="0"/>
          <w:numId w:val="131"/>
        </w:numPr>
        <w:spacing w:before="0" w:after="160"/>
        <w:rPr>
          <w:rFonts w:asciiTheme="minorHAnsi" w:hAnsiTheme="minorHAnsi" w:cstheme="minorHAnsi"/>
          <w:sz w:val="22"/>
        </w:rPr>
      </w:pPr>
      <w:r w:rsidRPr="001C5A92">
        <w:rPr>
          <w:rFonts w:asciiTheme="minorHAnsi" w:hAnsiTheme="minorHAnsi" w:cstheme="minorHAnsi"/>
          <w:sz w:val="22"/>
        </w:rPr>
        <w:t>Inventories of communication materials</w:t>
      </w:r>
    </w:p>
    <w:p w14:paraId="2501FDF1" w14:textId="77777777" w:rsidR="001C5A92" w:rsidRPr="001C5A92" w:rsidRDefault="001C5A92" w:rsidP="00575DDF">
      <w:pPr>
        <w:pStyle w:val="ListParagraph"/>
        <w:numPr>
          <w:ilvl w:val="0"/>
          <w:numId w:val="131"/>
        </w:numPr>
        <w:spacing w:before="0" w:after="160"/>
        <w:rPr>
          <w:rFonts w:asciiTheme="minorHAnsi" w:hAnsiTheme="minorHAnsi" w:cstheme="minorHAnsi"/>
          <w:sz w:val="22"/>
        </w:rPr>
      </w:pPr>
      <w:r w:rsidRPr="001C5A92">
        <w:rPr>
          <w:rFonts w:asciiTheme="minorHAnsi" w:hAnsiTheme="minorHAnsi" w:cstheme="minorHAnsi"/>
          <w:sz w:val="22"/>
        </w:rPr>
        <w:t>Website activity reports; and</w:t>
      </w:r>
    </w:p>
    <w:p w14:paraId="5877DAB2" w14:textId="77777777" w:rsidR="001C5A92" w:rsidRPr="001C5A92" w:rsidRDefault="001C5A92" w:rsidP="00575DDF">
      <w:pPr>
        <w:pStyle w:val="ListParagraph"/>
        <w:numPr>
          <w:ilvl w:val="0"/>
          <w:numId w:val="131"/>
        </w:numPr>
        <w:spacing w:before="0" w:after="160"/>
        <w:rPr>
          <w:rFonts w:asciiTheme="minorHAnsi" w:hAnsiTheme="minorHAnsi" w:cstheme="minorHAnsi"/>
          <w:sz w:val="22"/>
        </w:rPr>
      </w:pPr>
      <w:r w:rsidRPr="001C5A92">
        <w:rPr>
          <w:rFonts w:asciiTheme="minorHAnsi" w:hAnsiTheme="minorHAnsi" w:cstheme="minorHAnsi"/>
          <w:sz w:val="22"/>
        </w:rPr>
        <w:t>Phone logs</w:t>
      </w:r>
    </w:p>
    <w:p w14:paraId="0A044D61" w14:textId="439D61ED" w:rsidR="0088710C" w:rsidRPr="0088710C" w:rsidRDefault="0088710C" w:rsidP="0088710C">
      <w:pPr>
        <w:pStyle w:val="NoSpacing"/>
        <w:rPr>
          <w:b/>
          <w:bCs/>
          <w:sz w:val="24"/>
          <w:szCs w:val="24"/>
        </w:rPr>
      </w:pPr>
      <w:r w:rsidRPr="0088710C">
        <w:rPr>
          <w:b/>
          <w:bCs/>
          <w:sz w:val="24"/>
          <w:szCs w:val="24"/>
        </w:rPr>
        <w:t>M&amp;E for specific ACSM activities</w:t>
      </w:r>
    </w:p>
    <w:tbl>
      <w:tblPr>
        <w:tblStyle w:val="TableGrid"/>
        <w:tblW w:w="0" w:type="auto"/>
        <w:tblLook w:val="04A0" w:firstRow="1" w:lastRow="0" w:firstColumn="1" w:lastColumn="0" w:noHBand="0" w:noVBand="1"/>
      </w:tblPr>
      <w:tblGrid>
        <w:gridCol w:w="3006"/>
        <w:gridCol w:w="3005"/>
        <w:gridCol w:w="3005"/>
      </w:tblGrid>
      <w:tr w:rsidR="0088710C" w:rsidRPr="007779E6" w14:paraId="1997E68D" w14:textId="77777777" w:rsidTr="007779E6">
        <w:trPr>
          <w:cnfStyle w:val="100000000000" w:firstRow="1" w:lastRow="0" w:firstColumn="0" w:lastColumn="0" w:oddVBand="0" w:evenVBand="0" w:oddHBand="0" w:evenHBand="0" w:firstRowFirstColumn="0" w:firstRowLastColumn="0" w:lastRowFirstColumn="0" w:lastRowLastColumn="0"/>
        </w:trPr>
        <w:tc>
          <w:tcPr>
            <w:tcW w:w="3006" w:type="dxa"/>
          </w:tcPr>
          <w:p w14:paraId="62192E85" w14:textId="77777777" w:rsidR="0088710C" w:rsidRPr="007779E6" w:rsidRDefault="0088710C" w:rsidP="00283D1C">
            <w:pPr>
              <w:pStyle w:val="NoSpacing"/>
              <w:jc w:val="left"/>
              <w:rPr>
                <w:rFonts w:asciiTheme="minorHAnsi" w:hAnsiTheme="minorHAnsi" w:cstheme="minorHAnsi"/>
                <w:b w:val="0"/>
              </w:rPr>
            </w:pPr>
            <w:r w:rsidRPr="007779E6">
              <w:rPr>
                <w:rFonts w:asciiTheme="minorHAnsi" w:hAnsiTheme="minorHAnsi" w:cstheme="minorHAnsi"/>
                <w:b w:val="0"/>
              </w:rPr>
              <w:t>Advocacy campaigns for policy and decision-makers at national, regional, state and district levels; Media; local opinion leaders and organizations</w:t>
            </w:r>
          </w:p>
        </w:tc>
        <w:tc>
          <w:tcPr>
            <w:tcW w:w="3005" w:type="dxa"/>
            <w:vAlign w:val="top"/>
          </w:tcPr>
          <w:p w14:paraId="7B1A8B90" w14:textId="77777777" w:rsidR="0088710C" w:rsidRPr="007779E6" w:rsidRDefault="0088710C" w:rsidP="007779E6">
            <w:pPr>
              <w:pStyle w:val="NoSpacing"/>
              <w:jc w:val="left"/>
              <w:rPr>
                <w:rFonts w:asciiTheme="minorHAnsi" w:hAnsiTheme="minorHAnsi" w:cstheme="minorHAnsi"/>
                <w:b w:val="0"/>
              </w:rPr>
            </w:pPr>
            <w:r w:rsidRPr="007779E6">
              <w:rPr>
                <w:rFonts w:asciiTheme="minorHAnsi" w:hAnsiTheme="minorHAnsi" w:cstheme="minorHAnsi"/>
                <w:b w:val="0"/>
              </w:rPr>
              <w:t>Identify the most relevant issues to address in advocacy efforts.</w:t>
            </w:r>
          </w:p>
        </w:tc>
        <w:tc>
          <w:tcPr>
            <w:tcW w:w="3005" w:type="dxa"/>
            <w:vAlign w:val="top"/>
          </w:tcPr>
          <w:p w14:paraId="0FD92CC9" w14:textId="003BD0AF" w:rsidR="0088710C" w:rsidRPr="007779E6" w:rsidRDefault="0088710C" w:rsidP="00575DDF">
            <w:pPr>
              <w:pStyle w:val="NoSpacing"/>
              <w:numPr>
                <w:ilvl w:val="0"/>
                <w:numId w:val="133"/>
              </w:numPr>
              <w:ind w:left="199" w:hanging="180"/>
              <w:jc w:val="left"/>
              <w:rPr>
                <w:rFonts w:asciiTheme="minorHAnsi" w:hAnsiTheme="minorHAnsi" w:cstheme="minorHAnsi"/>
                <w:b w:val="0"/>
              </w:rPr>
            </w:pPr>
            <w:r w:rsidRPr="007779E6">
              <w:rPr>
                <w:rFonts w:asciiTheme="minorHAnsi" w:hAnsiTheme="minorHAnsi" w:cstheme="minorHAnsi"/>
                <w:b w:val="0"/>
              </w:rPr>
              <w:t>Conduct in-depth stakeholder interviews and a media scan to</w:t>
            </w:r>
            <w:r w:rsidR="007779E6" w:rsidRPr="007779E6">
              <w:rPr>
                <w:rFonts w:asciiTheme="minorHAnsi" w:hAnsiTheme="minorHAnsi" w:cstheme="minorHAnsi"/>
                <w:b w:val="0"/>
              </w:rPr>
              <w:t xml:space="preserve"> </w:t>
            </w:r>
            <w:r w:rsidRPr="007779E6">
              <w:rPr>
                <w:rFonts w:asciiTheme="minorHAnsi" w:hAnsiTheme="minorHAnsi" w:cstheme="minorHAnsi"/>
                <w:b w:val="0"/>
              </w:rPr>
              <w:t>determine what issues are most relevant.</w:t>
            </w:r>
          </w:p>
        </w:tc>
      </w:tr>
      <w:tr w:rsidR="0088710C" w:rsidRPr="0088710C" w14:paraId="606CCA92" w14:textId="77777777" w:rsidTr="00570731">
        <w:tc>
          <w:tcPr>
            <w:tcW w:w="3006" w:type="dxa"/>
          </w:tcPr>
          <w:p w14:paraId="7374664B" w14:textId="77777777" w:rsidR="0088710C" w:rsidRPr="0088710C" w:rsidRDefault="0088710C" w:rsidP="00570731">
            <w:pPr>
              <w:pStyle w:val="NoSpacing"/>
              <w:rPr>
                <w:rFonts w:asciiTheme="minorHAnsi" w:hAnsiTheme="minorHAnsi" w:cstheme="minorHAnsi"/>
              </w:rPr>
            </w:pPr>
            <w:r w:rsidRPr="0088710C">
              <w:rPr>
                <w:rFonts w:asciiTheme="minorHAnsi" w:hAnsiTheme="minorHAnsi" w:cstheme="minorHAnsi"/>
              </w:rPr>
              <w:t>Awareness campaigns to spread information about TB symptoms and the availability of free diagnosis and treatment.</w:t>
            </w:r>
          </w:p>
        </w:tc>
        <w:tc>
          <w:tcPr>
            <w:tcW w:w="3005" w:type="dxa"/>
          </w:tcPr>
          <w:p w14:paraId="5385387E" w14:textId="77777777" w:rsidR="0088710C" w:rsidRPr="0088710C" w:rsidRDefault="0088710C" w:rsidP="00570731">
            <w:pPr>
              <w:pStyle w:val="NoSpacing"/>
              <w:rPr>
                <w:rFonts w:asciiTheme="minorHAnsi" w:hAnsiTheme="minorHAnsi" w:cstheme="minorHAnsi"/>
              </w:rPr>
            </w:pPr>
            <w:r w:rsidRPr="0088710C">
              <w:rPr>
                <w:rFonts w:asciiTheme="minorHAnsi" w:hAnsiTheme="minorHAnsi" w:cstheme="minorHAnsi"/>
              </w:rPr>
              <w:t>Use NTEP data to determine where TB burden is highest and implement mid-media and IEC materials in these areas.</w:t>
            </w:r>
          </w:p>
        </w:tc>
        <w:tc>
          <w:tcPr>
            <w:tcW w:w="3005" w:type="dxa"/>
          </w:tcPr>
          <w:p w14:paraId="079ECCF1" w14:textId="77777777" w:rsidR="00283D1C" w:rsidRDefault="0088710C" w:rsidP="00575DDF">
            <w:pPr>
              <w:pStyle w:val="NoSpacing"/>
              <w:numPr>
                <w:ilvl w:val="0"/>
                <w:numId w:val="133"/>
              </w:numPr>
              <w:ind w:left="199" w:hanging="180"/>
              <w:rPr>
                <w:rFonts w:asciiTheme="minorHAnsi" w:hAnsiTheme="minorHAnsi" w:cstheme="minorHAnsi"/>
              </w:rPr>
            </w:pPr>
            <w:r w:rsidRPr="0088710C">
              <w:rPr>
                <w:rFonts w:asciiTheme="minorHAnsi" w:hAnsiTheme="minorHAnsi" w:cstheme="minorHAnsi"/>
              </w:rPr>
              <w:t xml:space="preserve">Conduct focus group discussions in targeted communities to clarify the message and customise the language to their needs. </w:t>
            </w:r>
          </w:p>
          <w:p w14:paraId="38D50D52" w14:textId="7228EDD9" w:rsidR="0088710C" w:rsidRPr="0088710C" w:rsidRDefault="0088710C" w:rsidP="00575DDF">
            <w:pPr>
              <w:pStyle w:val="NoSpacing"/>
              <w:numPr>
                <w:ilvl w:val="0"/>
                <w:numId w:val="133"/>
              </w:numPr>
              <w:ind w:left="199" w:hanging="180"/>
              <w:rPr>
                <w:rFonts w:asciiTheme="minorHAnsi" w:hAnsiTheme="minorHAnsi" w:cstheme="minorHAnsi"/>
              </w:rPr>
            </w:pPr>
            <w:r w:rsidRPr="0088710C">
              <w:rPr>
                <w:rFonts w:asciiTheme="minorHAnsi" w:hAnsiTheme="minorHAnsi" w:cstheme="minorHAnsi"/>
              </w:rPr>
              <w:t>Measure information retention through Community Surveys</w:t>
            </w:r>
          </w:p>
        </w:tc>
      </w:tr>
      <w:tr w:rsidR="0088710C" w:rsidRPr="0088710C" w14:paraId="4AB22B25" w14:textId="77777777" w:rsidTr="00570731">
        <w:tc>
          <w:tcPr>
            <w:tcW w:w="3006" w:type="dxa"/>
          </w:tcPr>
          <w:p w14:paraId="48A41D54" w14:textId="77777777" w:rsidR="0088710C" w:rsidRPr="0088710C" w:rsidRDefault="0088710C" w:rsidP="00570731">
            <w:pPr>
              <w:pStyle w:val="NoSpacing"/>
              <w:rPr>
                <w:rFonts w:asciiTheme="minorHAnsi" w:hAnsiTheme="minorHAnsi" w:cstheme="minorHAnsi"/>
              </w:rPr>
            </w:pPr>
            <w:r w:rsidRPr="0088710C">
              <w:rPr>
                <w:rFonts w:asciiTheme="minorHAnsi" w:hAnsiTheme="minorHAnsi" w:cstheme="minorHAnsi"/>
              </w:rPr>
              <w:t>Training of community level</w:t>
            </w:r>
          </w:p>
          <w:p w14:paraId="5B05F4A2" w14:textId="2D73DDA5" w:rsidR="0088710C" w:rsidRPr="0088710C" w:rsidRDefault="00BD018A" w:rsidP="00570731">
            <w:pPr>
              <w:pStyle w:val="NoSpacing"/>
              <w:rPr>
                <w:rFonts w:asciiTheme="minorHAnsi" w:hAnsiTheme="minorHAnsi" w:cstheme="minorHAnsi"/>
              </w:rPr>
            </w:pPr>
            <w:r w:rsidRPr="0088710C">
              <w:rPr>
                <w:rFonts w:asciiTheme="minorHAnsi" w:hAnsiTheme="minorHAnsi" w:cstheme="minorHAnsi"/>
              </w:rPr>
              <w:t>Activists</w:t>
            </w:r>
            <w:r w:rsidR="0088710C" w:rsidRPr="0088710C">
              <w:rPr>
                <w:rFonts w:asciiTheme="minorHAnsi" w:hAnsiTheme="minorHAnsi" w:cstheme="minorHAnsi"/>
              </w:rPr>
              <w:t xml:space="preserve"> (TB Champions, Health Workers, CSOs, NGOs, SHGs, VHSNCs, CBOs, FBOs, PRIs etc) to screen people for TB.</w:t>
            </w:r>
          </w:p>
        </w:tc>
        <w:tc>
          <w:tcPr>
            <w:tcW w:w="3005" w:type="dxa"/>
          </w:tcPr>
          <w:p w14:paraId="0E86D1E2" w14:textId="77777777" w:rsidR="0088710C" w:rsidRPr="0088710C" w:rsidRDefault="0088710C" w:rsidP="00570731">
            <w:pPr>
              <w:pStyle w:val="NoSpacing"/>
              <w:rPr>
                <w:rFonts w:asciiTheme="minorHAnsi" w:hAnsiTheme="minorHAnsi" w:cstheme="minorHAnsi"/>
              </w:rPr>
            </w:pPr>
            <w:r w:rsidRPr="0088710C">
              <w:rPr>
                <w:rFonts w:asciiTheme="minorHAnsi" w:hAnsiTheme="minorHAnsi" w:cstheme="minorHAnsi"/>
              </w:rPr>
              <w:t>Determine changes in knowledge.</w:t>
            </w:r>
          </w:p>
        </w:tc>
        <w:tc>
          <w:tcPr>
            <w:tcW w:w="3005" w:type="dxa"/>
          </w:tcPr>
          <w:p w14:paraId="652E7536" w14:textId="77777777" w:rsidR="0088710C" w:rsidRPr="0088710C" w:rsidRDefault="0088710C" w:rsidP="00575DDF">
            <w:pPr>
              <w:pStyle w:val="NoSpacing"/>
              <w:numPr>
                <w:ilvl w:val="0"/>
                <w:numId w:val="133"/>
              </w:numPr>
              <w:ind w:left="199" w:hanging="180"/>
              <w:rPr>
                <w:rFonts w:asciiTheme="minorHAnsi" w:hAnsiTheme="minorHAnsi" w:cstheme="minorHAnsi"/>
              </w:rPr>
            </w:pPr>
            <w:r w:rsidRPr="0088710C">
              <w:rPr>
                <w:rFonts w:asciiTheme="minorHAnsi" w:hAnsiTheme="minorHAnsi" w:cstheme="minorHAnsi"/>
              </w:rPr>
              <w:t>Count the number of people trained and administer pre-/post-tests.</w:t>
            </w:r>
          </w:p>
          <w:p w14:paraId="16D37EBF" w14:textId="7F997CCE" w:rsidR="0088710C" w:rsidRPr="00283D1C" w:rsidRDefault="0088710C" w:rsidP="00575DDF">
            <w:pPr>
              <w:pStyle w:val="NoSpacing"/>
              <w:numPr>
                <w:ilvl w:val="0"/>
                <w:numId w:val="133"/>
              </w:numPr>
              <w:ind w:left="199" w:hanging="180"/>
              <w:rPr>
                <w:rFonts w:asciiTheme="minorHAnsi" w:hAnsiTheme="minorHAnsi" w:cstheme="minorHAnsi"/>
              </w:rPr>
            </w:pPr>
            <w:r w:rsidRPr="0088710C">
              <w:rPr>
                <w:rFonts w:asciiTheme="minorHAnsi" w:hAnsiTheme="minorHAnsi" w:cstheme="minorHAnsi"/>
              </w:rPr>
              <w:t>Compare case notification rates over time in districts where community activists</w:t>
            </w:r>
            <w:r w:rsidR="00283D1C">
              <w:rPr>
                <w:rFonts w:asciiTheme="minorHAnsi" w:hAnsiTheme="minorHAnsi" w:cstheme="minorHAnsi"/>
              </w:rPr>
              <w:t xml:space="preserve"> </w:t>
            </w:r>
            <w:r w:rsidRPr="00283D1C">
              <w:rPr>
                <w:rFonts w:asciiTheme="minorHAnsi" w:hAnsiTheme="minorHAnsi" w:cstheme="minorHAnsi"/>
              </w:rPr>
              <w:t>are functional.</w:t>
            </w:r>
          </w:p>
        </w:tc>
      </w:tr>
      <w:tr w:rsidR="0088710C" w:rsidRPr="0088710C" w14:paraId="02060B64" w14:textId="77777777" w:rsidTr="00570731">
        <w:tc>
          <w:tcPr>
            <w:tcW w:w="3006" w:type="dxa"/>
          </w:tcPr>
          <w:p w14:paraId="302E0867" w14:textId="77777777" w:rsidR="0088710C" w:rsidRPr="0088710C" w:rsidRDefault="0088710C" w:rsidP="00570731">
            <w:pPr>
              <w:pStyle w:val="NoSpacing"/>
              <w:rPr>
                <w:rFonts w:asciiTheme="minorHAnsi" w:hAnsiTheme="minorHAnsi" w:cstheme="minorHAnsi"/>
              </w:rPr>
            </w:pPr>
            <w:r w:rsidRPr="0088710C">
              <w:rPr>
                <w:rFonts w:asciiTheme="minorHAnsi" w:hAnsiTheme="minorHAnsi" w:cstheme="minorHAnsi"/>
              </w:rPr>
              <w:t xml:space="preserve">Social mobilization effort to support patients to complete TB treatment (Patient Families, </w:t>
            </w:r>
            <w:r w:rsidRPr="0088710C">
              <w:rPr>
                <w:rFonts w:asciiTheme="minorHAnsi" w:hAnsiTheme="minorHAnsi" w:cstheme="minorHAnsi"/>
                <w:color w:val="000000"/>
              </w:rPr>
              <w:t>Community groups, local CSOs, NGOs, SHGs, VHSNCs, CBOs, FBOs, PRIs, youth groups, local opinion leaders)</w:t>
            </w:r>
          </w:p>
        </w:tc>
        <w:tc>
          <w:tcPr>
            <w:tcW w:w="3005" w:type="dxa"/>
          </w:tcPr>
          <w:p w14:paraId="710528B6" w14:textId="77777777" w:rsidR="0088710C" w:rsidRPr="0088710C" w:rsidRDefault="0088710C" w:rsidP="00570731">
            <w:pPr>
              <w:pStyle w:val="NoSpacing"/>
              <w:rPr>
                <w:rFonts w:asciiTheme="minorHAnsi" w:hAnsiTheme="minorHAnsi" w:cstheme="minorHAnsi"/>
              </w:rPr>
            </w:pPr>
            <w:r w:rsidRPr="0088710C">
              <w:rPr>
                <w:rFonts w:asciiTheme="minorHAnsi" w:hAnsiTheme="minorHAnsi" w:cstheme="minorHAnsi"/>
              </w:rPr>
              <w:t>Conduct focus group discussions on quality of care to improve services.</w:t>
            </w:r>
          </w:p>
        </w:tc>
        <w:tc>
          <w:tcPr>
            <w:tcW w:w="3005" w:type="dxa"/>
          </w:tcPr>
          <w:p w14:paraId="5728CC28" w14:textId="3E28C9DC" w:rsidR="0088710C" w:rsidRPr="00283D1C" w:rsidRDefault="0088710C" w:rsidP="00575DDF">
            <w:pPr>
              <w:pStyle w:val="NoSpacing"/>
              <w:numPr>
                <w:ilvl w:val="0"/>
                <w:numId w:val="133"/>
              </w:numPr>
              <w:ind w:left="199" w:hanging="180"/>
              <w:rPr>
                <w:rFonts w:asciiTheme="minorHAnsi" w:hAnsiTheme="minorHAnsi" w:cstheme="minorHAnsi"/>
              </w:rPr>
            </w:pPr>
            <w:r w:rsidRPr="00283D1C">
              <w:rPr>
                <w:rFonts w:asciiTheme="minorHAnsi" w:hAnsiTheme="minorHAnsi" w:cstheme="minorHAnsi"/>
              </w:rPr>
              <w:t>Analyse treatment card data from clinics in one district to see if treatment outcomes</w:t>
            </w:r>
            <w:r w:rsidR="00283D1C" w:rsidRPr="00283D1C">
              <w:rPr>
                <w:rFonts w:asciiTheme="minorHAnsi" w:hAnsiTheme="minorHAnsi" w:cstheme="minorHAnsi"/>
              </w:rPr>
              <w:t xml:space="preserve"> </w:t>
            </w:r>
            <w:r w:rsidRPr="00283D1C">
              <w:rPr>
                <w:rFonts w:asciiTheme="minorHAnsi" w:hAnsiTheme="minorHAnsi" w:cstheme="minorHAnsi"/>
              </w:rPr>
              <w:t xml:space="preserve">improve over time. </w:t>
            </w:r>
          </w:p>
          <w:p w14:paraId="532D0AD9" w14:textId="77777777" w:rsidR="0088710C" w:rsidRPr="0088710C" w:rsidRDefault="0088710C" w:rsidP="00575DDF">
            <w:pPr>
              <w:pStyle w:val="NoSpacing"/>
              <w:numPr>
                <w:ilvl w:val="0"/>
                <w:numId w:val="133"/>
              </w:numPr>
              <w:ind w:left="199" w:hanging="180"/>
              <w:rPr>
                <w:rFonts w:asciiTheme="minorHAnsi" w:hAnsiTheme="minorHAnsi" w:cstheme="minorHAnsi"/>
              </w:rPr>
            </w:pPr>
            <w:r w:rsidRPr="0088710C">
              <w:rPr>
                <w:rFonts w:asciiTheme="minorHAnsi" w:hAnsiTheme="minorHAnsi" w:cstheme="minorHAnsi"/>
              </w:rPr>
              <w:t>KAP/ Community surveys will indicate changes in attitudes toward people who have TB, and health care practices.</w:t>
            </w:r>
          </w:p>
        </w:tc>
      </w:tr>
      <w:tr w:rsidR="0088710C" w:rsidRPr="0088710C" w14:paraId="75E1404A" w14:textId="77777777" w:rsidTr="00570731">
        <w:tc>
          <w:tcPr>
            <w:tcW w:w="3006" w:type="dxa"/>
          </w:tcPr>
          <w:p w14:paraId="3CEFA5AA" w14:textId="77777777" w:rsidR="0088710C" w:rsidRPr="0088710C" w:rsidRDefault="0088710C" w:rsidP="00570731">
            <w:pPr>
              <w:pStyle w:val="NoSpacing"/>
              <w:rPr>
                <w:rFonts w:asciiTheme="minorHAnsi" w:hAnsiTheme="minorHAnsi" w:cstheme="minorHAnsi"/>
              </w:rPr>
            </w:pPr>
            <w:r w:rsidRPr="0088710C">
              <w:rPr>
                <w:rFonts w:asciiTheme="minorHAnsi" w:hAnsiTheme="minorHAnsi" w:cstheme="minorHAnsi"/>
              </w:rPr>
              <w:lastRenderedPageBreak/>
              <w:t>Interpersonal communication and counselling training for health workers</w:t>
            </w:r>
          </w:p>
        </w:tc>
        <w:tc>
          <w:tcPr>
            <w:tcW w:w="3005" w:type="dxa"/>
          </w:tcPr>
          <w:p w14:paraId="50B3364A" w14:textId="77777777" w:rsidR="0088710C" w:rsidRPr="0088710C" w:rsidRDefault="0088710C" w:rsidP="00570731">
            <w:pPr>
              <w:pStyle w:val="NoSpacing"/>
              <w:rPr>
                <w:rFonts w:asciiTheme="minorHAnsi" w:hAnsiTheme="minorHAnsi" w:cstheme="minorHAnsi"/>
              </w:rPr>
            </w:pPr>
            <w:r w:rsidRPr="0088710C">
              <w:rPr>
                <w:rFonts w:asciiTheme="minorHAnsi" w:hAnsiTheme="minorHAnsi" w:cstheme="minorHAnsi"/>
              </w:rPr>
              <w:t>Track the quality of service delivery and improved clinical practices</w:t>
            </w:r>
          </w:p>
        </w:tc>
        <w:tc>
          <w:tcPr>
            <w:tcW w:w="3005" w:type="dxa"/>
          </w:tcPr>
          <w:p w14:paraId="063682F6" w14:textId="77777777" w:rsidR="0088710C" w:rsidRPr="0088710C" w:rsidRDefault="0088710C" w:rsidP="00575DDF">
            <w:pPr>
              <w:pStyle w:val="NoSpacing"/>
              <w:numPr>
                <w:ilvl w:val="0"/>
                <w:numId w:val="133"/>
              </w:numPr>
              <w:ind w:left="199" w:hanging="180"/>
              <w:rPr>
                <w:rFonts w:asciiTheme="minorHAnsi" w:hAnsiTheme="minorHAnsi" w:cstheme="minorHAnsi"/>
              </w:rPr>
            </w:pPr>
            <w:r w:rsidRPr="0088710C">
              <w:rPr>
                <w:rFonts w:asciiTheme="minorHAnsi" w:hAnsiTheme="minorHAnsi" w:cstheme="minorHAnsi"/>
              </w:rPr>
              <w:t xml:space="preserve">Conduct exit interviews to measure the quality of service delivery before and after interventions. </w:t>
            </w:r>
          </w:p>
          <w:p w14:paraId="744AD52E" w14:textId="77777777" w:rsidR="0088710C" w:rsidRPr="0088710C" w:rsidRDefault="0088710C" w:rsidP="00575DDF">
            <w:pPr>
              <w:pStyle w:val="NoSpacing"/>
              <w:numPr>
                <w:ilvl w:val="0"/>
                <w:numId w:val="133"/>
              </w:numPr>
              <w:ind w:left="199" w:hanging="180"/>
              <w:rPr>
                <w:rFonts w:asciiTheme="minorHAnsi" w:hAnsiTheme="minorHAnsi" w:cstheme="minorHAnsi"/>
              </w:rPr>
            </w:pPr>
            <w:r w:rsidRPr="0088710C">
              <w:rPr>
                <w:rFonts w:asciiTheme="minorHAnsi" w:hAnsiTheme="minorHAnsi" w:cstheme="minorHAnsi"/>
              </w:rPr>
              <w:t>Large-scale exit interviews to measure improved clinical practices and track provider behaviour changes.</w:t>
            </w:r>
          </w:p>
        </w:tc>
      </w:tr>
    </w:tbl>
    <w:p w14:paraId="6E521FB2" w14:textId="77777777" w:rsidR="001C5A92" w:rsidRPr="001C5A92" w:rsidRDefault="001C5A92" w:rsidP="001C5A92">
      <w:pPr>
        <w:jc w:val="both"/>
        <w:rPr>
          <w:rFonts w:asciiTheme="minorHAnsi" w:hAnsiTheme="minorHAnsi" w:cstheme="minorHAnsi"/>
          <w:sz w:val="22"/>
        </w:rPr>
      </w:pPr>
      <w:r w:rsidRPr="001C5A92">
        <w:rPr>
          <w:rFonts w:asciiTheme="minorHAnsi" w:hAnsiTheme="minorHAnsi" w:cstheme="minorHAnsi"/>
          <w:sz w:val="22"/>
        </w:rPr>
        <w:t xml:space="preserve">Quality results begin with selecting and clearly defining indicators. Data will be more consistent when all program staff and partners agree on common definitions and reporting procedures from the beginning. Complete indicator descriptions also help promote quality and consistency when there are changes in staffing or reporting responsibilities. </w:t>
      </w:r>
    </w:p>
    <w:p w14:paraId="4FAB483E" w14:textId="77777777" w:rsidR="004D60D1" w:rsidRPr="001C5A92" w:rsidRDefault="004D60D1" w:rsidP="001C5A92">
      <w:pPr>
        <w:spacing w:before="0" w:after="0"/>
        <w:rPr>
          <w:rFonts w:asciiTheme="minorHAnsi" w:eastAsia="Times New Roman" w:hAnsiTheme="minorHAnsi" w:cstheme="minorHAnsi"/>
          <w:b/>
          <w:caps/>
          <w:snapToGrid w:val="0"/>
          <w:sz w:val="22"/>
        </w:rPr>
      </w:pPr>
      <w:r w:rsidRPr="001C5A92">
        <w:rPr>
          <w:rFonts w:asciiTheme="minorHAnsi" w:hAnsiTheme="minorHAnsi" w:cstheme="minorHAnsi"/>
          <w:b/>
          <w:snapToGrid w:val="0"/>
          <w:sz w:val="22"/>
        </w:rPr>
        <w:br w:type="page"/>
      </w:r>
    </w:p>
    <w:p w14:paraId="29435A0B" w14:textId="3B805EAB" w:rsidR="00061D34" w:rsidRDefault="00061D34" w:rsidP="00061D34">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Pr>
          <w:rFonts w:asciiTheme="minorHAnsi" w:hAnsiTheme="minorHAnsi" w:cstheme="minorHAnsi"/>
          <w:b/>
          <w:snapToGrid w:val="0"/>
          <w:color w:val="auto"/>
          <w:sz w:val="36"/>
        </w:rPr>
        <w:t>1</w:t>
      </w:r>
      <w:r w:rsidR="00BE594E">
        <w:rPr>
          <w:rFonts w:asciiTheme="minorHAnsi" w:hAnsiTheme="minorHAnsi" w:cstheme="minorHAnsi"/>
          <w:b/>
          <w:snapToGrid w:val="0"/>
          <w:color w:val="auto"/>
          <w:sz w:val="36"/>
        </w:rPr>
        <w:t>5</w:t>
      </w:r>
      <w:r w:rsidRPr="00734B6A">
        <w:rPr>
          <w:rFonts w:asciiTheme="minorHAnsi" w:hAnsiTheme="minorHAnsi" w:cstheme="minorHAnsi"/>
          <w:b/>
          <w:snapToGrid w:val="0"/>
          <w:color w:val="auto"/>
          <w:sz w:val="36"/>
        </w:rPr>
        <w:t xml:space="preserve"> </w:t>
      </w:r>
    </w:p>
    <w:p w14:paraId="793D6AE3" w14:textId="129273CA" w:rsidR="00B528EA" w:rsidRPr="006B7923" w:rsidRDefault="00B528EA" w:rsidP="00B528EA">
      <w:pPr>
        <w:shd w:val="clear" w:color="auto" w:fill="17365D" w:themeFill="text2" w:themeFillShade="BF"/>
        <w:spacing w:before="0" w:after="0"/>
        <w:jc w:val="right"/>
        <w:rPr>
          <w:b/>
          <w:sz w:val="28"/>
        </w:rPr>
      </w:pPr>
      <w:r>
        <w:rPr>
          <w:b/>
          <w:sz w:val="28"/>
        </w:rPr>
        <w:t xml:space="preserve">NSP </w:t>
      </w:r>
      <w:r w:rsidRPr="006B7923">
        <w:rPr>
          <w:b/>
          <w:sz w:val="28"/>
        </w:rPr>
        <w:t>STRATEGIC AREA 1.</w:t>
      </w:r>
      <w:r>
        <w:rPr>
          <w:b/>
          <w:sz w:val="28"/>
        </w:rPr>
        <w:t>8</w:t>
      </w:r>
    </w:p>
    <w:p w14:paraId="17E2283F" w14:textId="551BB63E" w:rsidR="00061D34" w:rsidRPr="00734B6A" w:rsidRDefault="00061D34" w:rsidP="00061D34">
      <w:pPr>
        <w:pStyle w:val="Heading1"/>
        <w:tabs>
          <w:tab w:val="num" w:pos="5670"/>
        </w:tabs>
        <w:ind w:left="2880" w:hanging="1800"/>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Pr>
          <w:rFonts w:asciiTheme="minorHAnsi" w:hAnsiTheme="minorHAnsi" w:cstheme="minorHAnsi"/>
          <w:b/>
          <w:snapToGrid w:val="0"/>
          <w:color w:val="auto"/>
        </w:rPr>
        <w:t xml:space="preserve">sureveillance, monitoring and supervision </w:t>
      </w:r>
    </w:p>
    <w:p w14:paraId="5EF30FF4" w14:textId="4EFDBEC5" w:rsidR="0075389F" w:rsidRPr="00C45A90" w:rsidRDefault="0033007D"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5</w:t>
      </w:r>
      <w:r>
        <w:rPr>
          <w:rFonts w:asciiTheme="minorHAnsi" w:hAnsiTheme="minorHAnsi" w:cstheme="minorHAnsi"/>
          <w:b/>
          <w:color w:val="C86A07" w:themeColor="accent2" w:themeShade="BF"/>
          <w:sz w:val="28"/>
          <w:lang w:val="en"/>
        </w:rPr>
        <w:t xml:space="preserve">.1 </w:t>
      </w:r>
      <w:r w:rsidR="0075389F" w:rsidRPr="00C45A90">
        <w:rPr>
          <w:rFonts w:asciiTheme="minorHAnsi" w:hAnsiTheme="minorHAnsi" w:cstheme="minorHAnsi"/>
          <w:b/>
          <w:color w:val="C86A07" w:themeColor="accent2" w:themeShade="BF"/>
          <w:sz w:val="28"/>
          <w:lang w:val="en"/>
        </w:rPr>
        <w:t>INTRODUCTION</w:t>
      </w:r>
    </w:p>
    <w:p w14:paraId="2A4F3BCB" w14:textId="77777777" w:rsidR="00C33F19" w:rsidRDefault="00C33F19" w:rsidP="00DD4576">
      <w:pPr>
        <w:jc w:val="both"/>
        <w:rPr>
          <w:rFonts w:ascii="Calibri" w:hAnsi="Calibri" w:cs="Calibri"/>
          <w:kern w:val="24"/>
          <w:sz w:val="22"/>
          <w:lang w:eastAsia="en-IN"/>
        </w:rPr>
      </w:pPr>
      <w:r w:rsidRPr="00C33F19">
        <w:rPr>
          <w:rFonts w:ascii="Calibri" w:hAnsi="Calibri" w:cs="Calibri"/>
          <w:kern w:val="24"/>
          <w:sz w:val="22"/>
          <w:lang w:eastAsia="en-IN"/>
        </w:rPr>
        <w:t xml:space="preserve">The Indian TB surveillance network covers Public Health and Private Health institutions at all levels across the country. From front line TB workers to TB experts from both public and private sectors conduct surveillance related activities. This extensive surveillance network collects, validates, analyses, and disseminates the country’s TB related data. The surveillance network identifies epidemiological patterns of TB at national and sub-national levels and monitors progress towards TB elimination. </w:t>
      </w:r>
    </w:p>
    <w:p w14:paraId="10C5B7DA" w14:textId="250ACC60" w:rsidR="00DD4576" w:rsidRPr="00C45A90" w:rsidRDefault="0033007D" w:rsidP="00DD4576">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5</w:t>
      </w:r>
      <w:r>
        <w:rPr>
          <w:rFonts w:asciiTheme="minorHAnsi" w:hAnsiTheme="minorHAnsi" w:cstheme="minorHAnsi"/>
          <w:b/>
          <w:color w:val="C86A07" w:themeColor="accent2" w:themeShade="BF"/>
          <w:sz w:val="28"/>
          <w:lang w:val="en"/>
        </w:rPr>
        <w:t xml:space="preserve">.2 </w:t>
      </w:r>
      <w:r w:rsidR="00DD4576" w:rsidRPr="00C45A90">
        <w:rPr>
          <w:rFonts w:asciiTheme="minorHAnsi" w:hAnsiTheme="minorHAnsi" w:cstheme="minorHAnsi"/>
          <w:b/>
          <w:color w:val="C86A07" w:themeColor="accent2" w:themeShade="BF"/>
          <w:sz w:val="28"/>
          <w:lang w:val="en"/>
        </w:rPr>
        <w:t>THE PROGRESS SO FAR:</w:t>
      </w:r>
      <w:r w:rsidR="007137CC" w:rsidRPr="00C45A90">
        <w:rPr>
          <w:rFonts w:asciiTheme="minorHAnsi" w:hAnsiTheme="minorHAnsi" w:cstheme="minorHAnsi"/>
          <w:b/>
          <w:color w:val="C86A07" w:themeColor="accent2" w:themeShade="BF"/>
          <w:sz w:val="28"/>
          <w:lang w:val="en"/>
        </w:rPr>
        <w:t xml:space="preserve"> </w:t>
      </w:r>
    </w:p>
    <w:p w14:paraId="28462C88" w14:textId="7DFAC1D6" w:rsidR="007137CC" w:rsidRPr="00BD30A7" w:rsidRDefault="00BD30A7" w:rsidP="00DD4576">
      <w:pPr>
        <w:jc w:val="both"/>
        <w:rPr>
          <w:rFonts w:asciiTheme="minorHAnsi" w:hAnsiTheme="minorHAnsi" w:cstheme="minorHAnsi"/>
          <w:sz w:val="22"/>
        </w:rPr>
      </w:pPr>
      <w:r w:rsidRPr="00BD30A7">
        <w:rPr>
          <w:rFonts w:asciiTheme="minorHAnsi" w:hAnsiTheme="minorHAnsi" w:cstheme="minorHAnsi"/>
          <w:sz w:val="22"/>
        </w:rPr>
        <w:t>The enhancement of the national surveillance system, based on NIKSHAY</w:t>
      </w:r>
      <w:r w:rsidR="009F7316">
        <w:rPr>
          <w:rFonts w:asciiTheme="minorHAnsi" w:hAnsiTheme="minorHAnsi" w:cstheme="minorHAnsi"/>
          <w:sz w:val="22"/>
        </w:rPr>
        <w:t xml:space="preserve"> is</w:t>
      </w:r>
      <w:r w:rsidRPr="00BD30A7">
        <w:rPr>
          <w:rFonts w:asciiTheme="minorHAnsi" w:hAnsiTheme="minorHAnsi" w:cstheme="minorHAnsi"/>
          <w:sz w:val="22"/>
        </w:rPr>
        <w:t xml:space="preserve"> unprecedented. NIKSHAY </w:t>
      </w:r>
      <w:r w:rsidR="009F7316">
        <w:rPr>
          <w:rFonts w:asciiTheme="minorHAnsi" w:hAnsiTheme="minorHAnsi" w:cstheme="minorHAnsi"/>
          <w:sz w:val="22"/>
        </w:rPr>
        <w:t>is</w:t>
      </w:r>
      <w:r w:rsidRPr="00BD30A7">
        <w:rPr>
          <w:rFonts w:asciiTheme="minorHAnsi" w:hAnsiTheme="minorHAnsi" w:cstheme="minorHAnsi"/>
          <w:sz w:val="22"/>
        </w:rPr>
        <w:t xml:space="preserve"> used by all </w:t>
      </w:r>
      <w:r w:rsidR="009F7316">
        <w:rPr>
          <w:rFonts w:asciiTheme="minorHAnsi" w:hAnsiTheme="minorHAnsi" w:cstheme="minorHAnsi"/>
          <w:sz w:val="22"/>
        </w:rPr>
        <w:t>in the NTEP</w:t>
      </w:r>
      <w:r w:rsidRPr="00BD30A7">
        <w:rPr>
          <w:rFonts w:asciiTheme="minorHAnsi" w:hAnsiTheme="minorHAnsi" w:cstheme="minorHAnsi"/>
          <w:sz w:val="22"/>
        </w:rPr>
        <w:t xml:space="preserve"> </w:t>
      </w:r>
      <w:r w:rsidR="009F7316">
        <w:rPr>
          <w:rFonts w:asciiTheme="minorHAnsi" w:hAnsiTheme="minorHAnsi" w:cstheme="minorHAnsi"/>
          <w:sz w:val="22"/>
        </w:rPr>
        <w:t>wherein they</w:t>
      </w:r>
      <w:r w:rsidRPr="00BD30A7">
        <w:rPr>
          <w:rFonts w:asciiTheme="minorHAnsi" w:hAnsiTheme="minorHAnsi" w:cstheme="minorHAnsi"/>
          <w:sz w:val="22"/>
        </w:rPr>
        <w:t xml:space="preserve"> used the NIKSHAY mobile phone application, or using </w:t>
      </w:r>
      <w:r w:rsidR="0096187C">
        <w:rPr>
          <w:rFonts w:asciiTheme="minorHAnsi" w:hAnsiTheme="minorHAnsi" w:cstheme="minorHAnsi"/>
          <w:sz w:val="22"/>
        </w:rPr>
        <w:t>NTEP</w:t>
      </w:r>
      <w:r w:rsidRPr="00BD30A7">
        <w:rPr>
          <w:rFonts w:asciiTheme="minorHAnsi" w:hAnsiTheme="minorHAnsi" w:cstheme="minorHAnsi"/>
          <w:sz w:val="22"/>
        </w:rPr>
        <w:t xml:space="preserve">-supplied e-tablets.  </w:t>
      </w:r>
    </w:p>
    <w:p w14:paraId="2730DD56" w14:textId="323084AE" w:rsidR="007137CC" w:rsidRPr="00C45A90" w:rsidRDefault="0033007D" w:rsidP="007137CC">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5</w:t>
      </w:r>
      <w:r>
        <w:rPr>
          <w:rFonts w:asciiTheme="minorHAnsi" w:hAnsiTheme="minorHAnsi" w:cstheme="minorHAnsi"/>
          <w:b/>
          <w:color w:val="C86A07" w:themeColor="accent2" w:themeShade="BF"/>
          <w:sz w:val="28"/>
          <w:lang w:val="en"/>
        </w:rPr>
        <w:t xml:space="preserve">.3 </w:t>
      </w:r>
      <w:r w:rsidR="007137CC" w:rsidRPr="00C45A90">
        <w:rPr>
          <w:rFonts w:asciiTheme="minorHAnsi" w:hAnsiTheme="minorHAnsi" w:cstheme="minorHAnsi"/>
          <w:b/>
          <w:color w:val="C86A07" w:themeColor="accent2" w:themeShade="BF"/>
          <w:sz w:val="28"/>
          <w:lang w:val="en"/>
        </w:rPr>
        <w:t>CHALLENGES REMAIN</w:t>
      </w:r>
    </w:p>
    <w:p w14:paraId="7016D750" w14:textId="77777777" w:rsidR="00F12907" w:rsidRDefault="00F12907" w:rsidP="009136E5">
      <w:pPr>
        <w:pStyle w:val="ListParagraph"/>
        <w:numPr>
          <w:ilvl w:val="0"/>
          <w:numId w:val="93"/>
        </w:numPr>
        <w:jc w:val="both"/>
        <w:rPr>
          <w:rFonts w:asciiTheme="minorHAnsi" w:hAnsiTheme="minorHAnsi" w:cstheme="minorHAnsi"/>
          <w:sz w:val="22"/>
        </w:rPr>
      </w:pPr>
      <w:r>
        <w:rPr>
          <w:rFonts w:asciiTheme="minorHAnsi" w:hAnsiTheme="minorHAnsi" w:cstheme="minorHAnsi"/>
          <w:sz w:val="22"/>
        </w:rPr>
        <w:t>D</w:t>
      </w:r>
      <w:r w:rsidRPr="00F12907">
        <w:rPr>
          <w:rFonts w:asciiTheme="minorHAnsi" w:hAnsiTheme="minorHAnsi" w:cstheme="minorHAnsi"/>
          <w:sz w:val="22"/>
        </w:rPr>
        <w:t xml:space="preserve">ata verification, particularly for accuracy, is not consistent nor regular throughout the country.  There is no plan in place to for local data checks for data verification, or timeliness of entry.  </w:t>
      </w:r>
    </w:p>
    <w:p w14:paraId="1FFDA5C4" w14:textId="77777777" w:rsidR="00C33F19" w:rsidRDefault="00C33F19" w:rsidP="009136E5">
      <w:pPr>
        <w:pStyle w:val="ListParagraph"/>
        <w:numPr>
          <w:ilvl w:val="0"/>
          <w:numId w:val="93"/>
        </w:numPr>
        <w:jc w:val="both"/>
        <w:rPr>
          <w:rFonts w:ascii="Calibri" w:hAnsi="Calibri" w:cs="Calibri"/>
          <w:sz w:val="22"/>
        </w:rPr>
      </w:pPr>
      <w:r>
        <w:rPr>
          <w:rFonts w:ascii="Calibri" w:hAnsi="Calibri" w:cs="Calibri"/>
          <w:sz w:val="22"/>
        </w:rPr>
        <w:t>D</w:t>
      </w:r>
      <w:r w:rsidRPr="00F12907">
        <w:rPr>
          <w:rFonts w:ascii="Calibri" w:hAnsi="Calibri" w:cs="Calibri"/>
          <w:sz w:val="22"/>
        </w:rPr>
        <w:t xml:space="preserve">uplicative systems of recording information (e.g., laboratory and treatment hard-copy registries), </w:t>
      </w:r>
      <w:r>
        <w:rPr>
          <w:rFonts w:ascii="Calibri" w:hAnsi="Calibri" w:cs="Calibri"/>
          <w:sz w:val="22"/>
        </w:rPr>
        <w:t xml:space="preserve">exists as </w:t>
      </w:r>
      <w:r w:rsidRPr="00F12907">
        <w:rPr>
          <w:rFonts w:ascii="Calibri" w:hAnsi="Calibri" w:cs="Calibri"/>
          <w:sz w:val="22"/>
        </w:rPr>
        <w:t>both paper-based and electronic records</w:t>
      </w:r>
      <w:r>
        <w:rPr>
          <w:rFonts w:ascii="Calibri" w:hAnsi="Calibri" w:cs="Calibri"/>
          <w:sz w:val="22"/>
        </w:rPr>
        <w:t xml:space="preserve"> are maintained at majority of health facilities</w:t>
      </w:r>
      <w:r w:rsidRPr="00F12907">
        <w:rPr>
          <w:rFonts w:ascii="Calibri" w:hAnsi="Calibri" w:cs="Calibri"/>
          <w:sz w:val="22"/>
        </w:rPr>
        <w:t xml:space="preserve">.  This often doubles recording and reporting burdens; opens the surveillance system to potential errors and duplications.   </w:t>
      </w:r>
    </w:p>
    <w:p w14:paraId="2B2C9E1A" w14:textId="77777777" w:rsidR="00F12907" w:rsidRDefault="00F12907" w:rsidP="009136E5">
      <w:pPr>
        <w:pStyle w:val="ListParagraph"/>
        <w:numPr>
          <w:ilvl w:val="0"/>
          <w:numId w:val="93"/>
        </w:numPr>
        <w:jc w:val="both"/>
        <w:rPr>
          <w:rFonts w:asciiTheme="minorHAnsi" w:hAnsiTheme="minorHAnsi" w:cstheme="minorHAnsi"/>
          <w:sz w:val="22"/>
        </w:rPr>
      </w:pPr>
      <w:r>
        <w:rPr>
          <w:rFonts w:asciiTheme="minorHAnsi" w:hAnsiTheme="minorHAnsi" w:cstheme="minorHAnsi"/>
          <w:sz w:val="22"/>
        </w:rPr>
        <w:t>T</w:t>
      </w:r>
      <w:r w:rsidRPr="00F12907">
        <w:rPr>
          <w:rFonts w:asciiTheme="minorHAnsi" w:hAnsiTheme="minorHAnsi" w:cstheme="minorHAnsi"/>
          <w:sz w:val="22"/>
        </w:rPr>
        <w:t xml:space="preserve">here is an expanding and evolving information ecosystem within the health system, yet there is limited interoperability between applications.  </w:t>
      </w:r>
    </w:p>
    <w:p w14:paraId="60BD93AB" w14:textId="77777777" w:rsidR="00F12907" w:rsidRDefault="00F12907" w:rsidP="009136E5">
      <w:pPr>
        <w:pStyle w:val="ListParagraph"/>
        <w:numPr>
          <w:ilvl w:val="0"/>
          <w:numId w:val="93"/>
        </w:numPr>
        <w:jc w:val="both"/>
        <w:rPr>
          <w:rFonts w:asciiTheme="minorHAnsi" w:hAnsiTheme="minorHAnsi" w:cstheme="minorHAnsi"/>
          <w:sz w:val="22"/>
        </w:rPr>
      </w:pPr>
      <w:r>
        <w:rPr>
          <w:rFonts w:asciiTheme="minorHAnsi" w:hAnsiTheme="minorHAnsi" w:cstheme="minorHAnsi"/>
          <w:sz w:val="22"/>
        </w:rPr>
        <w:t>P</w:t>
      </w:r>
      <w:r w:rsidRPr="00F12907">
        <w:rPr>
          <w:rFonts w:asciiTheme="minorHAnsi" w:hAnsiTheme="minorHAnsi" w:cstheme="minorHAnsi"/>
          <w:sz w:val="22"/>
        </w:rPr>
        <w:t xml:space="preserve">atients with microbiological test results available after notification, cannot be changed in NIKSHAY. Hence, there is a strong potential for misclassification as clinically diagnosed with the national TB surveillance system. </w:t>
      </w:r>
    </w:p>
    <w:p w14:paraId="331E29A8" w14:textId="14D48C75" w:rsidR="007137CC" w:rsidRPr="00F12907" w:rsidRDefault="00F12907" w:rsidP="009136E5">
      <w:pPr>
        <w:pStyle w:val="ListParagraph"/>
        <w:numPr>
          <w:ilvl w:val="0"/>
          <w:numId w:val="93"/>
        </w:numPr>
        <w:jc w:val="both"/>
        <w:rPr>
          <w:rFonts w:asciiTheme="minorHAnsi" w:hAnsiTheme="minorHAnsi" w:cstheme="minorHAnsi"/>
          <w:sz w:val="22"/>
        </w:rPr>
      </w:pPr>
      <w:r>
        <w:rPr>
          <w:rFonts w:asciiTheme="minorHAnsi" w:hAnsiTheme="minorHAnsi" w:cstheme="minorHAnsi"/>
          <w:sz w:val="22"/>
        </w:rPr>
        <w:t>T</w:t>
      </w:r>
      <w:r w:rsidRPr="00F12907">
        <w:rPr>
          <w:rFonts w:asciiTheme="minorHAnsi" w:hAnsiTheme="minorHAnsi" w:cstheme="minorHAnsi"/>
          <w:sz w:val="22"/>
        </w:rPr>
        <w:t xml:space="preserve">here is limited capacity for epidemiologic analysis and using data for action throughout the national TB programme.  </w:t>
      </w:r>
    </w:p>
    <w:p w14:paraId="4A626159" w14:textId="71322C54" w:rsidR="00EB1896" w:rsidRPr="00C45A90" w:rsidRDefault="00BE594E" w:rsidP="00EB1896">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15</w:t>
      </w:r>
      <w:r w:rsidR="0033007D">
        <w:rPr>
          <w:rFonts w:asciiTheme="minorHAnsi" w:hAnsiTheme="minorHAnsi" w:cstheme="minorHAnsi"/>
          <w:b/>
          <w:color w:val="C86A07" w:themeColor="accent2" w:themeShade="BF"/>
          <w:sz w:val="28"/>
          <w:lang w:val="en"/>
        </w:rPr>
        <w:t xml:space="preserve">.4 </w:t>
      </w:r>
      <w:r w:rsidR="00EB1896" w:rsidRPr="00C45A90">
        <w:rPr>
          <w:rFonts w:asciiTheme="minorHAnsi" w:hAnsiTheme="minorHAnsi" w:cstheme="minorHAnsi"/>
          <w:b/>
          <w:color w:val="C86A07" w:themeColor="accent2" w:themeShade="BF"/>
          <w:sz w:val="28"/>
          <w:lang w:val="en"/>
        </w:rPr>
        <w:t>THE WAY FORWARD</w:t>
      </w:r>
    </w:p>
    <w:p w14:paraId="15ED9C7A" w14:textId="77777777" w:rsidR="009D5A95" w:rsidRPr="009D5A95" w:rsidRDefault="009D5A95" w:rsidP="009136E5">
      <w:pPr>
        <w:pStyle w:val="ListParagraph"/>
        <w:numPr>
          <w:ilvl w:val="1"/>
          <w:numId w:val="75"/>
        </w:numPr>
        <w:spacing w:before="0" w:after="0"/>
        <w:ind w:left="432"/>
        <w:jc w:val="both"/>
        <w:rPr>
          <w:rFonts w:asciiTheme="minorHAnsi" w:hAnsiTheme="minorHAnsi" w:cstheme="minorHAnsi"/>
          <w:b/>
          <w:sz w:val="22"/>
        </w:rPr>
      </w:pPr>
      <w:r w:rsidRPr="009D5A95">
        <w:rPr>
          <w:rFonts w:asciiTheme="minorHAnsi" w:hAnsiTheme="minorHAnsi" w:cstheme="minorHAnsi"/>
          <w:b/>
          <w:sz w:val="22"/>
        </w:rPr>
        <w:t>TB notification system</w:t>
      </w:r>
    </w:p>
    <w:p w14:paraId="7827887B" w14:textId="2E64BAD1" w:rsidR="009D5A95" w:rsidRPr="009D5A95" w:rsidRDefault="009D5A95" w:rsidP="004E2F10">
      <w:pPr>
        <w:spacing w:before="0"/>
        <w:jc w:val="both"/>
        <w:rPr>
          <w:rFonts w:asciiTheme="minorHAnsi" w:hAnsiTheme="minorHAnsi" w:cstheme="minorHAnsi"/>
          <w:b/>
          <w:sz w:val="22"/>
        </w:rPr>
      </w:pPr>
      <w:r w:rsidRPr="009D5A95">
        <w:rPr>
          <w:rFonts w:asciiTheme="minorHAnsi" w:hAnsiTheme="minorHAnsi" w:cstheme="minorHAnsi"/>
          <w:sz w:val="22"/>
        </w:rPr>
        <w:t xml:space="preserve">To make a complete surveillance system and to bring missing TB patients under surveillance system, all TB patients diagnosed under the programme (either microbiologically confirmed or clinically diagnosed) need to be notified. All TB patients who are put on standardized treatment regimen under the programme or other regimen due to clinical indication (as initiated in tertiary care institute) within programme are to be notified. Over and above, all TB patients treated outside government health system need to be notified under one uniform surveillance system and to be accounted for total cases notified. </w:t>
      </w:r>
    </w:p>
    <w:p w14:paraId="1FABD53D" w14:textId="77777777" w:rsidR="009D5A95" w:rsidRPr="009D5A95" w:rsidRDefault="009D5A95" w:rsidP="009136E5">
      <w:pPr>
        <w:pStyle w:val="ListParagraph"/>
        <w:numPr>
          <w:ilvl w:val="2"/>
          <w:numId w:val="75"/>
        </w:numPr>
        <w:spacing w:before="0" w:after="0"/>
        <w:ind w:left="504"/>
        <w:jc w:val="both"/>
        <w:rPr>
          <w:rFonts w:asciiTheme="minorHAnsi" w:hAnsiTheme="minorHAnsi" w:cstheme="minorHAnsi"/>
          <w:b/>
          <w:sz w:val="22"/>
        </w:rPr>
      </w:pPr>
      <w:r w:rsidRPr="009D5A95">
        <w:rPr>
          <w:rFonts w:asciiTheme="minorHAnsi" w:hAnsiTheme="minorHAnsi" w:cstheme="minorHAnsi"/>
          <w:b/>
          <w:sz w:val="22"/>
        </w:rPr>
        <w:lastRenderedPageBreak/>
        <w:t>Case Based Routine Surveillance</w:t>
      </w:r>
    </w:p>
    <w:p w14:paraId="1E20570F" w14:textId="54C587CF"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a. An ICT supported system to rapidly receive and transmit data up-down with GIS mapping of every patient, and identify hot spots</w:t>
      </w:r>
      <w:r>
        <w:rPr>
          <w:rFonts w:asciiTheme="minorHAnsi" w:hAnsiTheme="minorHAnsi" w:cstheme="minorHAnsi"/>
          <w:sz w:val="22"/>
        </w:rPr>
        <w:t xml:space="preserve"> </w:t>
      </w:r>
      <w:r w:rsidRPr="009D5A95">
        <w:rPr>
          <w:rFonts w:asciiTheme="minorHAnsi" w:hAnsiTheme="minorHAnsi" w:cstheme="minorHAnsi"/>
          <w:sz w:val="22"/>
        </w:rPr>
        <w:t>for a quick and adequate response</w:t>
      </w:r>
      <w:r>
        <w:rPr>
          <w:rFonts w:asciiTheme="minorHAnsi" w:hAnsiTheme="minorHAnsi" w:cstheme="minorHAnsi"/>
          <w:sz w:val="22"/>
        </w:rPr>
        <w:t xml:space="preserve"> will be added</w:t>
      </w:r>
      <w:r w:rsidRPr="009D5A95">
        <w:rPr>
          <w:rFonts w:asciiTheme="minorHAnsi" w:hAnsiTheme="minorHAnsi" w:cstheme="minorHAnsi"/>
          <w:sz w:val="22"/>
        </w:rPr>
        <w:t xml:space="preserve">. </w:t>
      </w:r>
    </w:p>
    <w:p w14:paraId="1B3A4B77" w14:textId="7EEE63AE" w:rsidR="009D5A95" w:rsidRPr="009D5A95" w:rsidRDefault="00C33F19" w:rsidP="009D5A95">
      <w:pPr>
        <w:spacing w:before="0" w:after="0"/>
        <w:jc w:val="both"/>
        <w:rPr>
          <w:rFonts w:asciiTheme="minorHAnsi" w:hAnsiTheme="minorHAnsi" w:cstheme="minorHAnsi"/>
          <w:sz w:val="22"/>
        </w:rPr>
      </w:pPr>
      <w:r>
        <w:rPr>
          <w:rFonts w:asciiTheme="minorHAnsi" w:hAnsiTheme="minorHAnsi" w:cstheme="minorHAnsi"/>
          <w:sz w:val="22"/>
        </w:rPr>
        <w:t>b</w:t>
      </w:r>
      <w:r w:rsidR="009D5A95" w:rsidRPr="009D5A95">
        <w:rPr>
          <w:rFonts w:asciiTheme="minorHAnsi" w:hAnsiTheme="minorHAnsi" w:cstheme="minorHAnsi"/>
          <w:sz w:val="22"/>
        </w:rPr>
        <w:t>. Geo mapping of areas with high risk for TB and those with poor treatment outcomes will also be a part of the routine surveillance.</w:t>
      </w:r>
      <w:r w:rsidR="009D5A95">
        <w:rPr>
          <w:rFonts w:asciiTheme="minorHAnsi" w:hAnsiTheme="minorHAnsi" w:cstheme="minorHAnsi"/>
          <w:sz w:val="22"/>
        </w:rPr>
        <w:t xml:space="preserve"> </w:t>
      </w:r>
    </w:p>
    <w:p w14:paraId="6061B095" w14:textId="48274FEA" w:rsidR="009D5A95" w:rsidRPr="009D5A95" w:rsidRDefault="00C33F19" w:rsidP="009D5A95">
      <w:pPr>
        <w:spacing w:before="0"/>
        <w:jc w:val="both"/>
        <w:rPr>
          <w:rFonts w:asciiTheme="minorHAnsi" w:hAnsiTheme="minorHAnsi" w:cstheme="minorHAnsi"/>
          <w:sz w:val="22"/>
        </w:rPr>
      </w:pPr>
      <w:r>
        <w:rPr>
          <w:rFonts w:asciiTheme="minorHAnsi" w:hAnsiTheme="minorHAnsi" w:cstheme="minorHAnsi"/>
          <w:sz w:val="22"/>
        </w:rPr>
        <w:t>c</w:t>
      </w:r>
      <w:r w:rsidR="009D5A95" w:rsidRPr="009D5A95">
        <w:rPr>
          <w:rFonts w:asciiTheme="minorHAnsi" w:hAnsiTheme="minorHAnsi" w:cstheme="minorHAnsi"/>
          <w:sz w:val="22"/>
        </w:rPr>
        <w:t>. It will also capture provision of enable</w:t>
      </w:r>
      <w:r w:rsidR="009D5A95">
        <w:rPr>
          <w:rFonts w:asciiTheme="minorHAnsi" w:hAnsiTheme="minorHAnsi" w:cstheme="minorHAnsi"/>
          <w:sz w:val="22"/>
        </w:rPr>
        <w:t>r</w:t>
      </w:r>
      <w:r w:rsidR="009D5A95" w:rsidRPr="009D5A95">
        <w:rPr>
          <w:rFonts w:asciiTheme="minorHAnsi" w:hAnsiTheme="minorHAnsi" w:cstheme="minorHAnsi"/>
          <w:sz w:val="22"/>
        </w:rPr>
        <w:t>s and incentives through e-transfers, linkage with social welfare</w:t>
      </w:r>
      <w:r w:rsidR="009D5A95">
        <w:rPr>
          <w:rFonts w:asciiTheme="minorHAnsi" w:hAnsiTheme="minorHAnsi" w:cstheme="minorHAnsi"/>
          <w:sz w:val="22"/>
        </w:rPr>
        <w:t xml:space="preserve"> schemes and nutrition support, </w:t>
      </w:r>
      <w:r w:rsidR="009D5A95" w:rsidRPr="009D5A95">
        <w:rPr>
          <w:rFonts w:asciiTheme="minorHAnsi" w:hAnsiTheme="minorHAnsi" w:cstheme="minorHAnsi"/>
          <w:sz w:val="22"/>
        </w:rPr>
        <w:t>ADR monitoring and death audit in TB patients</w:t>
      </w:r>
      <w:r w:rsidR="009D5A95">
        <w:rPr>
          <w:rFonts w:asciiTheme="minorHAnsi" w:hAnsiTheme="minorHAnsi" w:cstheme="minorHAnsi"/>
          <w:sz w:val="22"/>
        </w:rPr>
        <w:t>.</w:t>
      </w:r>
      <w:r w:rsidR="009D5A95" w:rsidRPr="009D5A95">
        <w:rPr>
          <w:rFonts w:asciiTheme="minorHAnsi" w:hAnsiTheme="minorHAnsi" w:cstheme="minorHAnsi"/>
          <w:sz w:val="22"/>
        </w:rPr>
        <w:t xml:space="preserve"> </w:t>
      </w:r>
    </w:p>
    <w:p w14:paraId="1EC033ED" w14:textId="77777777" w:rsidR="009D5A95" w:rsidRPr="009D5A95" w:rsidRDefault="009D5A95" w:rsidP="009136E5">
      <w:pPr>
        <w:pStyle w:val="ListParagraph"/>
        <w:numPr>
          <w:ilvl w:val="2"/>
          <w:numId w:val="75"/>
        </w:numPr>
        <w:spacing w:before="0" w:after="0"/>
        <w:ind w:left="504"/>
        <w:jc w:val="both"/>
        <w:rPr>
          <w:rFonts w:asciiTheme="minorHAnsi" w:hAnsiTheme="minorHAnsi" w:cstheme="minorHAnsi"/>
          <w:b/>
          <w:sz w:val="22"/>
        </w:rPr>
      </w:pPr>
      <w:r w:rsidRPr="009D5A95">
        <w:rPr>
          <w:rFonts w:asciiTheme="minorHAnsi" w:hAnsiTheme="minorHAnsi" w:cstheme="minorHAnsi"/>
          <w:b/>
          <w:sz w:val="22"/>
        </w:rPr>
        <w:t>Evaluate the epidemiological characteristics of TB</w:t>
      </w:r>
    </w:p>
    <w:p w14:paraId="4E94BEDF"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a. Strengthen nationwide surveillance systems and other sources of data collection, and reinforce the use of standard reporting and definitions including DR TB cases in order to gather reliable data that are comparable within and between states, and internationally over time.</w:t>
      </w:r>
    </w:p>
    <w:p w14:paraId="3B6B5E8F"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b. Develop the use of enhanced laboratory techniques such as DNA fingerprinting and molecular typing to evaluate the spread of DR TB cases and identify outbreaks.</w:t>
      </w:r>
    </w:p>
    <w:p w14:paraId="21175CDB"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c. Integrate laboratory, clinical and epidemiological data on TB cases, at district, state and national levels.</w:t>
      </w:r>
    </w:p>
    <w:p w14:paraId="18520D49" w14:textId="77777777" w:rsidR="009D5A95" w:rsidRPr="009D5A95" w:rsidRDefault="009D5A95" w:rsidP="009D5A95">
      <w:pPr>
        <w:spacing w:before="0"/>
        <w:jc w:val="both"/>
        <w:rPr>
          <w:rFonts w:asciiTheme="minorHAnsi" w:hAnsiTheme="minorHAnsi" w:cstheme="minorHAnsi"/>
          <w:sz w:val="22"/>
        </w:rPr>
      </w:pPr>
      <w:r w:rsidRPr="009D5A95">
        <w:rPr>
          <w:rFonts w:asciiTheme="minorHAnsi" w:hAnsiTheme="minorHAnsi" w:cstheme="minorHAnsi"/>
          <w:sz w:val="22"/>
        </w:rPr>
        <w:t>d. Create algorithms for the detection of local outbreaks and clusters.</w:t>
      </w:r>
    </w:p>
    <w:p w14:paraId="1ED46730" w14:textId="77777777" w:rsidR="009D5A95" w:rsidRPr="009D5A95" w:rsidRDefault="009D5A95" w:rsidP="009136E5">
      <w:pPr>
        <w:pStyle w:val="ListParagraph"/>
        <w:numPr>
          <w:ilvl w:val="2"/>
          <w:numId w:val="75"/>
        </w:numPr>
        <w:spacing w:before="0" w:after="0"/>
        <w:ind w:left="504"/>
        <w:jc w:val="both"/>
        <w:rPr>
          <w:rFonts w:asciiTheme="minorHAnsi" w:hAnsiTheme="minorHAnsi" w:cstheme="minorHAnsi"/>
          <w:b/>
          <w:sz w:val="22"/>
        </w:rPr>
      </w:pPr>
      <w:r w:rsidRPr="009D5A95">
        <w:rPr>
          <w:rFonts w:asciiTheme="minorHAnsi" w:hAnsiTheme="minorHAnsi" w:cstheme="minorHAnsi"/>
          <w:b/>
          <w:sz w:val="22"/>
        </w:rPr>
        <w:t>Monitor TB control activities</w:t>
      </w:r>
    </w:p>
    <w:p w14:paraId="558762B8"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a. Expand drug-resistance surveillance activities to monitor and improve case management.</w:t>
      </w:r>
    </w:p>
    <w:p w14:paraId="01A25D4B" w14:textId="48270B84" w:rsidR="00C33F19" w:rsidRDefault="00C33F19" w:rsidP="00C33F19">
      <w:pPr>
        <w:spacing w:before="0" w:after="0"/>
        <w:jc w:val="both"/>
        <w:rPr>
          <w:rFonts w:asciiTheme="minorHAnsi" w:hAnsiTheme="minorHAnsi" w:cstheme="minorHAnsi"/>
          <w:sz w:val="22"/>
        </w:rPr>
      </w:pPr>
      <w:r>
        <w:rPr>
          <w:rFonts w:asciiTheme="minorHAnsi" w:hAnsiTheme="minorHAnsi" w:cstheme="minorHAnsi"/>
          <w:sz w:val="22"/>
        </w:rPr>
        <w:t>b</w:t>
      </w:r>
      <w:r w:rsidR="009D5A95" w:rsidRPr="009D5A95">
        <w:rPr>
          <w:rFonts w:asciiTheme="minorHAnsi" w:hAnsiTheme="minorHAnsi" w:cstheme="minorHAnsi"/>
          <w:sz w:val="22"/>
        </w:rPr>
        <w:t>. Enhance the collection of information on case notification, monitoring treatment adherence, social support and treatment outcomes at all levels in order to monitor and improve patient management.</w:t>
      </w:r>
    </w:p>
    <w:p w14:paraId="1356AA22" w14:textId="280EA904" w:rsidR="00C33F19" w:rsidRPr="009D5A95" w:rsidRDefault="00C33F19" w:rsidP="00C33F19">
      <w:pPr>
        <w:spacing w:before="0"/>
        <w:jc w:val="both"/>
        <w:rPr>
          <w:rFonts w:asciiTheme="minorHAnsi" w:hAnsiTheme="minorHAnsi" w:cstheme="minorHAnsi"/>
          <w:sz w:val="22"/>
        </w:rPr>
      </w:pPr>
      <w:r>
        <w:rPr>
          <w:rFonts w:asciiTheme="minorHAnsi" w:hAnsiTheme="minorHAnsi" w:cstheme="minorHAnsi"/>
          <w:sz w:val="22"/>
        </w:rPr>
        <w:t>c</w:t>
      </w:r>
      <w:r w:rsidRPr="009D5A95">
        <w:rPr>
          <w:rFonts w:asciiTheme="minorHAnsi" w:hAnsiTheme="minorHAnsi" w:cstheme="minorHAnsi"/>
          <w:sz w:val="22"/>
        </w:rPr>
        <w:t xml:space="preserve">. </w:t>
      </w:r>
      <w:r>
        <w:rPr>
          <w:rFonts w:asciiTheme="minorHAnsi" w:hAnsiTheme="minorHAnsi" w:cstheme="minorHAnsi"/>
          <w:sz w:val="22"/>
        </w:rPr>
        <w:t>Continue the mechanisms</w:t>
      </w:r>
      <w:r w:rsidRPr="009D5A95">
        <w:rPr>
          <w:rFonts w:asciiTheme="minorHAnsi" w:hAnsiTheme="minorHAnsi" w:cstheme="minorHAnsi"/>
          <w:sz w:val="22"/>
        </w:rPr>
        <w:t xml:space="preserve"> to monitor adherence </w:t>
      </w:r>
      <w:r>
        <w:rPr>
          <w:rFonts w:asciiTheme="minorHAnsi" w:hAnsiTheme="minorHAnsi" w:cstheme="minorHAnsi"/>
          <w:sz w:val="22"/>
        </w:rPr>
        <w:t>including</w:t>
      </w:r>
      <w:r w:rsidRPr="009D5A95">
        <w:rPr>
          <w:rFonts w:asciiTheme="minorHAnsi" w:hAnsiTheme="minorHAnsi" w:cstheme="minorHAnsi"/>
          <w:sz w:val="22"/>
        </w:rPr>
        <w:t xml:space="preserve"> proven ones like 99 DOTS, MERM, etc. and also automated dose reminders, prompts for timely actions, etc.</w:t>
      </w:r>
    </w:p>
    <w:p w14:paraId="49F13E11" w14:textId="77777777" w:rsidR="009D5A95" w:rsidRPr="009D5A95" w:rsidRDefault="009D5A95" w:rsidP="009136E5">
      <w:pPr>
        <w:pStyle w:val="ListParagraph"/>
        <w:numPr>
          <w:ilvl w:val="2"/>
          <w:numId w:val="75"/>
        </w:numPr>
        <w:spacing w:before="0" w:after="0"/>
        <w:ind w:left="504"/>
        <w:jc w:val="both"/>
        <w:rPr>
          <w:rFonts w:asciiTheme="minorHAnsi" w:hAnsiTheme="minorHAnsi" w:cstheme="minorHAnsi"/>
          <w:b/>
          <w:sz w:val="22"/>
        </w:rPr>
      </w:pPr>
      <w:r w:rsidRPr="009D5A95">
        <w:rPr>
          <w:rFonts w:asciiTheme="minorHAnsi" w:hAnsiTheme="minorHAnsi" w:cstheme="minorHAnsi"/>
          <w:b/>
          <w:sz w:val="22"/>
        </w:rPr>
        <w:t>Identify and describe vulnerable populations for TB</w:t>
      </w:r>
    </w:p>
    <w:p w14:paraId="46E6DC5B"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a. Analyze routine surveillance data and perform ad hoc surveys to identify vulnerable populations.</w:t>
      </w:r>
    </w:p>
    <w:p w14:paraId="21A06228" w14:textId="77777777" w:rsidR="009D5A95" w:rsidRPr="009D5A95" w:rsidRDefault="009D5A95" w:rsidP="009D5A95">
      <w:pPr>
        <w:spacing w:before="0"/>
        <w:jc w:val="both"/>
        <w:rPr>
          <w:rFonts w:asciiTheme="minorHAnsi" w:hAnsiTheme="minorHAnsi" w:cstheme="minorHAnsi"/>
          <w:sz w:val="22"/>
        </w:rPr>
      </w:pPr>
      <w:r w:rsidRPr="009D5A95">
        <w:rPr>
          <w:rFonts w:asciiTheme="minorHAnsi" w:hAnsiTheme="minorHAnsi" w:cstheme="minorHAnsi"/>
          <w:sz w:val="22"/>
        </w:rPr>
        <w:t>b. Enhance or implement TB surveillance in migrants, prisoners and other vulnerable populations according to the particular situation in the district/state.</w:t>
      </w:r>
    </w:p>
    <w:p w14:paraId="20E25CDE" w14:textId="77777777" w:rsidR="009D5A95" w:rsidRPr="009D5A95" w:rsidRDefault="009D5A95" w:rsidP="009136E5">
      <w:pPr>
        <w:pStyle w:val="ListParagraph"/>
        <w:numPr>
          <w:ilvl w:val="2"/>
          <w:numId w:val="75"/>
        </w:numPr>
        <w:spacing w:before="0" w:after="0"/>
        <w:ind w:left="504"/>
        <w:jc w:val="both"/>
        <w:rPr>
          <w:rFonts w:asciiTheme="minorHAnsi" w:hAnsiTheme="minorHAnsi" w:cstheme="minorHAnsi"/>
          <w:b/>
          <w:sz w:val="22"/>
        </w:rPr>
      </w:pPr>
      <w:r w:rsidRPr="009D5A95">
        <w:rPr>
          <w:rFonts w:asciiTheme="minorHAnsi" w:hAnsiTheme="minorHAnsi" w:cstheme="minorHAnsi"/>
          <w:b/>
          <w:sz w:val="22"/>
        </w:rPr>
        <w:t>Establish TB Surveillance system from district to National levels</w:t>
      </w:r>
    </w:p>
    <w:p w14:paraId="27117D4D"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a. TB Surveillance units at district level in DTC, at State level in STDC and National level at NTI</w:t>
      </w:r>
    </w:p>
    <w:p w14:paraId="6500C5D7"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b. Sentinel surveillance units at medical colleges</w:t>
      </w:r>
    </w:p>
    <w:p w14:paraId="69B2C542"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c. Laboratory surveillance units at all IRLs and NRLs</w:t>
      </w:r>
    </w:p>
    <w:p w14:paraId="0A46745C" w14:textId="77777777" w:rsidR="009D5A95" w:rsidRPr="009D5A95" w:rsidRDefault="009D5A95" w:rsidP="009D5A95">
      <w:pPr>
        <w:spacing w:before="0"/>
        <w:jc w:val="both"/>
        <w:rPr>
          <w:rFonts w:asciiTheme="minorHAnsi" w:hAnsiTheme="minorHAnsi" w:cstheme="minorHAnsi"/>
          <w:sz w:val="22"/>
        </w:rPr>
      </w:pPr>
      <w:r w:rsidRPr="009D5A95">
        <w:rPr>
          <w:rFonts w:asciiTheme="minorHAnsi" w:hAnsiTheme="minorHAnsi" w:cstheme="minorHAnsi"/>
          <w:sz w:val="22"/>
        </w:rPr>
        <w:t>d. Use of e-NIKSHAY as the major data source with analytical outputs readily available at all levels</w:t>
      </w:r>
    </w:p>
    <w:p w14:paraId="4BEA98CE" w14:textId="77777777" w:rsidR="009D5A95" w:rsidRPr="009D5A95" w:rsidRDefault="009D5A95" w:rsidP="009136E5">
      <w:pPr>
        <w:pStyle w:val="ListParagraph"/>
        <w:numPr>
          <w:ilvl w:val="2"/>
          <w:numId w:val="75"/>
        </w:numPr>
        <w:spacing w:before="0" w:after="0"/>
        <w:ind w:left="504"/>
        <w:jc w:val="both"/>
        <w:rPr>
          <w:rFonts w:asciiTheme="minorHAnsi" w:hAnsiTheme="minorHAnsi" w:cstheme="minorHAnsi"/>
          <w:b/>
          <w:sz w:val="22"/>
        </w:rPr>
      </w:pPr>
      <w:r w:rsidRPr="009D5A95">
        <w:rPr>
          <w:rFonts w:asciiTheme="minorHAnsi" w:hAnsiTheme="minorHAnsi" w:cstheme="minorHAnsi"/>
          <w:b/>
          <w:sz w:val="22"/>
        </w:rPr>
        <w:t>Burden estimation</w:t>
      </w:r>
    </w:p>
    <w:p w14:paraId="01F4F733"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a. National TB Prevalence Survey is already ongoing.</w:t>
      </w:r>
    </w:p>
    <w:p w14:paraId="6BBA7509" w14:textId="539FF5DA" w:rsidR="00213BDB"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 xml:space="preserve">b. </w:t>
      </w:r>
      <w:r w:rsidR="00213BDB">
        <w:rPr>
          <w:rFonts w:asciiTheme="minorHAnsi" w:hAnsiTheme="minorHAnsi" w:cstheme="minorHAnsi"/>
          <w:sz w:val="22"/>
        </w:rPr>
        <w:t>M</w:t>
      </w:r>
      <w:r w:rsidR="00213BDB" w:rsidRPr="00213BDB">
        <w:rPr>
          <w:rFonts w:asciiTheme="minorHAnsi" w:hAnsiTheme="minorHAnsi" w:cstheme="minorHAnsi"/>
          <w:sz w:val="22"/>
        </w:rPr>
        <w:t>easure the prevalence of newly diagnosed bacteriological positive pulmonary tuberculosis in the community</w:t>
      </w:r>
      <w:r w:rsidR="00213BDB">
        <w:rPr>
          <w:rFonts w:asciiTheme="minorHAnsi" w:hAnsiTheme="minorHAnsi" w:cstheme="minorHAnsi"/>
          <w:sz w:val="22"/>
        </w:rPr>
        <w:t xml:space="preserve">. </w:t>
      </w:r>
    </w:p>
    <w:p w14:paraId="5BB45300" w14:textId="6008C9F1" w:rsidR="00A74BCF" w:rsidRPr="00A74BCF" w:rsidRDefault="00A74BCF" w:rsidP="009136E5">
      <w:pPr>
        <w:pStyle w:val="ListParagraph"/>
        <w:numPr>
          <w:ilvl w:val="0"/>
          <w:numId w:val="110"/>
        </w:numPr>
        <w:spacing w:before="0" w:after="0"/>
        <w:jc w:val="both"/>
        <w:rPr>
          <w:rFonts w:asciiTheme="minorHAnsi" w:hAnsiTheme="minorHAnsi" w:cstheme="minorHAnsi"/>
          <w:sz w:val="22"/>
        </w:rPr>
      </w:pPr>
      <w:r w:rsidRPr="00A74BCF">
        <w:rPr>
          <w:rFonts w:asciiTheme="minorHAnsi" w:hAnsiTheme="minorHAnsi" w:cstheme="minorHAnsi"/>
          <w:sz w:val="22"/>
        </w:rPr>
        <w:t xml:space="preserve">District Level Annual Survey (DLAS)  </w:t>
      </w:r>
    </w:p>
    <w:p w14:paraId="2FE11E4A" w14:textId="0CC658A5" w:rsidR="00A74BCF" w:rsidRPr="00A74BCF" w:rsidRDefault="00A74BCF" w:rsidP="009136E5">
      <w:pPr>
        <w:pStyle w:val="ListParagraph"/>
        <w:numPr>
          <w:ilvl w:val="0"/>
          <w:numId w:val="110"/>
        </w:numPr>
        <w:spacing w:before="0" w:after="0"/>
        <w:jc w:val="both"/>
        <w:rPr>
          <w:rFonts w:asciiTheme="minorHAnsi" w:hAnsiTheme="minorHAnsi" w:cstheme="minorHAnsi"/>
          <w:sz w:val="22"/>
        </w:rPr>
      </w:pPr>
      <w:r w:rsidRPr="00A74BCF">
        <w:rPr>
          <w:rFonts w:asciiTheme="minorHAnsi" w:hAnsiTheme="minorHAnsi" w:cstheme="minorHAnsi"/>
          <w:sz w:val="22"/>
        </w:rPr>
        <w:t xml:space="preserve">District Level Sentinel Survey (DLSS) </w:t>
      </w:r>
    </w:p>
    <w:p w14:paraId="75B36643" w14:textId="390DDE02" w:rsidR="00A74BCF" w:rsidRPr="00A74BCF" w:rsidRDefault="00A74BCF" w:rsidP="009136E5">
      <w:pPr>
        <w:pStyle w:val="ListParagraph"/>
        <w:numPr>
          <w:ilvl w:val="0"/>
          <w:numId w:val="110"/>
        </w:numPr>
        <w:spacing w:before="0" w:after="0"/>
        <w:jc w:val="both"/>
        <w:rPr>
          <w:rFonts w:asciiTheme="minorHAnsi" w:hAnsiTheme="minorHAnsi" w:cstheme="minorHAnsi"/>
          <w:sz w:val="22"/>
        </w:rPr>
      </w:pPr>
      <w:r w:rsidRPr="00A74BCF">
        <w:rPr>
          <w:rFonts w:asciiTheme="minorHAnsi" w:hAnsiTheme="minorHAnsi" w:cstheme="minorHAnsi"/>
          <w:sz w:val="22"/>
        </w:rPr>
        <w:t>Genetic Sequencing Surveillance for Mutation (GSSM)</w:t>
      </w:r>
    </w:p>
    <w:p w14:paraId="2DBC0345" w14:textId="6B28CA83"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Mathematical modelling to be continued under GBD India on periodic basis</w:t>
      </w:r>
    </w:p>
    <w:p w14:paraId="20D63A33" w14:textId="77777777" w:rsidR="009D5A95" w:rsidRPr="009D5A95" w:rsidRDefault="009D5A95" w:rsidP="009D5A95">
      <w:pPr>
        <w:spacing w:before="0"/>
        <w:jc w:val="both"/>
        <w:rPr>
          <w:rFonts w:asciiTheme="minorHAnsi" w:hAnsiTheme="minorHAnsi" w:cstheme="minorHAnsi"/>
          <w:sz w:val="22"/>
        </w:rPr>
      </w:pPr>
      <w:r w:rsidRPr="009D5A95">
        <w:rPr>
          <w:rFonts w:asciiTheme="minorHAnsi" w:hAnsiTheme="minorHAnsi" w:cstheme="minorHAnsi"/>
          <w:sz w:val="22"/>
        </w:rPr>
        <w:t>c. Regular programmatic survey conducted by programme staff for district level estimation of disease burden</w:t>
      </w:r>
    </w:p>
    <w:p w14:paraId="55836F9F" w14:textId="5F70E605" w:rsidR="009D5A95" w:rsidRPr="009D5A95" w:rsidRDefault="00C33F19" w:rsidP="009136E5">
      <w:pPr>
        <w:pStyle w:val="ListParagraph"/>
        <w:numPr>
          <w:ilvl w:val="2"/>
          <w:numId w:val="75"/>
        </w:numPr>
        <w:spacing w:before="0" w:after="0"/>
        <w:ind w:left="504"/>
        <w:jc w:val="both"/>
        <w:rPr>
          <w:rFonts w:asciiTheme="minorHAnsi" w:hAnsiTheme="minorHAnsi" w:cstheme="minorHAnsi"/>
          <w:b/>
          <w:sz w:val="22"/>
        </w:rPr>
      </w:pPr>
      <w:r>
        <w:rPr>
          <w:rFonts w:asciiTheme="minorHAnsi" w:hAnsiTheme="minorHAnsi" w:cstheme="minorHAnsi"/>
          <w:b/>
          <w:sz w:val="22"/>
        </w:rPr>
        <w:t xml:space="preserve">Institutional </w:t>
      </w:r>
      <w:r w:rsidR="009D5A95" w:rsidRPr="009D5A95">
        <w:rPr>
          <w:rFonts w:asciiTheme="minorHAnsi" w:hAnsiTheme="minorHAnsi" w:cstheme="minorHAnsi"/>
          <w:b/>
          <w:sz w:val="22"/>
        </w:rPr>
        <w:t>Monitoring</w:t>
      </w:r>
    </w:p>
    <w:p w14:paraId="2E5E1056" w14:textId="77777777" w:rsidR="009D5A95" w:rsidRPr="009D5A95" w:rsidRDefault="009D5A95" w:rsidP="009D5A95">
      <w:pPr>
        <w:spacing w:before="0"/>
        <w:jc w:val="both"/>
        <w:rPr>
          <w:rFonts w:asciiTheme="minorHAnsi" w:hAnsiTheme="minorHAnsi" w:cstheme="minorHAnsi"/>
          <w:sz w:val="22"/>
        </w:rPr>
      </w:pPr>
      <w:r w:rsidRPr="009D5A95">
        <w:rPr>
          <w:rFonts w:asciiTheme="minorHAnsi" w:hAnsiTheme="minorHAnsi" w:cstheme="minorHAnsi"/>
          <w:sz w:val="22"/>
        </w:rPr>
        <w:t>a. Monthly review of national institutes, NRLs, STOs, STDCs, IRLs, DRTCs at national level and DTOs at state level for monitoring as well as capacity building, using video conferencing in addition to biannual review meetings</w:t>
      </w:r>
    </w:p>
    <w:p w14:paraId="69A58A75" w14:textId="77777777" w:rsidR="009D5A95" w:rsidRPr="009D5A95" w:rsidRDefault="009D5A95" w:rsidP="009136E5">
      <w:pPr>
        <w:pStyle w:val="ListParagraph"/>
        <w:numPr>
          <w:ilvl w:val="2"/>
          <w:numId w:val="75"/>
        </w:numPr>
        <w:spacing w:before="0" w:after="0"/>
        <w:ind w:left="504"/>
        <w:jc w:val="both"/>
        <w:rPr>
          <w:rFonts w:asciiTheme="minorHAnsi" w:hAnsiTheme="minorHAnsi" w:cstheme="minorHAnsi"/>
          <w:b/>
          <w:sz w:val="22"/>
        </w:rPr>
      </w:pPr>
      <w:r w:rsidRPr="009D5A95">
        <w:rPr>
          <w:rFonts w:asciiTheme="minorHAnsi" w:hAnsiTheme="minorHAnsi" w:cstheme="minorHAnsi"/>
          <w:b/>
          <w:sz w:val="22"/>
        </w:rPr>
        <w:t>Evaluation</w:t>
      </w:r>
    </w:p>
    <w:p w14:paraId="0EBD94D5"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lastRenderedPageBreak/>
        <w:t>a. Central and State internal evaluation to be continued with updated methodology to include all type of patients as per TOG</w:t>
      </w:r>
    </w:p>
    <w:p w14:paraId="1A035931"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b. External evaluation / social audit of at least 4,000 patients eligible for incentives</w:t>
      </w:r>
    </w:p>
    <w:p w14:paraId="0D816DEB"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c. Death audit of at least 10% of deaths reported by programme</w:t>
      </w:r>
    </w:p>
    <w:p w14:paraId="39627DEE" w14:textId="596095E8" w:rsidR="009D5A95" w:rsidRPr="009D5A95" w:rsidRDefault="009D5A95" w:rsidP="009D5A95">
      <w:pPr>
        <w:spacing w:before="0"/>
        <w:jc w:val="both"/>
        <w:rPr>
          <w:rFonts w:asciiTheme="minorHAnsi" w:hAnsiTheme="minorHAnsi" w:cstheme="minorHAnsi"/>
          <w:sz w:val="22"/>
        </w:rPr>
      </w:pPr>
      <w:r w:rsidRPr="009D5A95">
        <w:rPr>
          <w:rFonts w:asciiTheme="minorHAnsi" w:hAnsiTheme="minorHAnsi" w:cstheme="minorHAnsi"/>
          <w:sz w:val="22"/>
        </w:rPr>
        <w:t xml:space="preserve">d. Evaluation conducted by donors will be conducted at a fixed frequency and in </w:t>
      </w:r>
      <w:r w:rsidR="00F51523" w:rsidRPr="009D5A95">
        <w:rPr>
          <w:rFonts w:asciiTheme="minorHAnsi" w:hAnsiTheme="minorHAnsi" w:cstheme="minorHAnsi"/>
          <w:sz w:val="22"/>
        </w:rPr>
        <w:t>synchronization</w:t>
      </w:r>
      <w:r w:rsidRPr="009D5A95">
        <w:rPr>
          <w:rFonts w:asciiTheme="minorHAnsi" w:hAnsiTheme="minorHAnsi" w:cstheme="minorHAnsi"/>
          <w:sz w:val="22"/>
        </w:rPr>
        <w:t xml:space="preserve"> of all stakeholders/programme</w:t>
      </w:r>
    </w:p>
    <w:p w14:paraId="1285D7B9" w14:textId="77777777" w:rsidR="009D5A95" w:rsidRPr="009D5A95" w:rsidRDefault="009D5A95" w:rsidP="009136E5">
      <w:pPr>
        <w:pStyle w:val="ListParagraph"/>
        <w:numPr>
          <w:ilvl w:val="2"/>
          <w:numId w:val="75"/>
        </w:numPr>
        <w:spacing w:before="0" w:after="0"/>
        <w:ind w:left="504"/>
        <w:jc w:val="both"/>
        <w:rPr>
          <w:rFonts w:asciiTheme="minorHAnsi" w:hAnsiTheme="minorHAnsi" w:cstheme="minorHAnsi"/>
          <w:b/>
          <w:sz w:val="22"/>
        </w:rPr>
      </w:pPr>
      <w:r w:rsidRPr="009D5A95">
        <w:rPr>
          <w:rFonts w:asciiTheme="minorHAnsi" w:hAnsiTheme="minorHAnsi" w:cstheme="minorHAnsi"/>
          <w:b/>
          <w:sz w:val="22"/>
        </w:rPr>
        <w:t>Laboratory surveillance</w:t>
      </w:r>
    </w:p>
    <w:p w14:paraId="33B199E4" w14:textId="77777777" w:rsidR="009D5A95" w:rsidRPr="009D5A95" w:rsidRDefault="009D5A95" w:rsidP="009D5A95">
      <w:pPr>
        <w:spacing w:before="0" w:after="0"/>
        <w:jc w:val="both"/>
        <w:rPr>
          <w:rFonts w:asciiTheme="minorHAnsi" w:hAnsiTheme="minorHAnsi" w:cstheme="minorHAnsi"/>
          <w:sz w:val="22"/>
        </w:rPr>
      </w:pPr>
      <w:r w:rsidRPr="009D5A95">
        <w:rPr>
          <w:rFonts w:asciiTheme="minorHAnsi" w:hAnsiTheme="minorHAnsi" w:cstheme="minorHAnsi"/>
          <w:sz w:val="22"/>
        </w:rPr>
        <w:t>Initiate sentinel surveillance as per the “building and strengthening surveillance plan” and further scale up to continuous surveillance. Establish Laboratory Surveillance in the country with National TB Institute Bangalore as the nodal institute for building capacity of sentinel surveillance sites at labs in public and private sector.</w:t>
      </w:r>
    </w:p>
    <w:p w14:paraId="3F6996D2" w14:textId="77777777" w:rsidR="009D5A95" w:rsidRPr="009D5A95" w:rsidRDefault="009D5A95" w:rsidP="009D5A95">
      <w:pPr>
        <w:spacing w:before="0"/>
        <w:jc w:val="both"/>
        <w:rPr>
          <w:rFonts w:asciiTheme="minorHAnsi" w:hAnsiTheme="minorHAnsi" w:cstheme="minorHAnsi"/>
          <w:sz w:val="22"/>
        </w:rPr>
      </w:pPr>
      <w:r w:rsidRPr="009D5A95">
        <w:rPr>
          <w:rFonts w:asciiTheme="minorHAnsi" w:hAnsiTheme="minorHAnsi" w:cstheme="minorHAnsi"/>
          <w:b/>
          <w:sz w:val="22"/>
        </w:rPr>
        <w:t>Developing use of enhanced lab techniques</w:t>
      </w:r>
      <w:r w:rsidRPr="009D5A95">
        <w:rPr>
          <w:rFonts w:asciiTheme="minorHAnsi" w:hAnsiTheme="minorHAnsi" w:cstheme="minorHAnsi"/>
          <w:sz w:val="22"/>
        </w:rPr>
        <w:t>: This could include DNA fingerprinting and molecular typing to evaluate spread of DR TB patients and identifying outbreaks; integrating lab, clinical and epidemiological data on TB patients, at district, state and national levels; creating algorithms for detection of local outbreaks and clusters.</w:t>
      </w:r>
    </w:p>
    <w:p w14:paraId="50CBCBB5" w14:textId="77777777" w:rsidR="009D5A95" w:rsidRPr="009D5A95" w:rsidRDefault="009D5A95" w:rsidP="009136E5">
      <w:pPr>
        <w:pStyle w:val="ListParagraph"/>
        <w:numPr>
          <w:ilvl w:val="2"/>
          <w:numId w:val="75"/>
        </w:numPr>
        <w:spacing w:before="0" w:after="0"/>
        <w:ind w:left="504"/>
        <w:jc w:val="both"/>
        <w:rPr>
          <w:rFonts w:asciiTheme="minorHAnsi" w:hAnsiTheme="minorHAnsi" w:cstheme="minorHAnsi"/>
          <w:b/>
          <w:sz w:val="22"/>
        </w:rPr>
      </w:pPr>
      <w:r w:rsidRPr="009D5A95">
        <w:rPr>
          <w:rFonts w:asciiTheme="minorHAnsi" w:hAnsiTheme="minorHAnsi" w:cstheme="minorHAnsi"/>
          <w:b/>
          <w:sz w:val="22"/>
        </w:rPr>
        <w:t>Healthcare worker surveillance for TB</w:t>
      </w:r>
    </w:p>
    <w:p w14:paraId="597C9A67" w14:textId="77777777" w:rsidR="00C33F19" w:rsidRPr="00C33F19" w:rsidRDefault="00C33F19" w:rsidP="00C33F19">
      <w:pPr>
        <w:spacing w:before="0" w:after="0"/>
        <w:jc w:val="both"/>
        <w:rPr>
          <w:rFonts w:asciiTheme="minorHAnsi" w:hAnsiTheme="minorHAnsi" w:cstheme="minorHAnsi"/>
          <w:sz w:val="22"/>
        </w:rPr>
      </w:pPr>
      <w:r w:rsidRPr="00C33F19">
        <w:rPr>
          <w:rFonts w:asciiTheme="minorHAnsi" w:hAnsiTheme="minorHAnsi" w:cstheme="minorHAnsi"/>
          <w:sz w:val="22"/>
        </w:rPr>
        <w:t xml:space="preserve">The frontline HCWs are being exposed to higher risk and are vulnerable of being infected of TB. Successful AIC implementation is important in preventing HCWs from becoming infected with drug-susceptible and drug-resistant TB, and thus preventing occupationally acquired TB disease. Screening HCWs at high risk of TB will lead to early diagnosis, and treatment to prevent serious morbidity, mortality &amp; disability. Screening of HCWs for TB is a high priority of the programme. Necessary guidelines are already available and implemented during this NSP period. </w:t>
      </w:r>
    </w:p>
    <w:p w14:paraId="1DB471A7" w14:textId="77777777" w:rsidR="00C33F19" w:rsidRDefault="00C33F19" w:rsidP="00C33F19">
      <w:pPr>
        <w:spacing w:before="0" w:after="0"/>
        <w:jc w:val="both"/>
        <w:rPr>
          <w:rFonts w:asciiTheme="minorHAnsi" w:hAnsiTheme="minorHAnsi" w:cstheme="minorHAnsi"/>
          <w:sz w:val="22"/>
        </w:rPr>
      </w:pPr>
      <w:r w:rsidRPr="00C33F19">
        <w:rPr>
          <w:rFonts w:asciiTheme="minorHAnsi" w:hAnsiTheme="minorHAnsi" w:cstheme="minorHAnsi"/>
          <w:sz w:val="22"/>
        </w:rPr>
        <w:t>All HCW are classified as key affected populations due to their higher risk of acquiring TB and those who are symptomatic or/and with any signs of TB or chest X Ray abnormality will be offered an upfront rapid molecular testing upfront to rule in or rule out TB at the first instance and during periodic screening also. Necessary health insurance schemes will be made available to the HCWs as per the State government policy.</w:t>
      </w:r>
    </w:p>
    <w:p w14:paraId="6F05F3DD" w14:textId="77777777" w:rsidR="00C33F19" w:rsidRDefault="00C33F19" w:rsidP="00C33F19">
      <w:pPr>
        <w:spacing w:before="0" w:after="0"/>
        <w:jc w:val="both"/>
        <w:rPr>
          <w:rFonts w:asciiTheme="minorHAnsi" w:hAnsiTheme="minorHAnsi" w:cstheme="minorHAnsi"/>
          <w:sz w:val="22"/>
        </w:rPr>
      </w:pPr>
    </w:p>
    <w:p w14:paraId="5194E20A" w14:textId="2E78E56B" w:rsidR="001047B0" w:rsidRPr="00C33F19" w:rsidRDefault="001047B0" w:rsidP="009136E5">
      <w:pPr>
        <w:pStyle w:val="ListParagraph"/>
        <w:numPr>
          <w:ilvl w:val="2"/>
          <w:numId w:val="75"/>
        </w:numPr>
        <w:spacing w:before="0" w:after="0"/>
        <w:ind w:left="504"/>
        <w:jc w:val="both"/>
        <w:rPr>
          <w:rFonts w:asciiTheme="minorHAnsi" w:hAnsiTheme="minorHAnsi" w:cstheme="minorHAnsi"/>
          <w:b/>
          <w:sz w:val="22"/>
        </w:rPr>
      </w:pPr>
      <w:r w:rsidRPr="00C33F19">
        <w:rPr>
          <w:rFonts w:asciiTheme="minorHAnsi" w:hAnsiTheme="minorHAnsi" w:cstheme="minorHAnsi"/>
          <w:b/>
          <w:sz w:val="22"/>
        </w:rPr>
        <w:t>State TB Index</w:t>
      </w:r>
    </w:p>
    <w:p w14:paraId="751E9CAD" w14:textId="0ECF9624" w:rsidR="00A100A1" w:rsidRPr="000C6803" w:rsidRDefault="009A5279" w:rsidP="001047B0">
      <w:pPr>
        <w:spacing w:before="0" w:after="0"/>
        <w:jc w:val="both"/>
        <w:rPr>
          <w:rFonts w:asciiTheme="minorHAnsi" w:hAnsiTheme="minorHAnsi" w:cstheme="minorHAnsi"/>
          <w:sz w:val="22"/>
        </w:rPr>
      </w:pPr>
      <w:r w:rsidRPr="000C6803">
        <w:rPr>
          <w:noProof/>
          <w:lang w:val="en-IN" w:eastAsia="en-IN"/>
        </w:rPr>
        <w:drawing>
          <wp:anchor distT="0" distB="0" distL="114300" distR="114300" simplePos="0" relativeHeight="251663360" behindDoc="0" locked="0" layoutInCell="1" allowOverlap="1" wp14:anchorId="14B8F39E" wp14:editId="40AD5D4E">
            <wp:simplePos x="0" y="0"/>
            <wp:positionH relativeFrom="column">
              <wp:posOffset>3676650</wp:posOffset>
            </wp:positionH>
            <wp:positionV relativeFrom="paragraph">
              <wp:posOffset>64770</wp:posOffset>
            </wp:positionV>
            <wp:extent cx="2447925" cy="2905125"/>
            <wp:effectExtent l="0" t="0" r="9525" b="9525"/>
            <wp:wrapThrough wrapText="bothSides">
              <wp:wrapPolygon edited="0">
                <wp:start x="0" y="0"/>
                <wp:lineTo x="0" y="21529"/>
                <wp:lineTo x="21516" y="21529"/>
                <wp:lineTo x="215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r="2652" b="5592"/>
                    <a:stretch/>
                  </pic:blipFill>
                  <pic:spPr bwMode="auto">
                    <a:xfrm>
                      <a:off x="0" y="0"/>
                      <a:ext cx="2447925"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7B0" w:rsidRPr="000C6803">
        <w:rPr>
          <w:rFonts w:asciiTheme="minorHAnsi" w:hAnsiTheme="minorHAnsi" w:cstheme="minorHAnsi"/>
          <w:sz w:val="22"/>
        </w:rPr>
        <w:t xml:space="preserve">State TB Index, a composite </w:t>
      </w:r>
      <w:r w:rsidR="000C6803">
        <w:rPr>
          <w:rFonts w:asciiTheme="minorHAnsi" w:hAnsiTheme="minorHAnsi" w:cstheme="minorHAnsi"/>
          <w:sz w:val="22"/>
        </w:rPr>
        <w:t>measure</w:t>
      </w:r>
      <w:r w:rsidR="001047B0" w:rsidRPr="000C6803">
        <w:rPr>
          <w:rFonts w:asciiTheme="minorHAnsi" w:hAnsiTheme="minorHAnsi" w:cstheme="minorHAnsi"/>
          <w:sz w:val="22"/>
        </w:rPr>
        <w:t xml:space="preserve"> of the programme’s performance has been developed.  It agglomerates nine key indicators of the programme which are provided scores based on the level of achievement. </w:t>
      </w:r>
      <w:r w:rsidR="000A164F" w:rsidRPr="000C6803">
        <w:rPr>
          <w:rFonts w:asciiTheme="minorHAnsi" w:hAnsiTheme="minorHAnsi" w:cstheme="minorHAnsi"/>
          <w:sz w:val="22"/>
        </w:rPr>
        <w:t xml:space="preserve">It is measured quarterly and presented annually.  </w:t>
      </w:r>
      <w:r w:rsidR="001047B0" w:rsidRPr="000C6803">
        <w:rPr>
          <w:rFonts w:asciiTheme="minorHAnsi" w:hAnsiTheme="minorHAnsi" w:cstheme="minorHAnsi"/>
          <w:sz w:val="22"/>
        </w:rPr>
        <w:t xml:space="preserve">  </w:t>
      </w:r>
      <w:r w:rsidR="00C2528F" w:rsidRPr="000C6803">
        <w:rPr>
          <w:rFonts w:asciiTheme="minorHAnsi" w:hAnsiTheme="minorHAnsi" w:cstheme="minorHAnsi"/>
          <w:sz w:val="22"/>
        </w:rPr>
        <w:t xml:space="preserve"> </w:t>
      </w:r>
    </w:p>
    <w:p w14:paraId="5C4E7EC6" w14:textId="691342B2" w:rsidR="00EB1896" w:rsidRPr="000C6803" w:rsidRDefault="000C6803" w:rsidP="000C6803">
      <w:pPr>
        <w:spacing w:before="0" w:after="0"/>
        <w:jc w:val="both"/>
        <w:rPr>
          <w:rFonts w:asciiTheme="minorHAnsi" w:hAnsiTheme="minorHAnsi" w:cstheme="minorHAnsi"/>
          <w:sz w:val="22"/>
          <w:lang w:val="en-IN"/>
        </w:rPr>
      </w:pPr>
      <w:r w:rsidRPr="000C6803">
        <w:rPr>
          <w:rFonts w:asciiTheme="minorHAnsi" w:hAnsiTheme="minorHAnsi" w:cstheme="minorHAnsi"/>
          <w:sz w:val="22"/>
        </w:rPr>
        <w:t>The states/districts</w:t>
      </w:r>
      <w:r w:rsidR="00FF472A">
        <w:rPr>
          <w:rFonts w:asciiTheme="minorHAnsi" w:hAnsiTheme="minorHAnsi" w:cstheme="minorHAnsi"/>
          <w:sz w:val="22"/>
        </w:rPr>
        <w:t xml:space="preserve"> will be assessed on </w:t>
      </w:r>
      <w:r w:rsidRPr="000C6803">
        <w:rPr>
          <w:rFonts w:asciiTheme="minorHAnsi" w:hAnsiTheme="minorHAnsi" w:cstheme="minorHAnsi"/>
          <w:sz w:val="22"/>
          <w:lang w:val="en-IN"/>
        </w:rPr>
        <w:t>the following 8 parameters</w:t>
      </w:r>
      <w:r>
        <w:rPr>
          <w:rFonts w:asciiTheme="minorHAnsi" w:hAnsiTheme="minorHAnsi" w:cstheme="minorHAnsi"/>
          <w:sz w:val="22"/>
          <w:lang w:val="en-IN"/>
        </w:rPr>
        <w:t xml:space="preserve"> and its related key indicator</w:t>
      </w:r>
      <w:r w:rsidRPr="000C6803">
        <w:rPr>
          <w:rFonts w:asciiTheme="minorHAnsi" w:hAnsiTheme="minorHAnsi" w:cstheme="minorHAnsi"/>
          <w:sz w:val="22"/>
          <w:lang w:val="en-IN"/>
        </w:rPr>
        <w:t>:</w:t>
      </w:r>
    </w:p>
    <w:p w14:paraId="42C24146" w14:textId="1FA5DF81" w:rsidR="000C6803" w:rsidRPr="000C6803" w:rsidRDefault="000C6803" w:rsidP="009136E5">
      <w:pPr>
        <w:pStyle w:val="ListParagraph"/>
        <w:numPr>
          <w:ilvl w:val="0"/>
          <w:numId w:val="108"/>
        </w:numPr>
        <w:spacing w:before="0" w:after="0"/>
        <w:ind w:left="360"/>
        <w:jc w:val="both"/>
        <w:rPr>
          <w:rFonts w:asciiTheme="minorHAnsi" w:hAnsiTheme="minorHAnsi" w:cstheme="minorHAnsi"/>
          <w:sz w:val="22"/>
        </w:rPr>
      </w:pPr>
      <w:r w:rsidRPr="000C6803">
        <w:rPr>
          <w:rFonts w:asciiTheme="minorHAnsi" w:hAnsiTheme="minorHAnsi" w:cstheme="minorHAnsi"/>
          <w:sz w:val="22"/>
        </w:rPr>
        <w:t>Achievement of TB notification among the target identified.</w:t>
      </w:r>
    </w:p>
    <w:p w14:paraId="314EECC7" w14:textId="03A72E02" w:rsidR="000C6803" w:rsidRPr="000C6803" w:rsidRDefault="000C6803" w:rsidP="009136E5">
      <w:pPr>
        <w:pStyle w:val="ListParagraph"/>
        <w:numPr>
          <w:ilvl w:val="0"/>
          <w:numId w:val="108"/>
        </w:numPr>
        <w:spacing w:before="0" w:after="0"/>
        <w:ind w:left="360"/>
        <w:jc w:val="both"/>
        <w:rPr>
          <w:rFonts w:asciiTheme="minorHAnsi" w:hAnsiTheme="minorHAnsi" w:cstheme="minorHAnsi"/>
          <w:sz w:val="22"/>
        </w:rPr>
      </w:pPr>
      <w:r w:rsidRPr="000C6803">
        <w:rPr>
          <w:rFonts w:asciiTheme="minorHAnsi" w:hAnsiTheme="minorHAnsi" w:cstheme="minorHAnsi"/>
          <w:sz w:val="22"/>
        </w:rPr>
        <w:t>HIV testing/ screening of TB notified patients.</w:t>
      </w:r>
    </w:p>
    <w:p w14:paraId="3BDE59AC" w14:textId="5F65549B" w:rsidR="000C6803" w:rsidRPr="000C6803" w:rsidRDefault="000C6803" w:rsidP="009136E5">
      <w:pPr>
        <w:pStyle w:val="ListParagraph"/>
        <w:numPr>
          <w:ilvl w:val="0"/>
          <w:numId w:val="108"/>
        </w:numPr>
        <w:spacing w:before="0" w:after="0"/>
        <w:ind w:left="360"/>
        <w:jc w:val="both"/>
        <w:rPr>
          <w:rFonts w:asciiTheme="minorHAnsi" w:hAnsiTheme="minorHAnsi" w:cstheme="minorHAnsi"/>
          <w:sz w:val="22"/>
        </w:rPr>
      </w:pPr>
      <w:r w:rsidRPr="000C6803">
        <w:rPr>
          <w:rFonts w:asciiTheme="minorHAnsi" w:hAnsiTheme="minorHAnsi" w:cstheme="minorHAnsi"/>
          <w:sz w:val="22"/>
        </w:rPr>
        <w:t>UDST coverage among the TB notified patients.</w:t>
      </w:r>
    </w:p>
    <w:p w14:paraId="5C22EAFB" w14:textId="088CD0F5" w:rsidR="000C6803" w:rsidRPr="000C6803" w:rsidRDefault="000C6803" w:rsidP="009136E5">
      <w:pPr>
        <w:pStyle w:val="ListParagraph"/>
        <w:numPr>
          <w:ilvl w:val="0"/>
          <w:numId w:val="108"/>
        </w:numPr>
        <w:spacing w:before="0" w:after="0"/>
        <w:ind w:left="360"/>
        <w:jc w:val="both"/>
        <w:rPr>
          <w:rFonts w:asciiTheme="minorHAnsi" w:hAnsiTheme="minorHAnsi" w:cstheme="minorHAnsi"/>
          <w:sz w:val="22"/>
        </w:rPr>
      </w:pPr>
      <w:r w:rsidRPr="000C6803">
        <w:rPr>
          <w:rFonts w:asciiTheme="minorHAnsi" w:hAnsiTheme="minorHAnsi" w:cstheme="minorHAnsi"/>
          <w:sz w:val="22"/>
        </w:rPr>
        <w:t>Treatment Success Rate of TB notified patients.</w:t>
      </w:r>
    </w:p>
    <w:p w14:paraId="429D94AC" w14:textId="1D8E1706" w:rsidR="000C6803" w:rsidRPr="000C6803" w:rsidRDefault="000C6803" w:rsidP="009136E5">
      <w:pPr>
        <w:pStyle w:val="ListParagraph"/>
        <w:numPr>
          <w:ilvl w:val="0"/>
          <w:numId w:val="108"/>
        </w:numPr>
        <w:spacing w:before="0" w:after="0"/>
        <w:ind w:left="360"/>
        <w:jc w:val="both"/>
        <w:rPr>
          <w:rFonts w:asciiTheme="minorHAnsi" w:hAnsiTheme="minorHAnsi" w:cstheme="minorHAnsi"/>
          <w:sz w:val="22"/>
        </w:rPr>
      </w:pPr>
      <w:r w:rsidRPr="000C6803">
        <w:rPr>
          <w:rFonts w:asciiTheme="minorHAnsi" w:hAnsiTheme="minorHAnsi" w:cstheme="minorHAnsi"/>
          <w:sz w:val="22"/>
        </w:rPr>
        <w:t>Nikshay Poshan Yojana implementation.</w:t>
      </w:r>
    </w:p>
    <w:p w14:paraId="325D5D22" w14:textId="086B9C96" w:rsidR="000C6803" w:rsidRPr="000C6803" w:rsidRDefault="000C6803" w:rsidP="009136E5">
      <w:pPr>
        <w:pStyle w:val="ListParagraph"/>
        <w:numPr>
          <w:ilvl w:val="0"/>
          <w:numId w:val="108"/>
        </w:numPr>
        <w:spacing w:before="0" w:after="0"/>
        <w:ind w:left="360"/>
        <w:jc w:val="both"/>
        <w:rPr>
          <w:rFonts w:asciiTheme="minorHAnsi" w:hAnsiTheme="minorHAnsi" w:cstheme="minorHAnsi"/>
          <w:sz w:val="22"/>
        </w:rPr>
      </w:pPr>
      <w:r w:rsidRPr="000C6803">
        <w:rPr>
          <w:rFonts w:asciiTheme="minorHAnsi" w:hAnsiTheme="minorHAnsi" w:cstheme="minorHAnsi"/>
          <w:sz w:val="22"/>
        </w:rPr>
        <w:t>DRTB treatment initiation among the diagnosed patients.</w:t>
      </w:r>
    </w:p>
    <w:p w14:paraId="42CAA23D" w14:textId="32997A95" w:rsidR="000C6803" w:rsidRPr="000C6803" w:rsidRDefault="00F51523" w:rsidP="009136E5">
      <w:pPr>
        <w:pStyle w:val="ListParagraph"/>
        <w:numPr>
          <w:ilvl w:val="0"/>
          <w:numId w:val="108"/>
        </w:numPr>
        <w:spacing w:before="0" w:after="0"/>
        <w:ind w:left="360"/>
        <w:jc w:val="both"/>
        <w:rPr>
          <w:rFonts w:asciiTheme="minorHAnsi" w:hAnsiTheme="minorHAnsi" w:cstheme="minorHAnsi"/>
          <w:sz w:val="22"/>
        </w:rPr>
      </w:pPr>
      <w:r w:rsidRPr="000C6803">
        <w:rPr>
          <w:rFonts w:asciiTheme="minorHAnsi" w:hAnsiTheme="minorHAnsi" w:cstheme="minorHAnsi"/>
          <w:sz w:val="22"/>
        </w:rPr>
        <w:t>Utilization</w:t>
      </w:r>
      <w:r w:rsidR="000C6803" w:rsidRPr="000C6803">
        <w:rPr>
          <w:rFonts w:asciiTheme="minorHAnsi" w:hAnsiTheme="minorHAnsi" w:cstheme="minorHAnsi"/>
          <w:sz w:val="22"/>
        </w:rPr>
        <w:t xml:space="preserve"> of the allotted budget.</w:t>
      </w:r>
    </w:p>
    <w:p w14:paraId="41431C67" w14:textId="5871DB17" w:rsidR="000C6803" w:rsidRDefault="000C6803" w:rsidP="009136E5">
      <w:pPr>
        <w:pStyle w:val="ListParagraph"/>
        <w:numPr>
          <w:ilvl w:val="0"/>
          <w:numId w:val="108"/>
        </w:numPr>
        <w:spacing w:before="0" w:after="0"/>
        <w:ind w:left="360"/>
        <w:jc w:val="both"/>
        <w:rPr>
          <w:rFonts w:asciiTheme="minorHAnsi" w:hAnsiTheme="minorHAnsi" w:cstheme="minorHAnsi"/>
          <w:sz w:val="22"/>
        </w:rPr>
      </w:pPr>
      <w:r w:rsidRPr="000C6803">
        <w:rPr>
          <w:rFonts w:asciiTheme="minorHAnsi" w:hAnsiTheme="minorHAnsi" w:cstheme="minorHAnsi"/>
          <w:sz w:val="22"/>
        </w:rPr>
        <w:t>Latent TB infection management</w:t>
      </w:r>
    </w:p>
    <w:p w14:paraId="6E3BFC33" w14:textId="77777777" w:rsidR="00C33F19" w:rsidRDefault="00C33F19">
      <w:pPr>
        <w:spacing w:before="0" w:after="0"/>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344F41B2" w14:textId="6557A403" w:rsidR="00061D34" w:rsidRDefault="00061D34" w:rsidP="00061D34">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Pr>
          <w:rFonts w:asciiTheme="minorHAnsi" w:hAnsiTheme="minorHAnsi" w:cstheme="minorHAnsi"/>
          <w:b/>
          <w:snapToGrid w:val="0"/>
          <w:color w:val="auto"/>
          <w:sz w:val="36"/>
        </w:rPr>
        <w:t>1</w:t>
      </w:r>
      <w:r w:rsidR="00BE594E">
        <w:rPr>
          <w:rFonts w:asciiTheme="minorHAnsi" w:hAnsiTheme="minorHAnsi" w:cstheme="minorHAnsi"/>
          <w:b/>
          <w:snapToGrid w:val="0"/>
          <w:color w:val="auto"/>
          <w:sz w:val="36"/>
        </w:rPr>
        <w:t>6</w:t>
      </w:r>
      <w:r w:rsidRPr="00734B6A">
        <w:rPr>
          <w:rFonts w:asciiTheme="minorHAnsi" w:hAnsiTheme="minorHAnsi" w:cstheme="minorHAnsi"/>
          <w:b/>
          <w:snapToGrid w:val="0"/>
          <w:color w:val="auto"/>
          <w:sz w:val="36"/>
        </w:rPr>
        <w:t xml:space="preserve"> </w:t>
      </w:r>
    </w:p>
    <w:p w14:paraId="59D69F9A" w14:textId="6EC6CD16" w:rsidR="00B528EA" w:rsidRPr="006B7923" w:rsidRDefault="00B528EA" w:rsidP="00B528EA">
      <w:pPr>
        <w:shd w:val="clear" w:color="auto" w:fill="17365D" w:themeFill="text2" w:themeFillShade="BF"/>
        <w:spacing w:before="0" w:after="0"/>
        <w:jc w:val="right"/>
        <w:rPr>
          <w:b/>
          <w:sz w:val="28"/>
        </w:rPr>
      </w:pPr>
      <w:r>
        <w:rPr>
          <w:b/>
          <w:sz w:val="28"/>
        </w:rPr>
        <w:t xml:space="preserve">NSP </w:t>
      </w:r>
      <w:r w:rsidRPr="006B7923">
        <w:rPr>
          <w:b/>
          <w:sz w:val="28"/>
        </w:rPr>
        <w:t>STRATEGIC AREA 1.</w:t>
      </w:r>
      <w:r>
        <w:rPr>
          <w:b/>
          <w:sz w:val="28"/>
        </w:rPr>
        <w:t>9</w:t>
      </w:r>
    </w:p>
    <w:p w14:paraId="1D819FBC" w14:textId="5DAA7D8B" w:rsidR="00061D34" w:rsidRDefault="00061D34" w:rsidP="008D4EB2">
      <w:pPr>
        <w:pStyle w:val="Heading1"/>
        <w:tabs>
          <w:tab w:val="num" w:pos="5670"/>
        </w:tabs>
        <w:ind w:left="2880" w:hanging="1800"/>
        <w:rPr>
          <w:rFonts w:ascii="Calibri" w:hAnsi="Calibri" w:cs="Calibri"/>
          <w:b/>
          <w:kern w:val="24"/>
          <w:sz w:val="22"/>
          <w:lang w:eastAsia="en-IN"/>
        </w:rPr>
      </w:pPr>
      <w:r w:rsidRPr="00734B6A">
        <w:rPr>
          <w:rFonts w:asciiTheme="minorHAnsi" w:hAnsiTheme="minorHAnsi" w:cstheme="minorHAnsi"/>
          <w:b/>
          <w:snapToGrid w:val="0"/>
          <w:color w:val="auto"/>
        </w:rPr>
        <w:t xml:space="preserve">     </w:t>
      </w:r>
      <w:r>
        <w:rPr>
          <w:rFonts w:asciiTheme="minorHAnsi" w:hAnsiTheme="minorHAnsi" w:cstheme="minorHAnsi"/>
          <w:b/>
          <w:snapToGrid w:val="0"/>
          <w:color w:val="auto"/>
        </w:rPr>
        <w:t>Resear</w:t>
      </w:r>
      <w:r w:rsidR="008D4EB2">
        <w:rPr>
          <w:rFonts w:asciiTheme="minorHAnsi" w:hAnsiTheme="minorHAnsi" w:cstheme="minorHAnsi"/>
          <w:b/>
          <w:snapToGrid w:val="0"/>
          <w:color w:val="auto"/>
        </w:rPr>
        <w:t>c</w:t>
      </w:r>
      <w:r>
        <w:rPr>
          <w:rFonts w:asciiTheme="minorHAnsi" w:hAnsiTheme="minorHAnsi" w:cstheme="minorHAnsi"/>
          <w:b/>
          <w:snapToGrid w:val="0"/>
          <w:color w:val="auto"/>
        </w:rPr>
        <w:t>h</w:t>
      </w:r>
    </w:p>
    <w:p w14:paraId="2DB7FEF9" w14:textId="71F57EFD" w:rsidR="0075389F" w:rsidRPr="00C45A90" w:rsidRDefault="00BE594E"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16</w:t>
      </w:r>
      <w:r w:rsidR="00213555">
        <w:rPr>
          <w:rFonts w:asciiTheme="minorHAnsi" w:hAnsiTheme="minorHAnsi" w:cstheme="minorHAnsi"/>
          <w:b/>
          <w:color w:val="C86A07" w:themeColor="accent2" w:themeShade="BF"/>
          <w:sz w:val="28"/>
          <w:lang w:val="en"/>
        </w:rPr>
        <w:t xml:space="preserve">.1 </w:t>
      </w:r>
      <w:r w:rsidR="0075389F" w:rsidRPr="00C45A90">
        <w:rPr>
          <w:rFonts w:asciiTheme="minorHAnsi" w:hAnsiTheme="minorHAnsi" w:cstheme="minorHAnsi"/>
          <w:b/>
          <w:color w:val="C86A07" w:themeColor="accent2" w:themeShade="BF"/>
          <w:sz w:val="28"/>
          <w:lang w:val="en"/>
        </w:rPr>
        <w:t>INTRODUCTION</w:t>
      </w:r>
    </w:p>
    <w:p w14:paraId="68ECDB68" w14:textId="77777777" w:rsidR="00A618FA" w:rsidRDefault="00A618FA" w:rsidP="00A618FA">
      <w:pPr>
        <w:spacing w:before="0" w:after="0"/>
        <w:jc w:val="both"/>
        <w:rPr>
          <w:rFonts w:asciiTheme="minorHAnsi" w:eastAsia="Times New Roman" w:hAnsiTheme="minorHAnsi" w:cstheme="minorHAnsi"/>
          <w:sz w:val="22"/>
        </w:rPr>
      </w:pPr>
      <w:r w:rsidRPr="00A618FA">
        <w:rPr>
          <w:rFonts w:asciiTheme="minorHAnsi" w:eastAsia="Times New Roman" w:hAnsiTheme="minorHAnsi" w:cstheme="minorHAnsi"/>
          <w:sz w:val="22"/>
        </w:rPr>
        <w:t>The Country focuses on investing in TB research through the Department of Health Research and ICMR as well as on Operational/Implementation Research through vast network of medical colleges, partner organizations and NTEP programme managers. Over the past three years, the landscape of TB research has substantially shifted and Indian TB researchers have more funding opportunities than ever before.</w:t>
      </w:r>
    </w:p>
    <w:p w14:paraId="4AC5114B" w14:textId="43387BA9" w:rsidR="00D41569" w:rsidRPr="00EE1A67" w:rsidRDefault="00EB498A" w:rsidP="00D41569">
      <w:pPr>
        <w:spacing w:before="0" w:after="0"/>
        <w:rPr>
          <w:rFonts w:asciiTheme="minorHAnsi" w:eastAsia="Times New Roman" w:hAnsiTheme="minorHAnsi" w:cstheme="minorHAnsi"/>
          <w:b/>
          <w:sz w:val="18"/>
        </w:rPr>
      </w:pPr>
      <w:r w:rsidRPr="00EE1A67">
        <w:rPr>
          <w:rFonts w:asciiTheme="minorHAnsi" w:eastAsia="Times New Roman" w:hAnsiTheme="minorHAnsi" w:cstheme="minorHAnsi"/>
          <w:b/>
          <w:sz w:val="18"/>
        </w:rPr>
        <w:t>T</w:t>
      </w:r>
      <w:r w:rsidR="00D41569" w:rsidRPr="00EE1A67">
        <w:rPr>
          <w:rFonts w:asciiTheme="minorHAnsi" w:eastAsia="Times New Roman" w:hAnsiTheme="minorHAnsi" w:cstheme="minorHAnsi"/>
          <w:b/>
          <w:sz w:val="18"/>
        </w:rPr>
        <w:t xml:space="preserve">able </w:t>
      </w:r>
      <w:r w:rsidR="0076674F">
        <w:rPr>
          <w:rFonts w:asciiTheme="minorHAnsi" w:eastAsia="Times New Roman" w:hAnsiTheme="minorHAnsi" w:cstheme="minorHAnsi"/>
          <w:b/>
          <w:sz w:val="18"/>
        </w:rPr>
        <w:t>1</w:t>
      </w:r>
      <w:r w:rsidR="008D5417">
        <w:rPr>
          <w:rFonts w:asciiTheme="minorHAnsi" w:eastAsia="Times New Roman" w:hAnsiTheme="minorHAnsi" w:cstheme="minorHAnsi"/>
          <w:b/>
          <w:sz w:val="18"/>
        </w:rPr>
        <w:t>3</w:t>
      </w:r>
      <w:r w:rsidR="0076674F" w:rsidRPr="00EE1A67">
        <w:rPr>
          <w:rFonts w:asciiTheme="minorHAnsi" w:eastAsia="Times New Roman" w:hAnsiTheme="minorHAnsi" w:cstheme="minorHAnsi"/>
          <w:b/>
          <w:sz w:val="18"/>
        </w:rPr>
        <w:t>:</w:t>
      </w:r>
      <w:r w:rsidRPr="00EE1A67">
        <w:rPr>
          <w:rFonts w:asciiTheme="minorHAnsi" w:eastAsia="Times New Roman" w:hAnsiTheme="minorHAnsi" w:cstheme="minorHAnsi"/>
          <w:b/>
          <w:sz w:val="18"/>
        </w:rPr>
        <w:t xml:space="preserve"> An</w:t>
      </w:r>
      <w:r w:rsidR="00D41569" w:rsidRPr="00EE1A67">
        <w:rPr>
          <w:rFonts w:asciiTheme="minorHAnsi" w:eastAsia="Times New Roman" w:hAnsiTheme="minorHAnsi" w:cstheme="minorHAnsi"/>
          <w:b/>
          <w:sz w:val="18"/>
        </w:rPr>
        <w:t xml:space="preserve"> illustrative list sources for funding research.</w:t>
      </w:r>
    </w:p>
    <w:tbl>
      <w:tblPr>
        <w:tblStyle w:val="TableGrid2"/>
        <w:tblW w:w="9250" w:type="dxa"/>
        <w:tblLayout w:type="fixed"/>
        <w:tblLook w:val="0600" w:firstRow="0" w:lastRow="0" w:firstColumn="0" w:lastColumn="0" w:noHBand="1" w:noVBand="1"/>
      </w:tblPr>
      <w:tblGrid>
        <w:gridCol w:w="5435"/>
        <w:gridCol w:w="3815"/>
      </w:tblGrid>
      <w:tr w:rsidR="00AF5CF3" w:rsidRPr="00AF5CF3" w14:paraId="721747DC" w14:textId="77777777" w:rsidTr="006301EE">
        <w:trPr>
          <w:trHeight w:val="25"/>
        </w:trPr>
        <w:tc>
          <w:tcPr>
            <w:tcW w:w="5435" w:type="dxa"/>
            <w:shd w:val="clear" w:color="auto" w:fill="17365D" w:themeFill="text2" w:themeFillShade="BF"/>
          </w:tcPr>
          <w:p w14:paraId="7E01D4CE" w14:textId="77777777" w:rsidR="00AF5CF3" w:rsidRPr="00AF5CF3" w:rsidRDefault="00AF5CF3" w:rsidP="00AF5CF3">
            <w:pPr>
              <w:spacing w:before="0" w:after="0"/>
              <w:rPr>
                <w:rFonts w:asciiTheme="minorHAnsi" w:hAnsiTheme="minorHAnsi" w:cstheme="minorHAnsi"/>
                <w:b/>
                <w:sz w:val="22"/>
              </w:rPr>
            </w:pPr>
            <w:r w:rsidRPr="00AF5CF3">
              <w:rPr>
                <w:rFonts w:asciiTheme="minorHAnsi" w:hAnsiTheme="minorHAnsi" w:cstheme="minorHAnsi"/>
                <w:b/>
                <w:sz w:val="22"/>
              </w:rPr>
              <w:t>Government of India, State Governments and others</w:t>
            </w:r>
          </w:p>
        </w:tc>
        <w:tc>
          <w:tcPr>
            <w:tcW w:w="3815" w:type="dxa"/>
            <w:shd w:val="clear" w:color="auto" w:fill="17365D" w:themeFill="text2" w:themeFillShade="BF"/>
          </w:tcPr>
          <w:p w14:paraId="274DE357" w14:textId="77777777" w:rsidR="00AF5CF3" w:rsidRPr="00AF5CF3" w:rsidRDefault="00AF5CF3" w:rsidP="00AF5CF3">
            <w:pPr>
              <w:spacing w:before="0" w:after="0"/>
              <w:rPr>
                <w:rFonts w:asciiTheme="minorHAnsi" w:hAnsiTheme="minorHAnsi" w:cstheme="minorHAnsi"/>
                <w:b/>
                <w:sz w:val="22"/>
              </w:rPr>
            </w:pPr>
            <w:r w:rsidRPr="00AF5CF3">
              <w:rPr>
                <w:rFonts w:asciiTheme="minorHAnsi" w:hAnsiTheme="minorHAnsi" w:cstheme="minorHAnsi"/>
                <w:b/>
                <w:sz w:val="22"/>
              </w:rPr>
              <w:t>International or Private funding</w:t>
            </w:r>
          </w:p>
        </w:tc>
      </w:tr>
      <w:tr w:rsidR="00AF5CF3" w:rsidRPr="00AF5CF3" w14:paraId="01591D4A" w14:textId="77777777" w:rsidTr="006301EE">
        <w:trPr>
          <w:trHeight w:val="26"/>
        </w:trPr>
        <w:tc>
          <w:tcPr>
            <w:tcW w:w="5435" w:type="dxa"/>
            <w:shd w:val="clear" w:color="auto" w:fill="E8EFF9" w:themeFill="accent5" w:themeFillTint="33"/>
          </w:tcPr>
          <w:p w14:paraId="022CB92A" w14:textId="41296521" w:rsidR="00AF5CF3" w:rsidRPr="00AF5CF3" w:rsidRDefault="0096187C" w:rsidP="00AF5CF3">
            <w:pPr>
              <w:spacing w:before="0" w:after="0"/>
              <w:rPr>
                <w:rFonts w:asciiTheme="minorHAnsi" w:hAnsiTheme="minorHAnsi" w:cstheme="minorHAnsi"/>
                <w:sz w:val="22"/>
              </w:rPr>
            </w:pPr>
            <w:r>
              <w:rPr>
                <w:rFonts w:asciiTheme="minorHAnsi" w:hAnsiTheme="minorHAnsi" w:cstheme="minorHAnsi"/>
                <w:sz w:val="22"/>
              </w:rPr>
              <w:t>NTEP</w:t>
            </w:r>
            <w:r w:rsidR="00AF5CF3" w:rsidRPr="00AF5CF3">
              <w:rPr>
                <w:rFonts w:asciiTheme="minorHAnsi" w:hAnsiTheme="minorHAnsi" w:cstheme="minorHAnsi"/>
                <w:sz w:val="22"/>
              </w:rPr>
              <w:t xml:space="preserve"> (CTD, State TB Cell, OR committees, NTI)</w:t>
            </w:r>
          </w:p>
        </w:tc>
        <w:tc>
          <w:tcPr>
            <w:tcW w:w="3815" w:type="dxa"/>
            <w:shd w:val="clear" w:color="auto" w:fill="E8EFF9" w:themeFill="accent5" w:themeFillTint="33"/>
          </w:tcPr>
          <w:p w14:paraId="08C825A7"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WHO</w:t>
            </w:r>
          </w:p>
        </w:tc>
      </w:tr>
      <w:tr w:rsidR="00AF5CF3" w:rsidRPr="00AF5CF3" w14:paraId="20A1407C" w14:textId="77777777" w:rsidTr="006301EE">
        <w:trPr>
          <w:trHeight w:val="17"/>
        </w:trPr>
        <w:tc>
          <w:tcPr>
            <w:tcW w:w="5435" w:type="dxa"/>
            <w:shd w:val="clear" w:color="auto" w:fill="BAD1ED" w:themeFill="accent5" w:themeFillTint="99"/>
          </w:tcPr>
          <w:p w14:paraId="52C54B08"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ICMR—India TB Research Consortium</w:t>
            </w:r>
          </w:p>
        </w:tc>
        <w:tc>
          <w:tcPr>
            <w:tcW w:w="3815" w:type="dxa"/>
            <w:shd w:val="clear" w:color="auto" w:fill="BAD1ED" w:themeFill="accent5" w:themeFillTint="99"/>
          </w:tcPr>
          <w:p w14:paraId="75DC5477"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Global Fund</w:t>
            </w:r>
          </w:p>
        </w:tc>
      </w:tr>
      <w:tr w:rsidR="00AF5CF3" w:rsidRPr="00AF5CF3" w14:paraId="03F83308" w14:textId="77777777" w:rsidTr="006301EE">
        <w:trPr>
          <w:trHeight w:val="17"/>
        </w:trPr>
        <w:tc>
          <w:tcPr>
            <w:tcW w:w="5435" w:type="dxa"/>
            <w:shd w:val="clear" w:color="auto" w:fill="E8EFF9" w:themeFill="accent5" w:themeFillTint="33"/>
          </w:tcPr>
          <w:p w14:paraId="65339436"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ICMR— Task Force studies, Intra-mural funds</w:t>
            </w:r>
          </w:p>
        </w:tc>
        <w:tc>
          <w:tcPr>
            <w:tcW w:w="3815" w:type="dxa"/>
            <w:shd w:val="clear" w:color="auto" w:fill="E8EFF9" w:themeFill="accent5" w:themeFillTint="33"/>
          </w:tcPr>
          <w:p w14:paraId="06C9BA2E"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USAID</w:t>
            </w:r>
          </w:p>
        </w:tc>
      </w:tr>
      <w:tr w:rsidR="00AF5CF3" w:rsidRPr="00AF5CF3" w14:paraId="55B88677" w14:textId="77777777" w:rsidTr="006301EE">
        <w:trPr>
          <w:trHeight w:val="17"/>
        </w:trPr>
        <w:tc>
          <w:tcPr>
            <w:tcW w:w="5435" w:type="dxa"/>
            <w:shd w:val="clear" w:color="auto" w:fill="BAD1ED" w:themeFill="accent5" w:themeFillTint="99"/>
          </w:tcPr>
          <w:p w14:paraId="63CA75D9" w14:textId="06E49B2A" w:rsidR="00AF5CF3" w:rsidRPr="00AF5CF3" w:rsidRDefault="00F51523" w:rsidP="00AF5CF3">
            <w:pPr>
              <w:spacing w:before="0" w:after="0"/>
              <w:rPr>
                <w:rFonts w:asciiTheme="minorHAnsi" w:hAnsiTheme="minorHAnsi" w:cstheme="minorHAnsi"/>
                <w:sz w:val="22"/>
              </w:rPr>
            </w:pPr>
            <w:r w:rsidRPr="00AF5CF3">
              <w:rPr>
                <w:rFonts w:asciiTheme="minorHAnsi" w:hAnsiTheme="minorHAnsi" w:cstheme="minorHAnsi"/>
                <w:sz w:val="22"/>
              </w:rPr>
              <w:t>Dept.</w:t>
            </w:r>
            <w:r w:rsidR="00AF5CF3" w:rsidRPr="00AF5CF3">
              <w:rPr>
                <w:rFonts w:asciiTheme="minorHAnsi" w:hAnsiTheme="minorHAnsi" w:cstheme="minorHAnsi"/>
                <w:sz w:val="22"/>
              </w:rPr>
              <w:t xml:space="preserve"> of Biotechnology/ BIRAC</w:t>
            </w:r>
          </w:p>
        </w:tc>
        <w:tc>
          <w:tcPr>
            <w:tcW w:w="3815" w:type="dxa"/>
            <w:shd w:val="clear" w:color="auto" w:fill="BAD1ED" w:themeFill="accent5" w:themeFillTint="99"/>
          </w:tcPr>
          <w:p w14:paraId="6917EBA8"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Bill and Melinda Gates Foundation</w:t>
            </w:r>
          </w:p>
        </w:tc>
      </w:tr>
      <w:tr w:rsidR="00AF5CF3" w:rsidRPr="00AF5CF3" w14:paraId="17D6B929" w14:textId="77777777" w:rsidTr="006301EE">
        <w:trPr>
          <w:trHeight w:val="17"/>
        </w:trPr>
        <w:tc>
          <w:tcPr>
            <w:tcW w:w="5435" w:type="dxa"/>
            <w:shd w:val="clear" w:color="auto" w:fill="E8EFF9" w:themeFill="accent5" w:themeFillTint="33"/>
          </w:tcPr>
          <w:p w14:paraId="230B556E" w14:textId="564B0B55" w:rsidR="00AF5CF3" w:rsidRPr="00AF5CF3" w:rsidRDefault="00F51523" w:rsidP="00AF5CF3">
            <w:pPr>
              <w:spacing w:before="0" w:after="0"/>
              <w:rPr>
                <w:rFonts w:asciiTheme="minorHAnsi" w:hAnsiTheme="minorHAnsi" w:cstheme="minorHAnsi"/>
                <w:sz w:val="22"/>
              </w:rPr>
            </w:pPr>
            <w:r w:rsidRPr="00AF5CF3">
              <w:rPr>
                <w:rFonts w:asciiTheme="minorHAnsi" w:hAnsiTheme="minorHAnsi" w:cstheme="minorHAnsi"/>
                <w:sz w:val="22"/>
              </w:rPr>
              <w:t>Dept.</w:t>
            </w:r>
            <w:r w:rsidR="00AF5CF3" w:rsidRPr="00AF5CF3">
              <w:rPr>
                <w:rFonts w:asciiTheme="minorHAnsi" w:hAnsiTheme="minorHAnsi" w:cstheme="minorHAnsi"/>
                <w:sz w:val="22"/>
              </w:rPr>
              <w:t xml:space="preserve"> of Science and Technology- CSIR</w:t>
            </w:r>
          </w:p>
        </w:tc>
        <w:tc>
          <w:tcPr>
            <w:tcW w:w="3815" w:type="dxa"/>
            <w:shd w:val="clear" w:color="auto" w:fill="E8EFF9" w:themeFill="accent5" w:themeFillTint="33"/>
          </w:tcPr>
          <w:p w14:paraId="04D91A68"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NIH</w:t>
            </w:r>
          </w:p>
        </w:tc>
      </w:tr>
      <w:tr w:rsidR="00AF5CF3" w:rsidRPr="00AF5CF3" w14:paraId="22B7AE37" w14:textId="77777777" w:rsidTr="006301EE">
        <w:trPr>
          <w:trHeight w:val="17"/>
        </w:trPr>
        <w:tc>
          <w:tcPr>
            <w:tcW w:w="5435" w:type="dxa"/>
            <w:shd w:val="clear" w:color="auto" w:fill="BAD1ED" w:themeFill="accent5" w:themeFillTint="99"/>
          </w:tcPr>
          <w:p w14:paraId="238A2846"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State Health Budgets</w:t>
            </w:r>
          </w:p>
        </w:tc>
        <w:tc>
          <w:tcPr>
            <w:tcW w:w="3815" w:type="dxa"/>
            <w:shd w:val="clear" w:color="auto" w:fill="BAD1ED" w:themeFill="accent5" w:themeFillTint="99"/>
          </w:tcPr>
          <w:p w14:paraId="0637B8C2"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US-CDC</w:t>
            </w:r>
          </w:p>
        </w:tc>
      </w:tr>
      <w:tr w:rsidR="00AF5CF3" w:rsidRPr="00AF5CF3" w14:paraId="62F5ED84" w14:textId="77777777" w:rsidTr="006301EE">
        <w:trPr>
          <w:trHeight w:val="17"/>
        </w:trPr>
        <w:tc>
          <w:tcPr>
            <w:tcW w:w="5435" w:type="dxa"/>
            <w:shd w:val="clear" w:color="auto" w:fill="E8EFF9" w:themeFill="accent5" w:themeFillTint="33"/>
          </w:tcPr>
          <w:p w14:paraId="7BA32F3F" w14:textId="797D6AC2" w:rsidR="00AF5CF3" w:rsidRPr="00AF5CF3" w:rsidRDefault="00AF5CF3" w:rsidP="00E94689">
            <w:pPr>
              <w:spacing w:before="0" w:after="0"/>
              <w:rPr>
                <w:rFonts w:asciiTheme="minorHAnsi" w:hAnsiTheme="minorHAnsi" w:cstheme="minorHAnsi"/>
                <w:sz w:val="22"/>
              </w:rPr>
            </w:pPr>
            <w:r w:rsidRPr="00AF5CF3">
              <w:rPr>
                <w:rFonts w:asciiTheme="minorHAnsi" w:hAnsiTheme="minorHAnsi" w:cstheme="minorHAnsi"/>
                <w:sz w:val="22"/>
              </w:rPr>
              <w:t>Intra-mural Funds of National Institutes (AIIMS, PGIMER etc.)</w:t>
            </w:r>
          </w:p>
        </w:tc>
        <w:tc>
          <w:tcPr>
            <w:tcW w:w="3815" w:type="dxa"/>
            <w:shd w:val="clear" w:color="auto" w:fill="E8EFF9" w:themeFill="accent5" w:themeFillTint="33"/>
          </w:tcPr>
          <w:p w14:paraId="3E5877BA" w14:textId="2D8F9CC1" w:rsidR="00AF5CF3" w:rsidRPr="00AF5CF3" w:rsidRDefault="00E94689" w:rsidP="00E94689">
            <w:pPr>
              <w:spacing w:before="0" w:after="0"/>
              <w:rPr>
                <w:rFonts w:asciiTheme="minorHAnsi" w:hAnsiTheme="minorHAnsi" w:cstheme="minorHAnsi"/>
                <w:sz w:val="22"/>
              </w:rPr>
            </w:pPr>
            <w:r w:rsidRPr="00AF5CF3">
              <w:rPr>
                <w:rFonts w:asciiTheme="minorHAnsi" w:hAnsiTheme="minorHAnsi" w:cstheme="minorHAnsi"/>
                <w:sz w:val="22"/>
              </w:rPr>
              <w:t xml:space="preserve">Stop TB Partnership </w:t>
            </w:r>
            <w:r>
              <w:rPr>
                <w:rFonts w:asciiTheme="minorHAnsi" w:hAnsiTheme="minorHAnsi" w:cstheme="minorHAnsi"/>
                <w:sz w:val="22"/>
              </w:rPr>
              <w:t>(TB- REACH</w:t>
            </w:r>
            <w:r w:rsidR="00AF5CF3" w:rsidRPr="00AF5CF3">
              <w:rPr>
                <w:rFonts w:asciiTheme="minorHAnsi" w:hAnsiTheme="minorHAnsi" w:cstheme="minorHAnsi"/>
                <w:sz w:val="22"/>
              </w:rPr>
              <w:t>)</w:t>
            </w:r>
          </w:p>
        </w:tc>
      </w:tr>
      <w:tr w:rsidR="00AF5CF3" w:rsidRPr="00AF5CF3" w14:paraId="1B0B3700" w14:textId="77777777" w:rsidTr="006301EE">
        <w:trPr>
          <w:trHeight w:val="17"/>
        </w:trPr>
        <w:tc>
          <w:tcPr>
            <w:tcW w:w="5435" w:type="dxa"/>
            <w:shd w:val="clear" w:color="auto" w:fill="BAD1ED" w:themeFill="accent5" w:themeFillTint="99"/>
          </w:tcPr>
          <w:p w14:paraId="0FA5BDB8"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Indian Institute of Technology (Internal Funds)</w:t>
            </w:r>
          </w:p>
        </w:tc>
        <w:tc>
          <w:tcPr>
            <w:tcW w:w="3815" w:type="dxa"/>
            <w:shd w:val="clear" w:color="auto" w:fill="BAD1ED" w:themeFill="accent5" w:themeFillTint="99"/>
          </w:tcPr>
          <w:p w14:paraId="646BEA5F"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The Union</w:t>
            </w:r>
          </w:p>
        </w:tc>
      </w:tr>
      <w:tr w:rsidR="00AF5CF3" w:rsidRPr="00AF5CF3" w14:paraId="1785284B" w14:textId="77777777" w:rsidTr="006301EE">
        <w:trPr>
          <w:trHeight w:val="89"/>
        </w:trPr>
        <w:tc>
          <w:tcPr>
            <w:tcW w:w="5435" w:type="dxa"/>
            <w:shd w:val="clear" w:color="auto" w:fill="E8EFF9" w:themeFill="accent5" w:themeFillTint="33"/>
          </w:tcPr>
          <w:p w14:paraId="1849B17A"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Ministry of Tribal Affairs (MoTA)</w:t>
            </w:r>
          </w:p>
        </w:tc>
        <w:tc>
          <w:tcPr>
            <w:tcW w:w="3815" w:type="dxa"/>
            <w:shd w:val="clear" w:color="auto" w:fill="E8EFF9" w:themeFill="accent5" w:themeFillTint="33"/>
          </w:tcPr>
          <w:p w14:paraId="5E2A4AD1"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FIND-India</w:t>
            </w:r>
          </w:p>
        </w:tc>
      </w:tr>
      <w:tr w:rsidR="00AF5CF3" w:rsidRPr="00AF5CF3" w14:paraId="569A8835" w14:textId="77777777" w:rsidTr="006301EE">
        <w:trPr>
          <w:trHeight w:val="17"/>
        </w:trPr>
        <w:tc>
          <w:tcPr>
            <w:tcW w:w="5435" w:type="dxa"/>
            <w:shd w:val="clear" w:color="auto" w:fill="BAD1ED" w:themeFill="accent5" w:themeFillTint="99"/>
          </w:tcPr>
          <w:p w14:paraId="6A677C17" w14:textId="77777777" w:rsidR="00AF5CF3" w:rsidRPr="00AF5CF3" w:rsidRDefault="00AF5CF3" w:rsidP="00AF5CF3">
            <w:pPr>
              <w:spacing w:before="0" w:after="0"/>
              <w:rPr>
                <w:rFonts w:asciiTheme="minorHAnsi" w:hAnsiTheme="minorHAnsi" w:cstheme="minorHAnsi"/>
                <w:sz w:val="22"/>
              </w:rPr>
            </w:pPr>
          </w:p>
        </w:tc>
        <w:tc>
          <w:tcPr>
            <w:tcW w:w="3815" w:type="dxa"/>
            <w:shd w:val="clear" w:color="auto" w:fill="BAD1ED" w:themeFill="accent5" w:themeFillTint="99"/>
          </w:tcPr>
          <w:p w14:paraId="1F107D10"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UNITAID</w:t>
            </w:r>
          </w:p>
        </w:tc>
      </w:tr>
      <w:tr w:rsidR="00AF5CF3" w:rsidRPr="00AF5CF3" w14:paraId="1C865711" w14:textId="77777777" w:rsidTr="006301EE">
        <w:trPr>
          <w:trHeight w:val="17"/>
        </w:trPr>
        <w:tc>
          <w:tcPr>
            <w:tcW w:w="5435" w:type="dxa"/>
            <w:shd w:val="clear" w:color="auto" w:fill="E8EFF9" w:themeFill="accent5" w:themeFillTint="33"/>
          </w:tcPr>
          <w:p w14:paraId="01683858" w14:textId="77777777" w:rsidR="00AF5CF3" w:rsidRPr="00AF5CF3" w:rsidRDefault="00AF5CF3" w:rsidP="00AF5CF3">
            <w:pPr>
              <w:spacing w:before="0" w:after="0"/>
              <w:rPr>
                <w:rFonts w:asciiTheme="minorHAnsi" w:hAnsiTheme="minorHAnsi" w:cstheme="minorHAnsi"/>
                <w:sz w:val="22"/>
              </w:rPr>
            </w:pPr>
          </w:p>
        </w:tc>
        <w:tc>
          <w:tcPr>
            <w:tcW w:w="3815" w:type="dxa"/>
            <w:shd w:val="clear" w:color="auto" w:fill="E8EFF9" w:themeFill="accent5" w:themeFillTint="33"/>
          </w:tcPr>
          <w:p w14:paraId="16462857"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India Health Fund (Tata Foundation)</w:t>
            </w:r>
          </w:p>
        </w:tc>
      </w:tr>
      <w:tr w:rsidR="00AF5CF3" w:rsidRPr="00AF5CF3" w14:paraId="6DD7ABED" w14:textId="77777777" w:rsidTr="006301EE">
        <w:trPr>
          <w:trHeight w:val="26"/>
        </w:trPr>
        <w:tc>
          <w:tcPr>
            <w:tcW w:w="5435" w:type="dxa"/>
            <w:shd w:val="clear" w:color="auto" w:fill="BAD1ED" w:themeFill="accent5" w:themeFillTint="99"/>
          </w:tcPr>
          <w:p w14:paraId="68C6F4C3" w14:textId="77777777" w:rsidR="00AF5CF3" w:rsidRPr="00AF5CF3" w:rsidRDefault="00AF5CF3" w:rsidP="00AF5CF3">
            <w:pPr>
              <w:spacing w:before="0" w:after="0"/>
              <w:rPr>
                <w:rFonts w:asciiTheme="minorHAnsi" w:hAnsiTheme="minorHAnsi" w:cstheme="minorHAnsi"/>
                <w:sz w:val="22"/>
              </w:rPr>
            </w:pPr>
          </w:p>
        </w:tc>
        <w:tc>
          <w:tcPr>
            <w:tcW w:w="3815" w:type="dxa"/>
            <w:shd w:val="clear" w:color="auto" w:fill="BAD1ED" w:themeFill="accent5" w:themeFillTint="99"/>
          </w:tcPr>
          <w:p w14:paraId="33A8CD45"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Pharmaceutical Companies (J&amp;J, Eli Lilly)</w:t>
            </w:r>
          </w:p>
        </w:tc>
      </w:tr>
      <w:tr w:rsidR="00AF5CF3" w:rsidRPr="00AF5CF3" w14:paraId="3B68227A" w14:textId="77777777" w:rsidTr="006301EE">
        <w:trPr>
          <w:trHeight w:val="17"/>
        </w:trPr>
        <w:tc>
          <w:tcPr>
            <w:tcW w:w="5435" w:type="dxa"/>
            <w:shd w:val="clear" w:color="auto" w:fill="E8EFF9" w:themeFill="accent5" w:themeFillTint="33"/>
          </w:tcPr>
          <w:p w14:paraId="05EB9777" w14:textId="77777777" w:rsidR="00AF5CF3" w:rsidRPr="00AF5CF3" w:rsidRDefault="00AF5CF3" w:rsidP="00AF5CF3">
            <w:pPr>
              <w:spacing w:before="0" w:after="0"/>
              <w:rPr>
                <w:rFonts w:asciiTheme="minorHAnsi" w:hAnsiTheme="minorHAnsi" w:cstheme="minorHAnsi"/>
                <w:sz w:val="22"/>
              </w:rPr>
            </w:pPr>
          </w:p>
        </w:tc>
        <w:tc>
          <w:tcPr>
            <w:tcW w:w="3815" w:type="dxa"/>
            <w:shd w:val="clear" w:color="auto" w:fill="E8EFF9" w:themeFill="accent5" w:themeFillTint="33"/>
          </w:tcPr>
          <w:p w14:paraId="3A1E6727" w14:textId="77777777" w:rsidR="00AF5CF3" w:rsidRPr="00AF5CF3" w:rsidRDefault="00AF5CF3" w:rsidP="00AF5CF3">
            <w:pPr>
              <w:spacing w:before="0" w:after="0"/>
              <w:rPr>
                <w:rFonts w:asciiTheme="minorHAnsi" w:hAnsiTheme="minorHAnsi" w:cstheme="minorHAnsi"/>
                <w:sz w:val="22"/>
              </w:rPr>
            </w:pPr>
            <w:r w:rsidRPr="00AF5CF3">
              <w:rPr>
                <w:rFonts w:asciiTheme="minorHAnsi" w:hAnsiTheme="minorHAnsi" w:cstheme="minorHAnsi"/>
                <w:sz w:val="22"/>
              </w:rPr>
              <w:t>Wellcome Trust</w:t>
            </w:r>
          </w:p>
        </w:tc>
      </w:tr>
    </w:tbl>
    <w:p w14:paraId="6C43BEF6" w14:textId="77777777" w:rsidR="00AF5CF3" w:rsidRPr="00D41569" w:rsidRDefault="00AF5CF3" w:rsidP="00D41569">
      <w:pPr>
        <w:spacing w:before="0" w:after="0"/>
        <w:rPr>
          <w:rFonts w:asciiTheme="minorHAnsi" w:eastAsia="Times New Roman" w:hAnsiTheme="minorHAnsi" w:cstheme="minorHAnsi"/>
          <w:sz w:val="22"/>
        </w:rPr>
      </w:pPr>
    </w:p>
    <w:p w14:paraId="05353541" w14:textId="6F649125" w:rsidR="00D41569" w:rsidRPr="00DD5AF6" w:rsidRDefault="00D41569" w:rsidP="00A618FA">
      <w:pPr>
        <w:spacing w:before="0" w:after="0"/>
        <w:jc w:val="both"/>
        <w:rPr>
          <w:rFonts w:asciiTheme="minorHAnsi" w:eastAsia="Times New Roman" w:hAnsiTheme="minorHAnsi" w:cstheme="minorHAnsi"/>
          <w:b/>
          <w:sz w:val="22"/>
        </w:rPr>
      </w:pPr>
      <w:r w:rsidRPr="00D41569">
        <w:rPr>
          <w:rFonts w:asciiTheme="minorHAnsi" w:eastAsia="Times New Roman" w:hAnsiTheme="minorHAnsi" w:cstheme="minorHAnsi"/>
          <w:sz w:val="22"/>
        </w:rPr>
        <w:t>One of the most noteworthy changes in the Indian TB research landscape is the establishment of the India TB Research Consortium (ITRC) as an extramural program of the Indian Council of Medical Research (ICMR).  This domestically-funded, extramural program was originally envisioned as an independent entity, but ultimately remained within the Department of Health Research in order to capitalize on institutional strengths.  With a budget of more than Rs 120 Crore and multiple studies currently underway, the ITRC has been increasingly active since its inception.</w:t>
      </w:r>
      <w:r w:rsidR="00DD5AF6">
        <w:rPr>
          <w:rFonts w:asciiTheme="minorHAnsi" w:eastAsia="Times New Roman" w:hAnsiTheme="minorHAnsi" w:cstheme="minorHAnsi"/>
          <w:sz w:val="22"/>
        </w:rPr>
        <w:t xml:space="preserve"> </w:t>
      </w:r>
      <w:r w:rsidR="00DD5AF6" w:rsidRPr="00DD5AF6">
        <w:rPr>
          <w:rFonts w:asciiTheme="minorHAnsi" w:eastAsia="Times New Roman" w:hAnsiTheme="minorHAnsi" w:cstheme="minorHAnsi"/>
          <w:b/>
          <w:sz w:val="22"/>
        </w:rPr>
        <w:t>Details of the ITRC are provided in Annex G.</w:t>
      </w:r>
    </w:p>
    <w:p w14:paraId="2B8865E6" w14:textId="09CE8962" w:rsidR="00D41569" w:rsidRPr="00D41569" w:rsidRDefault="00D41569" w:rsidP="00A618FA">
      <w:pPr>
        <w:spacing w:before="0" w:after="0"/>
        <w:jc w:val="both"/>
        <w:rPr>
          <w:rFonts w:asciiTheme="minorHAnsi" w:eastAsia="Times New Roman" w:hAnsiTheme="minorHAnsi" w:cstheme="minorHAnsi"/>
          <w:sz w:val="22"/>
        </w:rPr>
      </w:pPr>
      <w:r w:rsidRPr="00D41569">
        <w:rPr>
          <w:rFonts w:asciiTheme="minorHAnsi" w:eastAsia="Times New Roman" w:hAnsiTheme="minorHAnsi" w:cstheme="minorHAnsi"/>
          <w:sz w:val="22"/>
        </w:rPr>
        <w:t>In order to effectively reach the diverse populations across the country, continued innovation and adaptation are key.  This means moving beyond available NSP and technical guidelines.  In other words, the program itself must remain fluid and dynamic at all levels.  Flexibility and innovation have been encouraged at the national level, but ap</w:t>
      </w:r>
      <w:r w:rsidR="00146E4B">
        <w:rPr>
          <w:rFonts w:asciiTheme="minorHAnsi" w:eastAsia="Times New Roman" w:hAnsiTheme="minorHAnsi" w:cstheme="minorHAnsi"/>
          <w:sz w:val="22"/>
        </w:rPr>
        <w:t xml:space="preserve">pear to be lacking at the local </w:t>
      </w:r>
      <w:r w:rsidRPr="00D41569">
        <w:rPr>
          <w:rFonts w:asciiTheme="minorHAnsi" w:eastAsia="Times New Roman" w:hAnsiTheme="minorHAnsi" w:cstheme="minorHAnsi"/>
          <w:sz w:val="22"/>
        </w:rPr>
        <w:t xml:space="preserve">level.  While there have been some micro-level innovations as local programmes struggle to implement new policies and reach isolated and remote populations, these innovations have remained largely compartmentalized and hidden with very limited scale-up or uptake into broader policy and practice. </w:t>
      </w:r>
    </w:p>
    <w:p w14:paraId="5623372F" w14:textId="77777777" w:rsidR="00A618FA" w:rsidRDefault="00A618FA" w:rsidP="00A618FA">
      <w:pPr>
        <w:spacing w:before="0" w:after="0"/>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br w:type="page"/>
      </w:r>
    </w:p>
    <w:p w14:paraId="0C2AF134" w14:textId="61AA1CE4" w:rsidR="00DD4576" w:rsidRPr="00C45A90" w:rsidRDefault="00213555" w:rsidP="00DD4576">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lastRenderedPageBreak/>
        <w:t>1</w:t>
      </w:r>
      <w:r w:rsidR="00BE594E">
        <w:rPr>
          <w:rFonts w:asciiTheme="minorHAnsi" w:hAnsiTheme="minorHAnsi" w:cstheme="minorHAnsi"/>
          <w:b/>
          <w:color w:val="C86A07" w:themeColor="accent2" w:themeShade="BF"/>
          <w:sz w:val="28"/>
          <w:lang w:val="en"/>
        </w:rPr>
        <w:t>6</w:t>
      </w:r>
      <w:r>
        <w:rPr>
          <w:rFonts w:asciiTheme="minorHAnsi" w:hAnsiTheme="minorHAnsi" w:cstheme="minorHAnsi"/>
          <w:b/>
          <w:color w:val="C86A07" w:themeColor="accent2" w:themeShade="BF"/>
          <w:sz w:val="28"/>
          <w:lang w:val="en"/>
        </w:rPr>
        <w:t xml:space="preserve">.2 </w:t>
      </w:r>
      <w:r w:rsidR="00DD4576" w:rsidRPr="00C45A90">
        <w:rPr>
          <w:rFonts w:asciiTheme="minorHAnsi" w:hAnsiTheme="minorHAnsi" w:cstheme="minorHAnsi"/>
          <w:b/>
          <w:color w:val="C86A07" w:themeColor="accent2" w:themeShade="BF"/>
          <w:sz w:val="28"/>
          <w:lang w:val="en"/>
        </w:rPr>
        <w:t>THE PROGRESS SO FAR:</w:t>
      </w:r>
    </w:p>
    <w:p w14:paraId="23C96A4B" w14:textId="77777777" w:rsidR="00D41569" w:rsidRPr="00BE5F51" w:rsidRDefault="00D41569" w:rsidP="009136E5">
      <w:pPr>
        <w:pStyle w:val="ListParagraph"/>
        <w:numPr>
          <w:ilvl w:val="0"/>
          <w:numId w:val="66"/>
        </w:numPr>
        <w:spacing w:before="0" w:after="0"/>
        <w:rPr>
          <w:rFonts w:asciiTheme="minorHAnsi" w:eastAsia="Times New Roman" w:hAnsiTheme="minorHAnsi" w:cstheme="minorHAnsi"/>
          <w:b/>
          <w:sz w:val="22"/>
        </w:rPr>
      </w:pPr>
      <w:r w:rsidRPr="00BE5F51">
        <w:rPr>
          <w:rFonts w:asciiTheme="minorHAnsi" w:eastAsia="Times New Roman" w:hAnsiTheme="minorHAnsi" w:cstheme="minorHAnsi"/>
          <w:b/>
          <w:sz w:val="22"/>
        </w:rPr>
        <w:t>Institutional Structure and Capacity:</w:t>
      </w:r>
    </w:p>
    <w:p w14:paraId="00FF7D4A" w14:textId="77777777" w:rsidR="00D41569" w:rsidRPr="00D41569" w:rsidRDefault="00D41569" w:rsidP="009136E5">
      <w:pPr>
        <w:numPr>
          <w:ilvl w:val="0"/>
          <w:numId w:val="60"/>
        </w:numPr>
        <w:spacing w:before="0" w:after="0"/>
        <w:rPr>
          <w:rFonts w:asciiTheme="minorHAnsi" w:hAnsiTheme="minorHAnsi" w:cstheme="minorHAnsi"/>
          <w:sz w:val="22"/>
        </w:rPr>
      </w:pPr>
      <w:r w:rsidRPr="00D41569">
        <w:rPr>
          <w:rFonts w:asciiTheme="minorHAnsi" w:eastAsia="Times New Roman" w:hAnsiTheme="minorHAnsi" w:cstheme="minorHAnsi"/>
          <w:sz w:val="22"/>
        </w:rPr>
        <w:t>Positive shift in TB Research landscape with an increase in potential funding sources.</w:t>
      </w:r>
    </w:p>
    <w:p w14:paraId="647642A4" w14:textId="52C16BA8" w:rsidR="00D41569" w:rsidRPr="00D41569" w:rsidRDefault="00D41569" w:rsidP="009136E5">
      <w:pPr>
        <w:numPr>
          <w:ilvl w:val="0"/>
          <w:numId w:val="60"/>
        </w:numPr>
        <w:spacing w:before="0" w:after="0"/>
        <w:rPr>
          <w:rFonts w:asciiTheme="minorHAnsi" w:hAnsiTheme="minorHAnsi" w:cstheme="minorHAnsi"/>
          <w:sz w:val="22"/>
        </w:rPr>
      </w:pPr>
      <w:r w:rsidRPr="00D41569">
        <w:rPr>
          <w:rFonts w:asciiTheme="minorHAnsi" w:eastAsia="Times New Roman" w:hAnsiTheme="minorHAnsi" w:cstheme="minorHAnsi"/>
          <w:sz w:val="22"/>
        </w:rPr>
        <w:t xml:space="preserve">NSP outlines specific research activities, </w:t>
      </w:r>
      <w:r w:rsidR="00146E4B">
        <w:rPr>
          <w:rFonts w:asciiTheme="minorHAnsi" w:eastAsia="Times New Roman" w:hAnsiTheme="minorHAnsi" w:cstheme="minorHAnsi"/>
          <w:sz w:val="22"/>
        </w:rPr>
        <w:t xml:space="preserve">with </w:t>
      </w:r>
      <w:r w:rsidRPr="00D41569">
        <w:rPr>
          <w:rFonts w:asciiTheme="minorHAnsi" w:eastAsia="Times New Roman" w:hAnsiTheme="minorHAnsi" w:cstheme="minorHAnsi"/>
          <w:sz w:val="22"/>
        </w:rPr>
        <w:t xml:space="preserve">many </w:t>
      </w:r>
      <w:r w:rsidR="00146E4B">
        <w:rPr>
          <w:rFonts w:asciiTheme="minorHAnsi" w:eastAsia="Times New Roman" w:hAnsiTheme="minorHAnsi" w:cstheme="minorHAnsi"/>
          <w:sz w:val="22"/>
        </w:rPr>
        <w:t>of these</w:t>
      </w:r>
      <w:r w:rsidRPr="00D41569">
        <w:rPr>
          <w:rFonts w:asciiTheme="minorHAnsi" w:eastAsia="Times New Roman" w:hAnsiTheme="minorHAnsi" w:cstheme="minorHAnsi"/>
          <w:sz w:val="22"/>
        </w:rPr>
        <w:t xml:space="preserve"> initiated</w:t>
      </w:r>
      <w:r w:rsidR="00146E4B">
        <w:rPr>
          <w:rFonts w:asciiTheme="minorHAnsi" w:eastAsia="Times New Roman" w:hAnsiTheme="minorHAnsi" w:cstheme="minorHAnsi"/>
          <w:sz w:val="22"/>
        </w:rPr>
        <w:t xml:space="preserve"> and are ongoing. </w:t>
      </w:r>
      <w:r w:rsidRPr="00D41569">
        <w:rPr>
          <w:rFonts w:asciiTheme="minorHAnsi" w:eastAsia="Times New Roman" w:hAnsiTheme="minorHAnsi" w:cstheme="minorHAnsi"/>
          <w:sz w:val="22"/>
        </w:rPr>
        <w:t xml:space="preserve"> </w:t>
      </w:r>
    </w:p>
    <w:p w14:paraId="27E787B7" w14:textId="77777777" w:rsidR="00D41569" w:rsidRPr="00D41569" w:rsidRDefault="00D41569" w:rsidP="009136E5">
      <w:pPr>
        <w:numPr>
          <w:ilvl w:val="0"/>
          <w:numId w:val="60"/>
        </w:numPr>
        <w:spacing w:before="0" w:after="0"/>
        <w:rPr>
          <w:rFonts w:asciiTheme="minorHAnsi" w:hAnsiTheme="minorHAnsi" w:cstheme="minorHAnsi"/>
          <w:sz w:val="22"/>
        </w:rPr>
      </w:pPr>
      <w:r w:rsidRPr="00D41569">
        <w:rPr>
          <w:rFonts w:asciiTheme="minorHAnsi" w:eastAsia="Times New Roman" w:hAnsiTheme="minorHAnsi" w:cstheme="minorHAnsi"/>
          <w:sz w:val="22"/>
        </w:rPr>
        <w:t>Some States (e.g. Gujarat and Karnataka) have been able to articulate state-level needs and target OR activities against them.</w:t>
      </w:r>
    </w:p>
    <w:p w14:paraId="6BF7D1F9" w14:textId="15A2697B" w:rsidR="00D41569" w:rsidRPr="005223CB" w:rsidRDefault="00D41569" w:rsidP="009136E5">
      <w:pPr>
        <w:pStyle w:val="ListParagraph"/>
        <w:numPr>
          <w:ilvl w:val="0"/>
          <w:numId w:val="66"/>
        </w:numPr>
        <w:spacing w:before="0" w:after="0"/>
        <w:rPr>
          <w:rFonts w:asciiTheme="minorHAnsi" w:eastAsia="Times New Roman" w:hAnsiTheme="minorHAnsi" w:cstheme="minorHAnsi"/>
          <w:b/>
          <w:sz w:val="22"/>
        </w:rPr>
      </w:pPr>
      <w:r w:rsidRPr="005223CB">
        <w:rPr>
          <w:rFonts w:asciiTheme="minorHAnsi" w:eastAsia="Times New Roman" w:hAnsiTheme="minorHAnsi" w:cstheme="minorHAnsi"/>
          <w:b/>
          <w:sz w:val="22"/>
        </w:rPr>
        <w:t xml:space="preserve"> Operational Research:</w:t>
      </w:r>
    </w:p>
    <w:p w14:paraId="1D3F296E" w14:textId="77777777" w:rsidR="00D41569" w:rsidRPr="00D41569" w:rsidRDefault="00D41569" w:rsidP="009136E5">
      <w:pPr>
        <w:numPr>
          <w:ilvl w:val="0"/>
          <w:numId w:val="61"/>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National-level priorities have been identified and updated in 2017 by the ITRC for OR.</w:t>
      </w:r>
    </w:p>
    <w:p w14:paraId="04B077DA" w14:textId="27FFEF5B" w:rsidR="00D41569" w:rsidRPr="00D41569" w:rsidRDefault="00146E4B" w:rsidP="009136E5">
      <w:pPr>
        <w:numPr>
          <w:ilvl w:val="0"/>
          <w:numId w:val="61"/>
        </w:numPr>
        <w:spacing w:before="0" w:after="0"/>
        <w:rPr>
          <w:rFonts w:asciiTheme="minorHAnsi" w:eastAsia="Times New Roman" w:hAnsiTheme="minorHAnsi" w:cstheme="minorHAnsi"/>
          <w:sz w:val="22"/>
        </w:rPr>
      </w:pPr>
      <w:r>
        <w:rPr>
          <w:rFonts w:asciiTheme="minorHAnsi" w:eastAsia="Times New Roman" w:hAnsiTheme="minorHAnsi" w:cstheme="minorHAnsi"/>
          <w:sz w:val="22"/>
        </w:rPr>
        <w:t>T</w:t>
      </w:r>
      <w:r w:rsidR="00D41569" w:rsidRPr="00D41569">
        <w:rPr>
          <w:rFonts w:asciiTheme="minorHAnsi" w:eastAsia="Times New Roman" w:hAnsiTheme="minorHAnsi" w:cstheme="minorHAnsi"/>
          <w:sz w:val="22"/>
        </w:rPr>
        <w:t xml:space="preserve">he </w:t>
      </w:r>
      <w:r w:rsidR="00D41569" w:rsidRPr="005223CB">
        <w:rPr>
          <w:rFonts w:asciiTheme="minorHAnsi" w:eastAsia="Times New Roman" w:hAnsiTheme="minorHAnsi" w:cstheme="minorHAnsi"/>
          <w:sz w:val="22"/>
        </w:rPr>
        <w:t>National Anti-Tuberculosis Drug Resistance Survey</w:t>
      </w:r>
      <w:r w:rsidR="00D41569" w:rsidRPr="00D41569">
        <w:rPr>
          <w:rFonts w:asciiTheme="minorHAnsi" w:eastAsia="Times New Roman" w:hAnsiTheme="minorHAnsi" w:cstheme="minorHAnsi"/>
          <w:sz w:val="22"/>
        </w:rPr>
        <w:t xml:space="preserve"> (NDRS) </w:t>
      </w:r>
      <w:r>
        <w:rPr>
          <w:rFonts w:asciiTheme="minorHAnsi" w:eastAsia="Times New Roman" w:hAnsiTheme="minorHAnsi" w:cstheme="minorHAnsi"/>
          <w:sz w:val="22"/>
        </w:rPr>
        <w:t>presented</w:t>
      </w:r>
      <w:r w:rsidR="00D41569" w:rsidRPr="00D41569">
        <w:rPr>
          <w:rFonts w:asciiTheme="minorHAnsi" w:eastAsia="Times New Roman" w:hAnsiTheme="minorHAnsi" w:cstheme="minorHAnsi"/>
          <w:sz w:val="22"/>
        </w:rPr>
        <w:t xml:space="preserve"> the nature of anti-TB drug resistance in India, for first- and second-line drugs.</w:t>
      </w:r>
    </w:p>
    <w:p w14:paraId="73BF4705" w14:textId="05C11FED" w:rsidR="00D41569" w:rsidRPr="005223CB" w:rsidRDefault="00D41569" w:rsidP="009136E5">
      <w:pPr>
        <w:pStyle w:val="ListParagraph"/>
        <w:numPr>
          <w:ilvl w:val="0"/>
          <w:numId w:val="66"/>
        </w:numPr>
        <w:spacing w:before="0" w:after="0"/>
        <w:rPr>
          <w:rFonts w:asciiTheme="minorHAnsi" w:eastAsia="Times New Roman" w:hAnsiTheme="minorHAnsi" w:cstheme="minorHAnsi"/>
          <w:b/>
          <w:sz w:val="22"/>
        </w:rPr>
      </w:pPr>
      <w:r w:rsidRPr="005223CB">
        <w:rPr>
          <w:rFonts w:asciiTheme="minorHAnsi" w:eastAsia="Times New Roman" w:hAnsiTheme="minorHAnsi" w:cstheme="minorHAnsi"/>
          <w:b/>
          <w:sz w:val="22"/>
        </w:rPr>
        <w:t xml:space="preserve"> Treatment:</w:t>
      </w:r>
    </w:p>
    <w:p w14:paraId="0C1476CB" w14:textId="19B8C20C" w:rsidR="00D41569" w:rsidRPr="00D41569" w:rsidRDefault="00D41569" w:rsidP="009136E5">
      <w:pPr>
        <w:numPr>
          <w:ilvl w:val="0"/>
          <w:numId w:val="62"/>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 xml:space="preserve">The </w:t>
      </w:r>
      <w:r w:rsidR="0096187C">
        <w:rPr>
          <w:rFonts w:asciiTheme="minorHAnsi" w:eastAsia="Times New Roman" w:hAnsiTheme="minorHAnsi" w:cstheme="minorHAnsi"/>
          <w:sz w:val="22"/>
        </w:rPr>
        <w:t>NTEP</w:t>
      </w:r>
      <w:r w:rsidRPr="00D41569">
        <w:rPr>
          <w:rFonts w:asciiTheme="minorHAnsi" w:eastAsia="Times New Roman" w:hAnsiTheme="minorHAnsi" w:cstheme="minorHAnsi"/>
          <w:sz w:val="22"/>
        </w:rPr>
        <w:t xml:space="preserve"> has shifted to daily dosing for the basic TB regimen no longer insisting on universal use of labor-intensive DOT.</w:t>
      </w:r>
    </w:p>
    <w:p w14:paraId="3A746101" w14:textId="77777777" w:rsidR="00D41569" w:rsidRPr="00D41569" w:rsidRDefault="00D41569" w:rsidP="009136E5">
      <w:pPr>
        <w:numPr>
          <w:ilvl w:val="0"/>
          <w:numId w:val="62"/>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Some states (e.g., Kerala, Chennai) have completed vulnerability mapping as a baseline analysis for potential activities.</w:t>
      </w:r>
    </w:p>
    <w:p w14:paraId="1DBA3A96" w14:textId="77777777" w:rsidR="00D41569" w:rsidRPr="00D41569" w:rsidRDefault="00D41569" w:rsidP="009136E5">
      <w:pPr>
        <w:numPr>
          <w:ilvl w:val="0"/>
          <w:numId w:val="62"/>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Interesting and promising studies on vaccines and prevention are currently underway.</w:t>
      </w:r>
    </w:p>
    <w:p w14:paraId="0C664118" w14:textId="77777777" w:rsidR="00D41569" w:rsidRPr="00D41569" w:rsidRDefault="00D41569" w:rsidP="00442A67">
      <w:pPr>
        <w:numPr>
          <w:ilvl w:val="0"/>
          <w:numId w:val="47"/>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 xml:space="preserve">RATION study: a randomized control trial (RCT) that is using food as vaccine among household contacts; and </w:t>
      </w:r>
    </w:p>
    <w:p w14:paraId="49DBFCD3" w14:textId="77777777" w:rsidR="00D41569" w:rsidRPr="00D41569" w:rsidRDefault="00D41569" w:rsidP="00442A67">
      <w:pPr>
        <w:numPr>
          <w:ilvl w:val="0"/>
          <w:numId w:val="47"/>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Two multisite vaccine RCTs.</w:t>
      </w:r>
    </w:p>
    <w:p w14:paraId="74F4ED05" w14:textId="44F835FE" w:rsidR="007137CC" w:rsidRPr="00C45A90" w:rsidRDefault="00213555" w:rsidP="007137CC">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6</w:t>
      </w:r>
      <w:r>
        <w:rPr>
          <w:rFonts w:asciiTheme="minorHAnsi" w:hAnsiTheme="minorHAnsi" w:cstheme="minorHAnsi"/>
          <w:b/>
          <w:color w:val="C86A07" w:themeColor="accent2" w:themeShade="BF"/>
          <w:sz w:val="28"/>
          <w:lang w:val="en"/>
        </w:rPr>
        <w:t xml:space="preserve">.3 </w:t>
      </w:r>
      <w:r w:rsidR="007137CC" w:rsidRPr="00C45A90">
        <w:rPr>
          <w:rFonts w:asciiTheme="minorHAnsi" w:hAnsiTheme="minorHAnsi" w:cstheme="minorHAnsi"/>
          <w:b/>
          <w:color w:val="C86A07" w:themeColor="accent2" w:themeShade="BF"/>
          <w:sz w:val="28"/>
          <w:lang w:val="en"/>
        </w:rPr>
        <w:t>CHALLENGES REMAIN</w:t>
      </w:r>
    </w:p>
    <w:p w14:paraId="01F7EEB5" w14:textId="77777777" w:rsidR="00D41569" w:rsidRPr="00F90207" w:rsidRDefault="00D41569" w:rsidP="009136E5">
      <w:pPr>
        <w:pStyle w:val="ListParagraph"/>
        <w:numPr>
          <w:ilvl w:val="0"/>
          <w:numId w:val="63"/>
        </w:numPr>
        <w:spacing w:before="0" w:after="0"/>
        <w:rPr>
          <w:rFonts w:asciiTheme="minorHAnsi" w:eastAsia="Times New Roman" w:hAnsiTheme="minorHAnsi" w:cstheme="minorHAnsi"/>
          <w:b/>
          <w:sz w:val="22"/>
        </w:rPr>
      </w:pPr>
      <w:r w:rsidRPr="00F90207">
        <w:rPr>
          <w:rFonts w:asciiTheme="minorHAnsi" w:eastAsia="Times New Roman" w:hAnsiTheme="minorHAnsi" w:cstheme="minorHAnsi"/>
          <w:b/>
          <w:sz w:val="22"/>
        </w:rPr>
        <w:t>Institutional Structure and Capacity:</w:t>
      </w:r>
    </w:p>
    <w:p w14:paraId="07B53BBF" w14:textId="77777777" w:rsidR="00D41569" w:rsidRPr="00F90207" w:rsidRDefault="00D41569" w:rsidP="009136E5">
      <w:pPr>
        <w:pStyle w:val="ListParagraph"/>
        <w:numPr>
          <w:ilvl w:val="1"/>
          <w:numId w:val="63"/>
        </w:numPr>
        <w:spacing w:before="0" w:after="0"/>
        <w:rPr>
          <w:rFonts w:asciiTheme="minorHAnsi" w:eastAsia="Times New Roman" w:hAnsiTheme="minorHAnsi" w:cstheme="minorHAnsi"/>
          <w:sz w:val="22"/>
        </w:rPr>
      </w:pPr>
      <w:r w:rsidRPr="00F90207">
        <w:rPr>
          <w:rFonts w:asciiTheme="minorHAnsi" w:eastAsia="Times New Roman" w:hAnsiTheme="minorHAnsi" w:cstheme="minorHAnsi"/>
          <w:sz w:val="22"/>
        </w:rPr>
        <w:t>Innovations at the national level are difficult to recognize, capture and integrate into the program. At the local level innovations are not adequately scaled-up or included into broader policy and practice.</w:t>
      </w:r>
    </w:p>
    <w:p w14:paraId="4EC1BC48" w14:textId="77777777" w:rsidR="00D41569" w:rsidRPr="00F90207" w:rsidRDefault="00D41569" w:rsidP="009136E5">
      <w:pPr>
        <w:pStyle w:val="ListParagraph"/>
        <w:numPr>
          <w:ilvl w:val="1"/>
          <w:numId w:val="63"/>
        </w:numPr>
        <w:spacing w:before="0" w:after="0"/>
        <w:rPr>
          <w:rFonts w:asciiTheme="minorHAnsi" w:eastAsia="Times New Roman" w:hAnsiTheme="minorHAnsi" w:cstheme="minorHAnsi"/>
          <w:sz w:val="22"/>
        </w:rPr>
      </w:pPr>
      <w:r w:rsidRPr="00F90207">
        <w:rPr>
          <w:rFonts w:asciiTheme="minorHAnsi" w:eastAsia="Times New Roman" w:hAnsiTheme="minorHAnsi" w:cstheme="minorHAnsi"/>
          <w:sz w:val="22"/>
        </w:rPr>
        <w:t>While collaborations have been proposed with Brazil, Russia, India, China and South Africa (BRICS) and six meetings have been held in the last two years, no clear plan forward has been proposed or publicized as a result of these efforts.</w:t>
      </w:r>
    </w:p>
    <w:p w14:paraId="7960E697" w14:textId="6722FFC6" w:rsidR="00D41569" w:rsidRPr="00D41569" w:rsidRDefault="00D41569" w:rsidP="009136E5">
      <w:pPr>
        <w:pStyle w:val="ListParagraph"/>
        <w:numPr>
          <w:ilvl w:val="1"/>
          <w:numId w:val="63"/>
        </w:numPr>
        <w:spacing w:before="0" w:after="0"/>
        <w:rPr>
          <w:rFonts w:asciiTheme="minorHAnsi" w:hAnsiTheme="minorHAnsi" w:cstheme="minorHAnsi"/>
          <w:sz w:val="22"/>
        </w:rPr>
      </w:pPr>
      <w:r w:rsidRPr="00F90207">
        <w:rPr>
          <w:rFonts w:asciiTheme="minorHAnsi" w:eastAsia="Times New Roman" w:hAnsiTheme="minorHAnsi" w:cstheme="minorHAnsi"/>
          <w:sz w:val="22"/>
        </w:rPr>
        <w:t xml:space="preserve">The inception of a National Research Cell within the National Technical Institute (NTI) </w:t>
      </w:r>
      <w:r w:rsidR="00F73CCF">
        <w:rPr>
          <w:rFonts w:asciiTheme="minorHAnsi" w:eastAsia="Times New Roman" w:hAnsiTheme="minorHAnsi" w:cstheme="minorHAnsi"/>
          <w:sz w:val="22"/>
        </w:rPr>
        <w:t xml:space="preserve">is </w:t>
      </w:r>
      <w:r w:rsidR="00F73CCF" w:rsidRPr="00F90207">
        <w:rPr>
          <w:rFonts w:asciiTheme="minorHAnsi" w:eastAsia="Times New Roman" w:hAnsiTheme="minorHAnsi" w:cstheme="minorHAnsi"/>
          <w:sz w:val="22"/>
        </w:rPr>
        <w:t>yet</w:t>
      </w:r>
      <w:r w:rsidRPr="00F90207">
        <w:rPr>
          <w:rFonts w:asciiTheme="minorHAnsi" w:eastAsia="Times New Roman" w:hAnsiTheme="minorHAnsi" w:cstheme="minorHAnsi"/>
          <w:sz w:val="22"/>
        </w:rPr>
        <w:t xml:space="preserve"> to be approved and launched.  This Cell is intended as a solution to the perpetual challenge of securing operational research (OR) funding, lack of capacity for OR and dissemination and use of findings to inform updated evidence</w:t>
      </w:r>
      <w:r w:rsidRPr="00D41569">
        <w:rPr>
          <w:rFonts w:asciiTheme="minorHAnsi" w:eastAsia="Times New Roman" w:hAnsiTheme="minorHAnsi" w:cstheme="minorHAnsi"/>
          <w:sz w:val="22"/>
        </w:rPr>
        <w:t xml:space="preserve">-based policies. </w:t>
      </w:r>
    </w:p>
    <w:p w14:paraId="157B1B81" w14:textId="77777777" w:rsidR="00D41569" w:rsidRPr="00F90207" w:rsidRDefault="00D41569" w:rsidP="009136E5">
      <w:pPr>
        <w:pStyle w:val="ListParagraph"/>
        <w:numPr>
          <w:ilvl w:val="0"/>
          <w:numId w:val="63"/>
        </w:numPr>
        <w:spacing w:before="0" w:after="0"/>
        <w:rPr>
          <w:rFonts w:asciiTheme="minorHAnsi" w:eastAsia="Times New Roman" w:hAnsiTheme="minorHAnsi" w:cstheme="minorHAnsi"/>
          <w:b/>
          <w:sz w:val="22"/>
        </w:rPr>
      </w:pPr>
      <w:r w:rsidRPr="00F90207">
        <w:rPr>
          <w:rFonts w:asciiTheme="minorHAnsi" w:eastAsia="Times New Roman" w:hAnsiTheme="minorHAnsi" w:cstheme="minorHAnsi"/>
          <w:b/>
          <w:sz w:val="22"/>
        </w:rPr>
        <w:t>Operational Research:</w:t>
      </w:r>
    </w:p>
    <w:p w14:paraId="585711DF" w14:textId="77777777" w:rsidR="00F73CCF" w:rsidRDefault="00D41569" w:rsidP="009136E5">
      <w:pPr>
        <w:pStyle w:val="ListParagraph"/>
        <w:numPr>
          <w:ilvl w:val="1"/>
          <w:numId w:val="63"/>
        </w:numPr>
        <w:spacing w:before="0" w:after="0"/>
        <w:rPr>
          <w:rFonts w:asciiTheme="minorHAnsi" w:eastAsia="Times New Roman" w:hAnsiTheme="minorHAnsi" w:cstheme="minorHAnsi"/>
          <w:sz w:val="22"/>
        </w:rPr>
      </w:pPr>
      <w:r w:rsidRPr="00F73CCF">
        <w:rPr>
          <w:rFonts w:asciiTheme="minorHAnsi" w:eastAsia="Times New Roman" w:hAnsiTheme="minorHAnsi" w:cstheme="minorHAnsi"/>
          <w:sz w:val="22"/>
        </w:rPr>
        <w:t xml:space="preserve">Lack of state-level OR focal points with the capacity for OR planning and training.  </w:t>
      </w:r>
    </w:p>
    <w:p w14:paraId="1EB75CEF" w14:textId="47D0F573" w:rsidR="00D41569" w:rsidRPr="00F73CCF" w:rsidRDefault="00F73CCF" w:rsidP="009136E5">
      <w:pPr>
        <w:pStyle w:val="ListParagraph"/>
        <w:numPr>
          <w:ilvl w:val="1"/>
          <w:numId w:val="63"/>
        </w:numPr>
        <w:spacing w:before="0" w:after="0"/>
        <w:rPr>
          <w:rFonts w:asciiTheme="minorHAnsi" w:eastAsia="Times New Roman" w:hAnsiTheme="minorHAnsi" w:cstheme="minorHAnsi"/>
          <w:sz w:val="22"/>
        </w:rPr>
      </w:pPr>
      <w:r>
        <w:rPr>
          <w:rFonts w:asciiTheme="minorHAnsi" w:eastAsia="Times New Roman" w:hAnsiTheme="minorHAnsi" w:cstheme="minorHAnsi"/>
          <w:sz w:val="22"/>
        </w:rPr>
        <w:t>L</w:t>
      </w:r>
      <w:r w:rsidR="00D41569" w:rsidRPr="00F73CCF">
        <w:rPr>
          <w:rFonts w:asciiTheme="minorHAnsi" w:eastAsia="Times New Roman" w:hAnsiTheme="minorHAnsi" w:cstheme="minorHAnsi"/>
          <w:sz w:val="22"/>
        </w:rPr>
        <w:t xml:space="preserve">imited investments and progress made on the national-level OR priorities particularly in: </w:t>
      </w:r>
      <w:r w:rsidR="0096187C" w:rsidRPr="00F73CCF">
        <w:rPr>
          <w:rFonts w:asciiTheme="minorHAnsi" w:eastAsia="Times New Roman" w:hAnsiTheme="minorHAnsi" w:cstheme="minorHAnsi"/>
          <w:sz w:val="22"/>
        </w:rPr>
        <w:t>NTEP</w:t>
      </w:r>
      <w:r w:rsidR="00D41569" w:rsidRPr="00F73CCF">
        <w:rPr>
          <w:rFonts w:asciiTheme="minorHAnsi" w:eastAsia="Times New Roman" w:hAnsiTheme="minorHAnsi" w:cstheme="minorHAnsi"/>
          <w:sz w:val="22"/>
        </w:rPr>
        <w:t xml:space="preserve"> management, addressing the socioeconomic impact and catastrophic costs of TB and integration into universal health coverage schemes (e.g., State insurance programs).</w:t>
      </w:r>
    </w:p>
    <w:p w14:paraId="7B74EDC0" w14:textId="6E9F7ABD" w:rsidR="00D41569" w:rsidRPr="00D41569" w:rsidRDefault="00F73CCF" w:rsidP="009136E5">
      <w:pPr>
        <w:pStyle w:val="ListParagraph"/>
        <w:numPr>
          <w:ilvl w:val="1"/>
          <w:numId w:val="63"/>
        </w:numPr>
        <w:spacing w:before="0" w:after="0"/>
        <w:rPr>
          <w:rFonts w:asciiTheme="minorHAnsi" w:eastAsia="Times New Roman" w:hAnsiTheme="minorHAnsi" w:cstheme="minorHAnsi"/>
          <w:sz w:val="22"/>
        </w:rPr>
      </w:pPr>
      <w:r>
        <w:rPr>
          <w:rFonts w:asciiTheme="minorHAnsi" w:eastAsia="Times New Roman" w:hAnsiTheme="minorHAnsi" w:cstheme="minorHAnsi"/>
          <w:sz w:val="22"/>
        </w:rPr>
        <w:t>Lack of state</w:t>
      </w:r>
      <w:r w:rsidR="00D41569" w:rsidRPr="00D41569">
        <w:rPr>
          <w:rFonts w:asciiTheme="minorHAnsi" w:eastAsia="Times New Roman" w:hAnsiTheme="minorHAnsi" w:cstheme="minorHAnsi"/>
          <w:sz w:val="22"/>
        </w:rPr>
        <w:t>-level OR priorities</w:t>
      </w:r>
      <w:r>
        <w:rPr>
          <w:rFonts w:asciiTheme="minorHAnsi" w:eastAsia="Times New Roman" w:hAnsiTheme="minorHAnsi" w:cstheme="minorHAnsi"/>
          <w:sz w:val="22"/>
        </w:rPr>
        <w:t>.</w:t>
      </w:r>
    </w:p>
    <w:p w14:paraId="4FD1D00A" w14:textId="773493C7" w:rsidR="00D41569" w:rsidRPr="00D41569" w:rsidRDefault="00D41569" w:rsidP="009136E5">
      <w:pPr>
        <w:pStyle w:val="ListParagraph"/>
        <w:numPr>
          <w:ilvl w:val="1"/>
          <w:numId w:val="63"/>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The incredible potential of the electronic data system, Nikshay, remains largely untapped.  OR could help address the continued widespread gaps in data and its quality and lack of participation by general health staff.</w:t>
      </w:r>
    </w:p>
    <w:p w14:paraId="3F27020C" w14:textId="77777777" w:rsidR="00D41569" w:rsidRPr="00D41569" w:rsidRDefault="00D41569" w:rsidP="009136E5">
      <w:pPr>
        <w:pStyle w:val="ListParagraph"/>
        <w:numPr>
          <w:ilvl w:val="2"/>
          <w:numId w:val="63"/>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Secondary analysis of program data is limited to annual reporting.</w:t>
      </w:r>
    </w:p>
    <w:p w14:paraId="56866E35" w14:textId="77777777" w:rsidR="00D41569" w:rsidRPr="00D41569" w:rsidRDefault="00D41569" w:rsidP="009136E5">
      <w:pPr>
        <w:pStyle w:val="ListParagraph"/>
        <w:numPr>
          <w:ilvl w:val="2"/>
          <w:numId w:val="63"/>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While vast data streams are converging into Nikshay, this wealth of information is largely inaccessible to researchers.</w:t>
      </w:r>
    </w:p>
    <w:p w14:paraId="4CD81578" w14:textId="77777777" w:rsidR="00D41569" w:rsidRPr="00F90207" w:rsidRDefault="00D41569" w:rsidP="009136E5">
      <w:pPr>
        <w:pStyle w:val="ListParagraph"/>
        <w:numPr>
          <w:ilvl w:val="0"/>
          <w:numId w:val="63"/>
        </w:numPr>
        <w:spacing w:before="0" w:after="0"/>
        <w:rPr>
          <w:rFonts w:asciiTheme="minorHAnsi" w:eastAsia="Times New Roman" w:hAnsiTheme="minorHAnsi" w:cstheme="minorHAnsi"/>
          <w:b/>
          <w:sz w:val="22"/>
        </w:rPr>
      </w:pPr>
      <w:r w:rsidRPr="00F90207">
        <w:rPr>
          <w:rFonts w:asciiTheme="minorHAnsi" w:eastAsia="Times New Roman" w:hAnsiTheme="minorHAnsi" w:cstheme="minorHAnsi"/>
          <w:b/>
          <w:sz w:val="22"/>
        </w:rPr>
        <w:t>Case Finding and Detection:</w:t>
      </w:r>
    </w:p>
    <w:p w14:paraId="141AAF57" w14:textId="77777777" w:rsidR="00D41569" w:rsidRPr="00D41569" w:rsidRDefault="00D41569" w:rsidP="009136E5">
      <w:pPr>
        <w:pStyle w:val="ListParagraph"/>
        <w:numPr>
          <w:ilvl w:val="1"/>
          <w:numId w:val="63"/>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Inadequate tools and strategies in place to efficiently and effectively screen high-risk populations at scale.  The diagnostics currently being developed and/or evaluated in India are not likely to meet the country’s needs.</w:t>
      </w:r>
    </w:p>
    <w:p w14:paraId="5EC557B9" w14:textId="0779F773" w:rsidR="00D41569" w:rsidRPr="00F90207" w:rsidRDefault="00D41569" w:rsidP="009136E5">
      <w:pPr>
        <w:pStyle w:val="ListParagraph"/>
        <w:numPr>
          <w:ilvl w:val="1"/>
          <w:numId w:val="63"/>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lastRenderedPageBreak/>
        <w:t xml:space="preserve">Lessons learned and best practices from the nationwide, large-scale ACF activities have not yet been synthesized, reviewed, or ultimately </w:t>
      </w:r>
      <w:r w:rsidR="00F73CCF" w:rsidRPr="00D41569">
        <w:rPr>
          <w:rFonts w:asciiTheme="minorHAnsi" w:eastAsia="Times New Roman" w:hAnsiTheme="minorHAnsi" w:cstheme="minorHAnsi"/>
          <w:sz w:val="22"/>
        </w:rPr>
        <w:t>feed backed</w:t>
      </w:r>
      <w:r w:rsidRPr="00D41569">
        <w:rPr>
          <w:rFonts w:asciiTheme="minorHAnsi" w:eastAsia="Times New Roman" w:hAnsiTheme="minorHAnsi" w:cstheme="minorHAnsi"/>
          <w:sz w:val="22"/>
        </w:rPr>
        <w:t xml:space="preserve"> into policy recommendations.</w:t>
      </w:r>
    </w:p>
    <w:p w14:paraId="03991F37" w14:textId="77777777" w:rsidR="00D41569" w:rsidRPr="00F90207" w:rsidRDefault="00D41569" w:rsidP="009136E5">
      <w:pPr>
        <w:pStyle w:val="ListParagraph"/>
        <w:numPr>
          <w:ilvl w:val="1"/>
          <w:numId w:val="63"/>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Detection of Isoniazid (INH, or H) resistance at the point-of-care level persists.  As a result, only a small proportion of the total estimated INH-resistant TB has been detected and treated.</w:t>
      </w:r>
    </w:p>
    <w:p w14:paraId="244F28B2" w14:textId="77777777" w:rsidR="00D41569" w:rsidRPr="00D41569" w:rsidRDefault="00D41569" w:rsidP="009136E5">
      <w:pPr>
        <w:pStyle w:val="ListParagraph"/>
        <w:numPr>
          <w:ilvl w:val="2"/>
          <w:numId w:val="63"/>
        </w:numPr>
        <w:spacing w:before="0" w:after="0"/>
        <w:rPr>
          <w:rFonts w:asciiTheme="minorHAnsi" w:hAnsiTheme="minorHAnsi" w:cstheme="minorHAnsi"/>
          <w:sz w:val="22"/>
        </w:rPr>
      </w:pPr>
      <w:r w:rsidRPr="00D41569">
        <w:rPr>
          <w:rFonts w:asciiTheme="minorHAnsi" w:eastAsia="Times New Roman" w:hAnsiTheme="minorHAnsi" w:cstheme="minorHAnsi"/>
          <w:sz w:val="22"/>
        </w:rPr>
        <w:t xml:space="preserve">Similarly, only a small portion of children and extrapulmonary TB patients have been successfully screened for drug resistance. </w:t>
      </w:r>
    </w:p>
    <w:p w14:paraId="1CDB2CE8" w14:textId="77777777" w:rsidR="00D41569" w:rsidRPr="00F90207" w:rsidRDefault="00D41569" w:rsidP="009136E5">
      <w:pPr>
        <w:pStyle w:val="ListParagraph"/>
        <w:numPr>
          <w:ilvl w:val="0"/>
          <w:numId w:val="63"/>
        </w:numPr>
        <w:spacing w:before="0" w:after="0"/>
        <w:rPr>
          <w:rFonts w:asciiTheme="minorHAnsi" w:eastAsia="Times New Roman" w:hAnsiTheme="minorHAnsi" w:cstheme="minorHAnsi"/>
          <w:b/>
          <w:sz w:val="22"/>
        </w:rPr>
      </w:pPr>
      <w:r w:rsidRPr="00F90207">
        <w:rPr>
          <w:rFonts w:asciiTheme="minorHAnsi" w:eastAsia="Times New Roman" w:hAnsiTheme="minorHAnsi" w:cstheme="minorHAnsi"/>
          <w:b/>
          <w:sz w:val="22"/>
        </w:rPr>
        <w:t>Treatment:</w:t>
      </w:r>
    </w:p>
    <w:p w14:paraId="1F567A0E" w14:textId="77777777" w:rsidR="00D41569" w:rsidRPr="00F90207" w:rsidRDefault="00D41569" w:rsidP="009136E5">
      <w:pPr>
        <w:pStyle w:val="ListParagraph"/>
        <w:numPr>
          <w:ilvl w:val="1"/>
          <w:numId w:val="63"/>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 xml:space="preserve">Ongoing clinical trials offer promising pathways to incrementally improved treatment for extensively drug-resistant TB (XDR-TB) and rifampicin-resistant TB (RR-TB), but those trials will not yield a single transformative regimen for all patients detected with RR-TB.  The </w:t>
      </w:r>
      <w:r w:rsidRPr="00F90207">
        <w:rPr>
          <w:rFonts w:asciiTheme="minorHAnsi" w:eastAsia="Times New Roman" w:hAnsiTheme="minorHAnsi" w:cstheme="minorHAnsi"/>
          <w:sz w:val="22"/>
        </w:rPr>
        <w:t>NDRS</w:t>
      </w:r>
      <w:r w:rsidRPr="00D41569">
        <w:rPr>
          <w:rFonts w:asciiTheme="minorHAnsi" w:eastAsia="Times New Roman" w:hAnsiTheme="minorHAnsi" w:cstheme="minorHAnsi"/>
          <w:sz w:val="22"/>
        </w:rPr>
        <w:t xml:space="preserve"> articulated a denominator for different forms of anti-TB drug resistance.</w:t>
      </w:r>
    </w:p>
    <w:p w14:paraId="133D5F6D" w14:textId="14FA4C49" w:rsidR="00D41569" w:rsidRDefault="00D41569" w:rsidP="009136E5">
      <w:pPr>
        <w:pStyle w:val="ListParagraph"/>
        <w:numPr>
          <w:ilvl w:val="1"/>
          <w:numId w:val="63"/>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There is a gap in implementation research on the programmatic deployment of new regimens.</w:t>
      </w:r>
      <w:r w:rsidR="00570F17">
        <w:rPr>
          <w:rFonts w:asciiTheme="minorHAnsi" w:eastAsia="Times New Roman" w:hAnsiTheme="minorHAnsi" w:cstheme="minorHAnsi"/>
          <w:sz w:val="22"/>
        </w:rPr>
        <w:t xml:space="preserve"> </w:t>
      </w:r>
    </w:p>
    <w:p w14:paraId="3FBEC78D" w14:textId="304CB912" w:rsidR="00570F17" w:rsidRPr="00570F17" w:rsidRDefault="00570F17" w:rsidP="009136E5">
      <w:pPr>
        <w:pStyle w:val="ListParagraph"/>
        <w:numPr>
          <w:ilvl w:val="1"/>
          <w:numId w:val="63"/>
        </w:numPr>
        <w:spacing w:before="0" w:after="0"/>
        <w:rPr>
          <w:rFonts w:asciiTheme="minorHAnsi" w:eastAsia="Times New Roman" w:hAnsiTheme="minorHAnsi" w:cstheme="minorHAnsi"/>
          <w:sz w:val="22"/>
        </w:rPr>
      </w:pPr>
      <w:r>
        <w:rPr>
          <w:rFonts w:asciiTheme="minorHAnsi" w:eastAsia="Times New Roman" w:hAnsiTheme="minorHAnsi" w:cstheme="minorHAnsi"/>
          <w:sz w:val="22"/>
        </w:rPr>
        <w:t>There is a gap in implementation and health outcomes research on the impact of DAT-enabled differentiated care, as initially demonstrated and evaluated in the I-DAT evaluation in 2019.</w:t>
      </w:r>
    </w:p>
    <w:p w14:paraId="17EB032B" w14:textId="77777777" w:rsidR="00D41569" w:rsidRPr="00F90207" w:rsidRDefault="00D41569" w:rsidP="009136E5">
      <w:pPr>
        <w:pStyle w:val="ListParagraph"/>
        <w:numPr>
          <w:ilvl w:val="0"/>
          <w:numId w:val="63"/>
        </w:numPr>
        <w:spacing w:before="0" w:after="0"/>
        <w:rPr>
          <w:rFonts w:asciiTheme="minorHAnsi" w:eastAsia="Times New Roman" w:hAnsiTheme="minorHAnsi" w:cstheme="minorHAnsi"/>
          <w:b/>
          <w:sz w:val="22"/>
        </w:rPr>
      </w:pPr>
      <w:r w:rsidRPr="00F90207">
        <w:rPr>
          <w:rFonts w:asciiTheme="minorHAnsi" w:eastAsia="Times New Roman" w:hAnsiTheme="minorHAnsi" w:cstheme="minorHAnsi"/>
          <w:b/>
          <w:sz w:val="22"/>
        </w:rPr>
        <w:t>Prevention:</w:t>
      </w:r>
    </w:p>
    <w:p w14:paraId="2DE547DD" w14:textId="5347B192" w:rsidR="00D41569" w:rsidRPr="00F90207" w:rsidRDefault="00D41569" w:rsidP="009136E5">
      <w:pPr>
        <w:pStyle w:val="ListParagraph"/>
        <w:numPr>
          <w:ilvl w:val="0"/>
          <w:numId w:val="64"/>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TB prevention as a recognized and inten</w:t>
      </w:r>
      <w:r w:rsidR="00366667">
        <w:rPr>
          <w:rFonts w:asciiTheme="minorHAnsi" w:eastAsia="Times New Roman" w:hAnsiTheme="minorHAnsi" w:cstheme="minorHAnsi"/>
          <w:sz w:val="22"/>
        </w:rPr>
        <w:t>tional programmatic activity is</w:t>
      </w:r>
      <w:r w:rsidRPr="00D41569">
        <w:rPr>
          <w:rFonts w:asciiTheme="minorHAnsi" w:eastAsia="Times New Roman" w:hAnsiTheme="minorHAnsi" w:cstheme="minorHAnsi"/>
          <w:sz w:val="22"/>
        </w:rPr>
        <w:t xml:space="preserve"> yet to</w:t>
      </w:r>
      <w:r w:rsidR="00366667">
        <w:rPr>
          <w:rFonts w:asciiTheme="minorHAnsi" w:eastAsia="Times New Roman" w:hAnsiTheme="minorHAnsi" w:cstheme="minorHAnsi"/>
          <w:sz w:val="22"/>
        </w:rPr>
        <w:t xml:space="preserve"> be</w:t>
      </w:r>
      <w:r w:rsidRPr="00D41569">
        <w:rPr>
          <w:rFonts w:asciiTheme="minorHAnsi" w:eastAsia="Times New Roman" w:hAnsiTheme="minorHAnsi" w:cstheme="minorHAnsi"/>
          <w:sz w:val="22"/>
        </w:rPr>
        <w:t xml:space="preserve"> launch</w:t>
      </w:r>
      <w:r w:rsidR="00366667">
        <w:rPr>
          <w:rFonts w:asciiTheme="minorHAnsi" w:eastAsia="Times New Roman" w:hAnsiTheme="minorHAnsi" w:cstheme="minorHAnsi"/>
          <w:sz w:val="22"/>
        </w:rPr>
        <w:t>ed</w:t>
      </w:r>
      <w:r w:rsidRPr="00D41569">
        <w:rPr>
          <w:rFonts w:asciiTheme="minorHAnsi" w:eastAsia="Times New Roman" w:hAnsiTheme="minorHAnsi" w:cstheme="minorHAnsi"/>
          <w:sz w:val="22"/>
        </w:rPr>
        <w:t xml:space="preserve"> at scale.</w:t>
      </w:r>
    </w:p>
    <w:p w14:paraId="5002A873" w14:textId="501FC88D" w:rsidR="00D41569" w:rsidRPr="00F90207" w:rsidRDefault="00F73CCF" w:rsidP="009136E5">
      <w:pPr>
        <w:pStyle w:val="ListParagraph"/>
        <w:numPr>
          <w:ilvl w:val="0"/>
          <w:numId w:val="64"/>
        </w:numPr>
        <w:spacing w:before="0" w:after="0"/>
        <w:rPr>
          <w:rFonts w:asciiTheme="minorHAnsi" w:eastAsia="Times New Roman" w:hAnsiTheme="minorHAnsi" w:cstheme="minorHAnsi"/>
          <w:sz w:val="22"/>
        </w:rPr>
      </w:pPr>
      <w:r>
        <w:rPr>
          <w:rFonts w:asciiTheme="minorHAnsi" w:eastAsia="Times New Roman" w:hAnsiTheme="minorHAnsi" w:cstheme="minorHAnsi"/>
          <w:sz w:val="22"/>
        </w:rPr>
        <w:t xml:space="preserve">Low uptake of chemoprophylaxis </w:t>
      </w:r>
      <w:r w:rsidR="00D41569" w:rsidRPr="00D41569">
        <w:rPr>
          <w:rFonts w:asciiTheme="minorHAnsi" w:eastAsia="Times New Roman" w:hAnsiTheme="minorHAnsi" w:cstheme="minorHAnsi"/>
          <w:sz w:val="22"/>
        </w:rPr>
        <w:t>among the groups who are recommended for empiric treatment of latent TB infection (LTBI) (i.e., household contacts under 6 years of age and PLHIV).</w:t>
      </w:r>
    </w:p>
    <w:p w14:paraId="11052257" w14:textId="53C2A285" w:rsidR="00D41569" w:rsidRPr="00F90207" w:rsidRDefault="00D41569" w:rsidP="009136E5">
      <w:pPr>
        <w:pStyle w:val="ListParagraph"/>
        <w:numPr>
          <w:ilvl w:val="0"/>
          <w:numId w:val="64"/>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Continued uncertainty on the strategy to use for any expansion (e.g., test and treat vs. just treat), and new globally approved regimens (e.g. 3HP) are pending additional clinical research in India which may further delay introduction.</w:t>
      </w:r>
    </w:p>
    <w:p w14:paraId="0D031FED" w14:textId="395B9ACE" w:rsidR="00D41569" w:rsidRPr="00F90207" w:rsidRDefault="00D41569" w:rsidP="009136E5">
      <w:pPr>
        <w:pStyle w:val="ListParagraph"/>
        <w:numPr>
          <w:ilvl w:val="0"/>
          <w:numId w:val="64"/>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t xml:space="preserve">AIC remains an issue in health care facilities despite the completion of several pilots and the roll out of national guidelines.  </w:t>
      </w:r>
      <w:r w:rsidR="00963307">
        <w:rPr>
          <w:rFonts w:asciiTheme="minorHAnsi" w:eastAsia="Times New Roman" w:hAnsiTheme="minorHAnsi" w:cstheme="minorHAnsi"/>
          <w:sz w:val="22"/>
        </w:rPr>
        <w:t>T</w:t>
      </w:r>
      <w:r w:rsidRPr="00D41569">
        <w:rPr>
          <w:rFonts w:asciiTheme="minorHAnsi" w:eastAsia="Times New Roman" w:hAnsiTheme="minorHAnsi" w:cstheme="minorHAnsi"/>
          <w:sz w:val="22"/>
        </w:rPr>
        <w:t xml:space="preserve">he challenge is </w:t>
      </w:r>
      <w:r w:rsidR="00963307">
        <w:rPr>
          <w:rFonts w:asciiTheme="minorHAnsi" w:eastAsia="Times New Roman" w:hAnsiTheme="minorHAnsi" w:cstheme="minorHAnsi"/>
          <w:sz w:val="22"/>
        </w:rPr>
        <w:t>the</w:t>
      </w:r>
      <w:r w:rsidRPr="00D41569">
        <w:rPr>
          <w:rFonts w:asciiTheme="minorHAnsi" w:eastAsia="Times New Roman" w:hAnsiTheme="minorHAnsi" w:cstheme="minorHAnsi"/>
          <w:sz w:val="22"/>
        </w:rPr>
        <w:t xml:space="preserve"> intrinsic managerial nature of AIC interventions </w:t>
      </w:r>
      <w:r w:rsidR="00F73CCF">
        <w:rPr>
          <w:rFonts w:asciiTheme="minorHAnsi" w:eastAsia="Times New Roman" w:hAnsiTheme="minorHAnsi" w:cstheme="minorHAnsi"/>
          <w:sz w:val="22"/>
        </w:rPr>
        <w:t>and</w:t>
      </w:r>
      <w:r w:rsidRPr="00D41569">
        <w:rPr>
          <w:rFonts w:asciiTheme="minorHAnsi" w:eastAsia="Times New Roman" w:hAnsiTheme="minorHAnsi" w:cstheme="minorHAnsi"/>
          <w:sz w:val="22"/>
        </w:rPr>
        <w:t xml:space="preserve"> the lack of suitable tools for scale-up</w:t>
      </w:r>
      <w:r w:rsidR="00963307">
        <w:rPr>
          <w:rFonts w:asciiTheme="minorHAnsi" w:eastAsia="Times New Roman" w:hAnsiTheme="minorHAnsi" w:cstheme="minorHAnsi"/>
          <w:sz w:val="22"/>
        </w:rPr>
        <w:t xml:space="preserve">. </w:t>
      </w:r>
    </w:p>
    <w:p w14:paraId="4BEC830A" w14:textId="77777777" w:rsidR="00D41569" w:rsidRPr="00D41569" w:rsidRDefault="00D41569" w:rsidP="009136E5">
      <w:pPr>
        <w:pStyle w:val="ListParagraph"/>
        <w:numPr>
          <w:ilvl w:val="0"/>
          <w:numId w:val="64"/>
        </w:numPr>
        <w:spacing w:before="0" w:after="0"/>
        <w:rPr>
          <w:rFonts w:asciiTheme="minorHAnsi" w:hAnsiTheme="minorHAnsi" w:cstheme="minorHAnsi"/>
          <w:sz w:val="22"/>
        </w:rPr>
      </w:pPr>
      <w:r w:rsidRPr="00D41569">
        <w:rPr>
          <w:rFonts w:asciiTheme="minorHAnsi" w:eastAsia="Times New Roman" w:hAnsiTheme="minorHAnsi" w:cstheme="minorHAnsi"/>
          <w:sz w:val="22"/>
        </w:rPr>
        <w:t xml:space="preserve">Lack of linkage between vulnerability studies and surveys to prevention efforts.  </w:t>
      </w:r>
    </w:p>
    <w:p w14:paraId="3B3D70FE" w14:textId="7E7107A2" w:rsidR="00EB1896" w:rsidRPr="00C45A90" w:rsidRDefault="00213555" w:rsidP="00EB1896">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6</w:t>
      </w:r>
      <w:r>
        <w:rPr>
          <w:rFonts w:asciiTheme="minorHAnsi" w:hAnsiTheme="minorHAnsi" w:cstheme="minorHAnsi"/>
          <w:b/>
          <w:color w:val="C86A07" w:themeColor="accent2" w:themeShade="BF"/>
          <w:sz w:val="28"/>
          <w:lang w:val="en"/>
        </w:rPr>
        <w:t xml:space="preserve">.4 </w:t>
      </w:r>
      <w:r w:rsidR="00EB1896" w:rsidRPr="00C45A90">
        <w:rPr>
          <w:rFonts w:asciiTheme="minorHAnsi" w:hAnsiTheme="minorHAnsi" w:cstheme="minorHAnsi"/>
          <w:b/>
          <w:color w:val="C86A07" w:themeColor="accent2" w:themeShade="BF"/>
          <w:sz w:val="28"/>
          <w:lang w:val="en"/>
        </w:rPr>
        <w:t>THE WAY FORWARD</w:t>
      </w:r>
    </w:p>
    <w:p w14:paraId="27C599B6" w14:textId="77777777" w:rsidR="0016039D" w:rsidRPr="0016039D" w:rsidRDefault="0016039D" w:rsidP="009136E5">
      <w:pPr>
        <w:pStyle w:val="ListParagraph"/>
        <w:numPr>
          <w:ilvl w:val="1"/>
          <w:numId w:val="75"/>
        </w:numPr>
        <w:spacing w:before="0" w:after="0"/>
        <w:jc w:val="both"/>
        <w:rPr>
          <w:rFonts w:asciiTheme="minorHAnsi" w:eastAsia="Times New Roman" w:hAnsiTheme="minorHAnsi" w:cstheme="minorHAnsi"/>
          <w:b/>
          <w:vanish/>
          <w:sz w:val="22"/>
        </w:rPr>
      </w:pPr>
    </w:p>
    <w:p w14:paraId="7166DF62" w14:textId="696426D4" w:rsidR="00D41569" w:rsidRPr="007A38CC" w:rsidRDefault="00C2528F" w:rsidP="009136E5">
      <w:pPr>
        <w:pStyle w:val="ListParagraph"/>
        <w:numPr>
          <w:ilvl w:val="2"/>
          <w:numId w:val="75"/>
        </w:numPr>
        <w:spacing w:before="0" w:after="0"/>
        <w:ind w:left="504"/>
        <w:jc w:val="both"/>
        <w:rPr>
          <w:rFonts w:asciiTheme="minorHAnsi" w:eastAsia="Times New Roman" w:hAnsiTheme="minorHAnsi" w:cstheme="minorHAnsi"/>
          <w:b/>
          <w:sz w:val="22"/>
        </w:rPr>
      </w:pPr>
      <w:r>
        <w:rPr>
          <w:rFonts w:asciiTheme="minorHAnsi" w:eastAsia="Times New Roman" w:hAnsiTheme="minorHAnsi" w:cstheme="minorHAnsi"/>
          <w:b/>
          <w:sz w:val="22"/>
        </w:rPr>
        <w:t>Improve the i</w:t>
      </w:r>
      <w:r w:rsidR="00D41569" w:rsidRPr="007A38CC">
        <w:rPr>
          <w:rFonts w:asciiTheme="minorHAnsi" w:eastAsia="Times New Roman" w:hAnsiTheme="minorHAnsi" w:cstheme="minorHAnsi"/>
          <w:b/>
          <w:sz w:val="22"/>
        </w:rPr>
        <w:t>nst</w:t>
      </w:r>
      <w:r>
        <w:rPr>
          <w:rFonts w:asciiTheme="minorHAnsi" w:eastAsia="Times New Roman" w:hAnsiTheme="minorHAnsi" w:cstheme="minorHAnsi"/>
          <w:b/>
          <w:sz w:val="22"/>
        </w:rPr>
        <w:t>itutional s</w:t>
      </w:r>
      <w:r w:rsidR="00D41569" w:rsidRPr="007A38CC">
        <w:rPr>
          <w:rFonts w:asciiTheme="minorHAnsi" w:eastAsia="Times New Roman" w:hAnsiTheme="minorHAnsi" w:cstheme="minorHAnsi"/>
          <w:b/>
          <w:sz w:val="22"/>
        </w:rPr>
        <w:t xml:space="preserve">tructure and </w:t>
      </w:r>
      <w:r>
        <w:rPr>
          <w:rFonts w:asciiTheme="minorHAnsi" w:eastAsia="Times New Roman" w:hAnsiTheme="minorHAnsi" w:cstheme="minorHAnsi"/>
          <w:b/>
          <w:sz w:val="22"/>
        </w:rPr>
        <w:t>c</w:t>
      </w:r>
      <w:r w:rsidR="00D41569" w:rsidRPr="007A38CC">
        <w:rPr>
          <w:rFonts w:asciiTheme="minorHAnsi" w:eastAsia="Times New Roman" w:hAnsiTheme="minorHAnsi" w:cstheme="minorHAnsi"/>
          <w:b/>
          <w:sz w:val="22"/>
        </w:rPr>
        <w:t>apacity</w:t>
      </w:r>
      <w:r>
        <w:rPr>
          <w:rFonts w:asciiTheme="minorHAnsi" w:eastAsia="Times New Roman" w:hAnsiTheme="minorHAnsi" w:cstheme="minorHAnsi"/>
          <w:b/>
          <w:sz w:val="22"/>
        </w:rPr>
        <w:t xml:space="preserve"> for TB research</w:t>
      </w:r>
    </w:p>
    <w:p w14:paraId="12949669" w14:textId="1CE08222" w:rsidR="00D41569" w:rsidRPr="007A38CC"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Improve ITRC-</w:t>
      </w:r>
      <w:r w:rsidR="0096187C">
        <w:rPr>
          <w:rFonts w:asciiTheme="minorHAnsi" w:eastAsia="Times New Roman" w:hAnsiTheme="minorHAnsi" w:cstheme="minorHAnsi"/>
          <w:sz w:val="22"/>
        </w:rPr>
        <w:t>NTEP</w:t>
      </w:r>
      <w:r w:rsidRPr="007A38CC">
        <w:rPr>
          <w:rFonts w:asciiTheme="minorHAnsi" w:eastAsia="Times New Roman" w:hAnsiTheme="minorHAnsi" w:cstheme="minorHAnsi"/>
          <w:sz w:val="22"/>
        </w:rPr>
        <w:t xml:space="preserve"> linkage</w:t>
      </w:r>
    </w:p>
    <w:p w14:paraId="695AEB85" w14:textId="77777777" w:rsidR="00D41569" w:rsidRPr="007A38CC" w:rsidRDefault="00D41569" w:rsidP="009136E5">
      <w:pPr>
        <w:pStyle w:val="ListParagraph"/>
        <w:numPr>
          <w:ilvl w:val="2"/>
          <w:numId w:val="65"/>
        </w:numPr>
        <w:spacing w:before="0" w:after="0"/>
        <w:rPr>
          <w:rFonts w:asciiTheme="minorHAnsi" w:eastAsia="Times New Roman" w:hAnsiTheme="minorHAnsi" w:cstheme="minorHAnsi"/>
          <w:sz w:val="22"/>
        </w:rPr>
      </w:pPr>
      <w:r w:rsidRPr="007A38CC">
        <w:rPr>
          <w:rFonts w:asciiTheme="minorHAnsi" w:eastAsia="Times New Roman" w:hAnsiTheme="minorHAnsi" w:cstheme="minorHAnsi"/>
          <w:sz w:val="22"/>
        </w:rPr>
        <w:t xml:space="preserve">Articulate India’s TB elimination needs with specific TPP to ITRC.  </w:t>
      </w:r>
    </w:p>
    <w:p w14:paraId="600A420E" w14:textId="015B4CCB" w:rsidR="00D41569" w:rsidRPr="007A38CC" w:rsidRDefault="00D41569" w:rsidP="009136E5">
      <w:pPr>
        <w:pStyle w:val="ListParagraph"/>
        <w:numPr>
          <w:ilvl w:val="2"/>
          <w:numId w:val="65"/>
        </w:numPr>
        <w:spacing w:before="0" w:after="0"/>
        <w:rPr>
          <w:rFonts w:asciiTheme="minorHAnsi" w:eastAsia="Times New Roman" w:hAnsiTheme="minorHAnsi" w:cstheme="minorHAnsi"/>
          <w:sz w:val="22"/>
        </w:rPr>
      </w:pPr>
      <w:r w:rsidRPr="007A38CC">
        <w:rPr>
          <w:rFonts w:asciiTheme="minorHAnsi" w:eastAsia="Times New Roman" w:hAnsiTheme="minorHAnsi" w:cstheme="minorHAnsi"/>
          <w:sz w:val="22"/>
        </w:rPr>
        <w:t xml:space="preserve">Refresh the ITRC pipeline with </w:t>
      </w:r>
      <w:r w:rsidR="0096187C">
        <w:rPr>
          <w:rFonts w:asciiTheme="minorHAnsi" w:eastAsia="Times New Roman" w:hAnsiTheme="minorHAnsi" w:cstheme="minorHAnsi"/>
          <w:sz w:val="22"/>
        </w:rPr>
        <w:t>NTEP</w:t>
      </w:r>
      <w:r w:rsidRPr="007A38CC">
        <w:rPr>
          <w:rFonts w:asciiTheme="minorHAnsi" w:eastAsia="Times New Roman" w:hAnsiTheme="minorHAnsi" w:cstheme="minorHAnsi"/>
          <w:sz w:val="22"/>
        </w:rPr>
        <w:t xml:space="preserve">-driven needs, including cessation of things that are not considered critical path to TB elimination. </w:t>
      </w:r>
    </w:p>
    <w:p w14:paraId="0494ECC7" w14:textId="0A4E9B65" w:rsidR="00D41569" w:rsidRPr="00D41569" w:rsidRDefault="00D41569" w:rsidP="0051679D">
      <w:pPr>
        <w:pStyle w:val="ListParagraph"/>
        <w:spacing w:before="0" w:after="0"/>
        <w:ind w:left="1224"/>
        <w:rPr>
          <w:rFonts w:asciiTheme="minorHAnsi" w:eastAsia="Times New Roman" w:hAnsiTheme="minorHAnsi" w:cstheme="minorHAnsi"/>
          <w:sz w:val="22"/>
        </w:rPr>
      </w:pPr>
      <w:r w:rsidRPr="007A38CC">
        <w:rPr>
          <w:rFonts w:asciiTheme="minorHAnsi" w:eastAsia="Times New Roman" w:hAnsiTheme="minorHAnsi" w:cstheme="minorHAnsi"/>
          <w:sz w:val="22"/>
        </w:rPr>
        <w:t>Consider creating a dedicated technical cell and/or set of program officers to support researchers</w:t>
      </w:r>
      <w:r w:rsidRPr="00D41569">
        <w:rPr>
          <w:rFonts w:asciiTheme="minorHAnsi" w:eastAsia="Times New Roman" w:hAnsiTheme="minorHAnsi" w:cstheme="minorHAnsi"/>
          <w:sz w:val="22"/>
        </w:rPr>
        <w:t xml:space="preserve"> through administrative processes.</w:t>
      </w:r>
    </w:p>
    <w:p w14:paraId="604C5207" w14:textId="77777777" w:rsidR="00D41569" w:rsidRPr="00D41569"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D41569">
        <w:rPr>
          <w:rFonts w:asciiTheme="minorHAnsi" w:eastAsia="Times New Roman" w:hAnsiTheme="minorHAnsi" w:cstheme="minorHAnsi"/>
          <w:sz w:val="22"/>
        </w:rPr>
        <w:t xml:space="preserve">Leverage the Model Rural Health Research unit (MRHRU) for intensified TB surveillance.  </w:t>
      </w:r>
      <w:r w:rsidRPr="005137AD">
        <w:rPr>
          <w:rFonts w:asciiTheme="minorHAnsi" w:hAnsiTheme="minorHAnsi" w:cstheme="minorHAnsi"/>
          <w:sz w:val="22"/>
        </w:rPr>
        <w:t>There are 18 such units across the country under the Department of Health Research.</w:t>
      </w:r>
      <w:r w:rsidRPr="00D41569">
        <w:rPr>
          <w:rFonts w:asciiTheme="minorHAnsi" w:eastAsia="Times New Roman" w:hAnsiTheme="minorHAnsi" w:cstheme="minorHAnsi"/>
          <w:sz w:val="22"/>
        </w:rPr>
        <w:t xml:space="preserve">  These units have dedicated staff who are engaged in research based on local needs.  These MRHRUs can serve as surveillance centers for TB at no additional cost. </w:t>
      </w:r>
    </w:p>
    <w:p w14:paraId="22ED63D3" w14:textId="44A42462" w:rsidR="00D41569" w:rsidRPr="007A38CC" w:rsidRDefault="00C2528F" w:rsidP="009136E5">
      <w:pPr>
        <w:pStyle w:val="ListParagraph"/>
        <w:numPr>
          <w:ilvl w:val="2"/>
          <w:numId w:val="75"/>
        </w:numPr>
        <w:spacing w:before="0" w:after="0"/>
        <w:ind w:left="504"/>
        <w:jc w:val="both"/>
        <w:rPr>
          <w:rFonts w:asciiTheme="minorHAnsi" w:eastAsia="Times New Roman" w:hAnsiTheme="minorHAnsi" w:cstheme="minorHAnsi"/>
          <w:b/>
          <w:sz w:val="22"/>
        </w:rPr>
      </w:pPr>
      <w:r>
        <w:rPr>
          <w:rFonts w:asciiTheme="minorHAnsi" w:eastAsia="Times New Roman" w:hAnsiTheme="minorHAnsi" w:cstheme="minorHAnsi"/>
          <w:b/>
          <w:sz w:val="22"/>
        </w:rPr>
        <w:t xml:space="preserve">Address issues related to </w:t>
      </w:r>
      <w:r w:rsidR="00D41569" w:rsidRPr="007A38CC">
        <w:rPr>
          <w:rFonts w:asciiTheme="minorHAnsi" w:eastAsia="Times New Roman" w:hAnsiTheme="minorHAnsi" w:cstheme="minorHAnsi"/>
          <w:b/>
          <w:sz w:val="22"/>
        </w:rPr>
        <w:t>Operational Research</w:t>
      </w:r>
      <w:r>
        <w:rPr>
          <w:rFonts w:asciiTheme="minorHAnsi" w:eastAsia="Times New Roman" w:hAnsiTheme="minorHAnsi" w:cstheme="minorHAnsi"/>
          <w:b/>
          <w:sz w:val="22"/>
        </w:rPr>
        <w:t xml:space="preserve"> and Implementation Science</w:t>
      </w:r>
      <w:r w:rsidR="00D41569" w:rsidRPr="007A38CC">
        <w:rPr>
          <w:rFonts w:asciiTheme="minorHAnsi" w:eastAsia="Times New Roman" w:hAnsiTheme="minorHAnsi" w:cstheme="minorHAnsi"/>
          <w:b/>
          <w:sz w:val="22"/>
        </w:rPr>
        <w:t>:</w:t>
      </w:r>
    </w:p>
    <w:p w14:paraId="081B689A" w14:textId="73D03590" w:rsidR="00D41569" w:rsidRPr="00D41569"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D41569">
        <w:rPr>
          <w:rFonts w:asciiTheme="minorHAnsi" w:eastAsia="Times New Roman" w:hAnsiTheme="minorHAnsi" w:cstheme="minorHAnsi"/>
          <w:sz w:val="22"/>
        </w:rPr>
        <w:t xml:space="preserve">Update </w:t>
      </w:r>
      <w:r w:rsidR="0096187C">
        <w:rPr>
          <w:rFonts w:asciiTheme="minorHAnsi" w:eastAsia="Times New Roman" w:hAnsiTheme="minorHAnsi" w:cstheme="minorHAnsi"/>
          <w:sz w:val="22"/>
        </w:rPr>
        <w:t>NTEP</w:t>
      </w:r>
      <w:r w:rsidRPr="00D41569">
        <w:rPr>
          <w:rFonts w:asciiTheme="minorHAnsi" w:eastAsia="Times New Roman" w:hAnsiTheme="minorHAnsi" w:cstheme="minorHAnsi"/>
          <w:sz w:val="22"/>
        </w:rPr>
        <w:t xml:space="preserve"> OR agenda with </w:t>
      </w:r>
      <w:r w:rsidR="00A430AC">
        <w:rPr>
          <w:rFonts w:asciiTheme="minorHAnsi" w:eastAsia="Times New Roman" w:hAnsiTheme="minorHAnsi" w:cstheme="minorHAnsi"/>
          <w:sz w:val="22"/>
        </w:rPr>
        <w:t>national</w:t>
      </w:r>
      <w:r w:rsidRPr="00D41569">
        <w:rPr>
          <w:rFonts w:asciiTheme="minorHAnsi" w:eastAsia="Times New Roman" w:hAnsiTheme="minorHAnsi" w:cstheme="minorHAnsi"/>
          <w:sz w:val="22"/>
        </w:rPr>
        <w:t xml:space="preserve"> priorities, and issue calls for proposals against </w:t>
      </w:r>
      <w:r w:rsidR="00A430AC">
        <w:rPr>
          <w:rFonts w:asciiTheme="minorHAnsi" w:eastAsia="Times New Roman" w:hAnsiTheme="minorHAnsi" w:cstheme="minorHAnsi"/>
          <w:sz w:val="22"/>
        </w:rPr>
        <w:t xml:space="preserve">the prioritized </w:t>
      </w:r>
      <w:r w:rsidRPr="00D41569">
        <w:rPr>
          <w:rFonts w:asciiTheme="minorHAnsi" w:eastAsia="Times New Roman" w:hAnsiTheme="minorHAnsi" w:cstheme="minorHAnsi"/>
          <w:sz w:val="22"/>
        </w:rPr>
        <w:t>needs.</w:t>
      </w:r>
    </w:p>
    <w:p w14:paraId="1E889258" w14:textId="77777777" w:rsidR="00D41569" w:rsidRPr="00D41569"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D41569">
        <w:rPr>
          <w:rFonts w:asciiTheme="minorHAnsi" w:eastAsia="Times New Roman" w:hAnsiTheme="minorHAnsi" w:cstheme="minorHAnsi"/>
          <w:sz w:val="22"/>
        </w:rPr>
        <w:t>Empower the NTI based National Research Cell to help manage the knowledge needs for TB elimination with an independent and fully-staffed secretariat equipped to:</w:t>
      </w:r>
    </w:p>
    <w:p w14:paraId="78630EDC" w14:textId="77777777" w:rsidR="00D41569" w:rsidRPr="00D41569" w:rsidRDefault="00D41569" w:rsidP="009136E5">
      <w:pPr>
        <w:pStyle w:val="ListParagraph"/>
        <w:numPr>
          <w:ilvl w:val="2"/>
          <w:numId w:val="86"/>
        </w:numPr>
        <w:spacing w:before="0" w:after="0"/>
        <w:rPr>
          <w:rFonts w:asciiTheme="minorHAnsi" w:eastAsia="Times New Roman" w:hAnsiTheme="minorHAnsi" w:cstheme="minorHAnsi"/>
          <w:sz w:val="22"/>
        </w:rPr>
      </w:pPr>
      <w:r w:rsidRPr="00D41569">
        <w:rPr>
          <w:rFonts w:asciiTheme="minorHAnsi" w:eastAsia="Times New Roman" w:hAnsiTheme="minorHAnsi" w:cstheme="minorHAnsi"/>
          <w:sz w:val="22"/>
        </w:rPr>
        <w:lastRenderedPageBreak/>
        <w:t>Conduct innovation identification evaluations and feedback into policy;</w:t>
      </w:r>
    </w:p>
    <w:p w14:paraId="0B3E0669" w14:textId="77777777" w:rsidR="00D41569" w:rsidRPr="00D41569" w:rsidRDefault="00D41569" w:rsidP="009136E5">
      <w:pPr>
        <w:pStyle w:val="ListParagraph"/>
        <w:numPr>
          <w:ilvl w:val="2"/>
          <w:numId w:val="86"/>
        </w:numPr>
        <w:spacing w:before="0" w:after="0"/>
        <w:jc w:val="both"/>
        <w:rPr>
          <w:rFonts w:asciiTheme="minorHAnsi" w:eastAsia="Times New Roman" w:hAnsiTheme="minorHAnsi" w:cstheme="minorHAnsi"/>
          <w:sz w:val="22"/>
        </w:rPr>
      </w:pPr>
      <w:r w:rsidRPr="00D41569">
        <w:rPr>
          <w:rFonts w:asciiTheme="minorHAnsi" w:eastAsia="Times New Roman" w:hAnsiTheme="minorHAnsi" w:cstheme="minorHAnsi"/>
          <w:sz w:val="22"/>
        </w:rPr>
        <w:t>Provide TA to States on OR needs and priorities and calls for proposals;</w:t>
      </w:r>
    </w:p>
    <w:p w14:paraId="6588A09E" w14:textId="77777777" w:rsidR="00D41569" w:rsidRPr="00D41569" w:rsidRDefault="00D41569" w:rsidP="009136E5">
      <w:pPr>
        <w:pStyle w:val="ListParagraph"/>
        <w:numPr>
          <w:ilvl w:val="2"/>
          <w:numId w:val="86"/>
        </w:numPr>
        <w:spacing w:before="0" w:after="0"/>
        <w:jc w:val="both"/>
        <w:rPr>
          <w:rFonts w:asciiTheme="minorHAnsi" w:eastAsia="Times New Roman" w:hAnsiTheme="minorHAnsi" w:cstheme="minorHAnsi"/>
          <w:sz w:val="22"/>
        </w:rPr>
      </w:pPr>
      <w:r w:rsidRPr="00D41569">
        <w:rPr>
          <w:rFonts w:asciiTheme="minorHAnsi" w:eastAsia="Times New Roman" w:hAnsiTheme="minorHAnsi" w:cstheme="minorHAnsi"/>
          <w:sz w:val="22"/>
        </w:rPr>
        <w:t>Build OR capacity development for researchers; and</w:t>
      </w:r>
    </w:p>
    <w:p w14:paraId="4586A943" w14:textId="77777777" w:rsidR="00D41569" w:rsidRPr="00D41569" w:rsidRDefault="00D41569" w:rsidP="009136E5">
      <w:pPr>
        <w:pStyle w:val="ListParagraph"/>
        <w:numPr>
          <w:ilvl w:val="2"/>
          <w:numId w:val="86"/>
        </w:numPr>
        <w:spacing w:before="0" w:after="0"/>
        <w:jc w:val="both"/>
        <w:rPr>
          <w:rFonts w:asciiTheme="minorHAnsi" w:eastAsia="Times New Roman" w:hAnsiTheme="minorHAnsi" w:cstheme="minorHAnsi"/>
          <w:sz w:val="22"/>
        </w:rPr>
      </w:pPr>
      <w:r w:rsidRPr="00D41569">
        <w:rPr>
          <w:rFonts w:asciiTheme="minorHAnsi" w:eastAsia="Times New Roman" w:hAnsiTheme="minorHAnsi" w:cstheme="minorHAnsi"/>
          <w:sz w:val="22"/>
        </w:rPr>
        <w:t>Create an IT platform for transparent processes and funding flows.</w:t>
      </w:r>
    </w:p>
    <w:p w14:paraId="6EF60FD0" w14:textId="5AEACDB7" w:rsidR="00D41569" w:rsidRPr="007A38CC" w:rsidRDefault="00C2528F" w:rsidP="009136E5">
      <w:pPr>
        <w:pStyle w:val="ListParagraph"/>
        <w:numPr>
          <w:ilvl w:val="2"/>
          <w:numId w:val="75"/>
        </w:numPr>
        <w:spacing w:before="0" w:after="0"/>
        <w:ind w:left="504"/>
        <w:jc w:val="both"/>
        <w:rPr>
          <w:rFonts w:asciiTheme="minorHAnsi" w:eastAsia="Times New Roman" w:hAnsiTheme="minorHAnsi" w:cstheme="minorHAnsi"/>
          <w:b/>
          <w:sz w:val="22"/>
        </w:rPr>
      </w:pPr>
      <w:r>
        <w:rPr>
          <w:rFonts w:asciiTheme="minorHAnsi" w:eastAsia="Times New Roman" w:hAnsiTheme="minorHAnsi" w:cstheme="minorHAnsi"/>
          <w:b/>
          <w:sz w:val="22"/>
        </w:rPr>
        <w:t xml:space="preserve">Research in </w:t>
      </w:r>
      <w:r w:rsidR="00D41569" w:rsidRPr="007A38CC">
        <w:rPr>
          <w:rFonts w:asciiTheme="minorHAnsi" w:eastAsia="Times New Roman" w:hAnsiTheme="minorHAnsi" w:cstheme="minorHAnsi"/>
          <w:b/>
          <w:sz w:val="22"/>
        </w:rPr>
        <w:t>Case Finding and Detection</w:t>
      </w:r>
    </w:p>
    <w:p w14:paraId="70C99D43" w14:textId="012F209F" w:rsidR="00D41569" w:rsidRPr="007A38CC"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 xml:space="preserve">Make a concerted national effort to develop and deploy a TB triage and screening test by investing in both research and evaluation of already available global candidates. </w:t>
      </w:r>
    </w:p>
    <w:p w14:paraId="01A3198A" w14:textId="7DC86C87" w:rsidR="00D41569" w:rsidRPr="007A38CC"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 xml:space="preserve">Conduct formative evaluation(s) of ACF campaigns, and develop differentiated guidelines.  </w:t>
      </w:r>
    </w:p>
    <w:p w14:paraId="4098D907" w14:textId="77777777" w:rsidR="00A618FA"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Optimize the diagnostic algorithm currently recommended by public sector providers across all sectors.</w:t>
      </w:r>
    </w:p>
    <w:p w14:paraId="42C30895" w14:textId="44E92E0F" w:rsidR="00A618FA" w:rsidRPr="00A618FA" w:rsidRDefault="00A618FA" w:rsidP="009136E5">
      <w:pPr>
        <w:pStyle w:val="ListParagraph"/>
        <w:numPr>
          <w:ilvl w:val="3"/>
          <w:numId w:val="75"/>
        </w:numPr>
        <w:ind w:left="1260" w:hanging="720"/>
        <w:jc w:val="both"/>
        <w:rPr>
          <w:rFonts w:asciiTheme="minorHAnsi" w:eastAsia="Times New Roman" w:hAnsiTheme="minorHAnsi" w:cstheme="minorHAnsi"/>
          <w:sz w:val="22"/>
        </w:rPr>
      </w:pPr>
      <w:r w:rsidRPr="00A618FA">
        <w:rPr>
          <w:rFonts w:asciiTheme="minorHAnsi" w:eastAsia="Times New Roman" w:hAnsiTheme="minorHAnsi" w:cstheme="minorHAnsi"/>
          <w:sz w:val="22"/>
        </w:rPr>
        <w:t>Invest for research into new diagnostic tools</w:t>
      </w:r>
    </w:p>
    <w:p w14:paraId="45D429D8" w14:textId="14E0A9F0" w:rsidR="00D41569" w:rsidRPr="007A38CC" w:rsidRDefault="00C2528F" w:rsidP="009136E5">
      <w:pPr>
        <w:pStyle w:val="ListParagraph"/>
        <w:numPr>
          <w:ilvl w:val="2"/>
          <w:numId w:val="75"/>
        </w:numPr>
        <w:spacing w:before="0" w:after="0"/>
        <w:ind w:left="504"/>
        <w:jc w:val="both"/>
        <w:rPr>
          <w:rFonts w:asciiTheme="minorHAnsi" w:eastAsia="Times New Roman" w:hAnsiTheme="minorHAnsi" w:cstheme="minorHAnsi"/>
          <w:b/>
          <w:sz w:val="22"/>
        </w:rPr>
      </w:pPr>
      <w:r>
        <w:rPr>
          <w:rFonts w:asciiTheme="minorHAnsi" w:eastAsia="Times New Roman" w:hAnsiTheme="minorHAnsi" w:cstheme="minorHAnsi"/>
          <w:b/>
          <w:sz w:val="22"/>
        </w:rPr>
        <w:t xml:space="preserve">Research in TB </w:t>
      </w:r>
      <w:r w:rsidR="00D41569" w:rsidRPr="007A38CC">
        <w:rPr>
          <w:rFonts w:asciiTheme="minorHAnsi" w:eastAsia="Times New Roman" w:hAnsiTheme="minorHAnsi" w:cstheme="minorHAnsi"/>
          <w:b/>
          <w:sz w:val="22"/>
        </w:rPr>
        <w:t>Treatment:</w:t>
      </w:r>
    </w:p>
    <w:p w14:paraId="77561F1A" w14:textId="77777777" w:rsidR="00D41569" w:rsidRPr="007A38CC"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 xml:space="preserve">Urgently fast-track trials for simpler, safer, shorter regimens for all forms of TB.  Consider the following starting with RR-TB as the model and employing an adaptive and pragmatic design that includes pediatrics, patients with comorbidities etc.  </w:t>
      </w:r>
    </w:p>
    <w:p w14:paraId="3DF42E45" w14:textId="77777777" w:rsidR="00D41569" w:rsidRPr="007A38CC"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Develop and validate a non-sputum biologic marker of cure for use instead of time/dosing for clinical trials, and adapt for program use.</w:t>
      </w:r>
    </w:p>
    <w:p w14:paraId="5B9FD06D" w14:textId="77777777" w:rsidR="00D41569" w:rsidRPr="007A38CC"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Evaluate the reasons for low uptake of newer drugs/regimens and identify measures to rectify them.</w:t>
      </w:r>
    </w:p>
    <w:p w14:paraId="686E09D4" w14:textId="398590B2" w:rsidR="00D41569" w:rsidRPr="007A38CC"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Identify and assess patient-centric approaches to improve treatment adherence by introducing new digital treatment support tools</w:t>
      </w:r>
      <w:r w:rsidR="00A430AC">
        <w:rPr>
          <w:rFonts w:asciiTheme="minorHAnsi" w:eastAsia="Times New Roman" w:hAnsiTheme="minorHAnsi" w:cstheme="minorHAnsi"/>
          <w:sz w:val="22"/>
        </w:rPr>
        <w:t>.</w:t>
      </w:r>
    </w:p>
    <w:p w14:paraId="607C014D" w14:textId="777D9338" w:rsidR="00D41569" w:rsidRPr="007A38CC" w:rsidRDefault="00C2528F" w:rsidP="009136E5">
      <w:pPr>
        <w:pStyle w:val="ListParagraph"/>
        <w:numPr>
          <w:ilvl w:val="2"/>
          <w:numId w:val="75"/>
        </w:numPr>
        <w:spacing w:before="0" w:after="0"/>
        <w:ind w:left="504"/>
        <w:jc w:val="both"/>
        <w:rPr>
          <w:rFonts w:asciiTheme="minorHAnsi" w:eastAsia="Times New Roman" w:hAnsiTheme="minorHAnsi" w:cstheme="minorHAnsi"/>
          <w:b/>
          <w:sz w:val="22"/>
        </w:rPr>
      </w:pPr>
      <w:r>
        <w:rPr>
          <w:rFonts w:asciiTheme="minorHAnsi" w:eastAsia="Times New Roman" w:hAnsiTheme="minorHAnsi" w:cstheme="minorHAnsi"/>
          <w:b/>
          <w:sz w:val="22"/>
        </w:rPr>
        <w:t xml:space="preserve">Research in TB </w:t>
      </w:r>
      <w:r w:rsidR="00D41569" w:rsidRPr="007A38CC">
        <w:rPr>
          <w:rFonts w:asciiTheme="minorHAnsi" w:eastAsia="Times New Roman" w:hAnsiTheme="minorHAnsi" w:cstheme="minorHAnsi"/>
          <w:b/>
          <w:sz w:val="22"/>
        </w:rPr>
        <w:t>Prevention:</w:t>
      </w:r>
    </w:p>
    <w:p w14:paraId="104AC769" w14:textId="6D0AA3C3" w:rsidR="00D41569"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Improve the utility of vulnerability mapping by researching best methods and then scaling up intervention efforts</w:t>
      </w:r>
      <w:r w:rsidR="00E0266F">
        <w:rPr>
          <w:rFonts w:asciiTheme="minorHAnsi" w:eastAsia="Times New Roman" w:hAnsiTheme="minorHAnsi" w:cstheme="minorHAnsi"/>
          <w:sz w:val="22"/>
        </w:rPr>
        <w:t xml:space="preserve"> </w:t>
      </w:r>
    </w:p>
    <w:p w14:paraId="08405C32" w14:textId="57FA65D3" w:rsidR="00E0266F" w:rsidRPr="00E0266F" w:rsidRDefault="00E0266F" w:rsidP="009136E5">
      <w:pPr>
        <w:pStyle w:val="ListParagraph"/>
        <w:numPr>
          <w:ilvl w:val="3"/>
          <w:numId w:val="75"/>
        </w:numPr>
        <w:ind w:left="1260" w:hanging="720"/>
        <w:jc w:val="both"/>
        <w:rPr>
          <w:rFonts w:asciiTheme="minorHAnsi" w:eastAsia="Times New Roman" w:hAnsiTheme="minorHAnsi" w:cstheme="minorHAnsi"/>
          <w:sz w:val="22"/>
        </w:rPr>
      </w:pPr>
      <w:r>
        <w:rPr>
          <w:rFonts w:asciiTheme="minorHAnsi" w:eastAsia="Times New Roman" w:hAnsiTheme="minorHAnsi" w:cstheme="minorHAnsi"/>
          <w:sz w:val="22"/>
        </w:rPr>
        <w:t>I</w:t>
      </w:r>
      <w:r w:rsidRPr="00E0266F">
        <w:rPr>
          <w:rFonts w:asciiTheme="minorHAnsi" w:eastAsia="Times New Roman" w:hAnsiTheme="minorHAnsi" w:cstheme="minorHAnsi"/>
          <w:sz w:val="22"/>
        </w:rPr>
        <w:t>mplementation research on best models to reach adult household contacts and systematically provide TPT</w:t>
      </w:r>
    </w:p>
    <w:p w14:paraId="315034E9" w14:textId="1F00BDF4" w:rsidR="00E0266F" w:rsidRPr="007A38CC" w:rsidRDefault="00E0266F" w:rsidP="009136E5">
      <w:pPr>
        <w:pStyle w:val="ListParagraph"/>
        <w:numPr>
          <w:ilvl w:val="3"/>
          <w:numId w:val="75"/>
        </w:numPr>
        <w:ind w:left="1260" w:hanging="720"/>
        <w:jc w:val="both"/>
        <w:rPr>
          <w:rFonts w:asciiTheme="minorHAnsi" w:eastAsia="Times New Roman" w:hAnsiTheme="minorHAnsi" w:cstheme="minorHAnsi"/>
          <w:sz w:val="22"/>
        </w:rPr>
      </w:pPr>
      <w:r w:rsidRPr="00E0266F">
        <w:rPr>
          <w:rFonts w:asciiTheme="minorHAnsi" w:eastAsia="Times New Roman" w:hAnsiTheme="minorHAnsi" w:cstheme="minorHAnsi"/>
          <w:sz w:val="22"/>
        </w:rPr>
        <w:t xml:space="preserve">implementation research </w:t>
      </w:r>
      <w:r>
        <w:rPr>
          <w:rFonts w:asciiTheme="minorHAnsi" w:eastAsia="Times New Roman" w:hAnsiTheme="minorHAnsi" w:cstheme="minorHAnsi"/>
          <w:sz w:val="22"/>
        </w:rPr>
        <w:t xml:space="preserve">on </w:t>
      </w:r>
      <w:r w:rsidRPr="00E0266F">
        <w:rPr>
          <w:rFonts w:asciiTheme="minorHAnsi" w:eastAsia="Times New Roman" w:hAnsiTheme="minorHAnsi" w:cstheme="minorHAnsi"/>
          <w:sz w:val="22"/>
        </w:rPr>
        <w:t>models to provide TPT services among clinical risk populations such as patients having Silicosis, receiving Dialysis, preparing for transplantatio</w:t>
      </w:r>
      <w:r>
        <w:rPr>
          <w:rFonts w:asciiTheme="minorHAnsi" w:eastAsia="Times New Roman" w:hAnsiTheme="minorHAnsi" w:cstheme="minorHAnsi"/>
          <w:sz w:val="22"/>
        </w:rPr>
        <w:t>n</w:t>
      </w:r>
      <w:r w:rsidRPr="00E0266F">
        <w:rPr>
          <w:rFonts w:asciiTheme="minorHAnsi" w:eastAsia="Times New Roman" w:hAnsiTheme="minorHAnsi" w:cstheme="minorHAnsi"/>
          <w:sz w:val="22"/>
        </w:rPr>
        <w:t xml:space="preserve"> or receiving anti-TNF treatment </w:t>
      </w:r>
    </w:p>
    <w:p w14:paraId="1FD0B1DB" w14:textId="77777777" w:rsidR="00D41569" w:rsidRPr="007A38CC"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Establish an optimal ACF and preventive treatment strategy inclusive of efficacy/effectiveness of treatment, durability of protection and models on impact of intervention on TB disease and deaths at local level by developing surveillance sites in high transmission settings (large community cohorts) and then following them prospectively (without treatment) to identify profile(s) most predictive of disease. These cohorts may then also be used for intervention studies.</w:t>
      </w:r>
    </w:p>
    <w:p w14:paraId="2443E691" w14:textId="77777777" w:rsidR="00D41569" w:rsidRPr="007A38CC"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Evaluate the predictive value of incipient disease (C-TB, signatures of risk and progression/ outcomes).</w:t>
      </w:r>
    </w:p>
    <w:p w14:paraId="7DAD764E" w14:textId="77777777" w:rsidR="00A618FA" w:rsidRDefault="00D41569" w:rsidP="009136E5">
      <w:pPr>
        <w:pStyle w:val="ListParagraph"/>
        <w:numPr>
          <w:ilvl w:val="3"/>
          <w:numId w:val="75"/>
        </w:numPr>
        <w:ind w:left="1260" w:hanging="720"/>
        <w:jc w:val="both"/>
        <w:rPr>
          <w:rFonts w:asciiTheme="minorHAnsi" w:eastAsia="Times New Roman" w:hAnsiTheme="minorHAnsi" w:cstheme="minorHAnsi"/>
          <w:sz w:val="22"/>
        </w:rPr>
      </w:pPr>
      <w:r w:rsidRPr="007A38CC">
        <w:rPr>
          <w:rFonts w:asciiTheme="minorHAnsi" w:eastAsia="Times New Roman" w:hAnsiTheme="minorHAnsi" w:cstheme="minorHAnsi"/>
          <w:sz w:val="22"/>
        </w:rPr>
        <w:t>Evaluate relative efficacy</w:t>
      </w:r>
      <w:r w:rsidRPr="00D41569">
        <w:rPr>
          <w:rFonts w:asciiTheme="minorHAnsi" w:eastAsia="Times New Roman" w:hAnsiTheme="minorHAnsi" w:cstheme="minorHAnsi"/>
          <w:sz w:val="22"/>
        </w:rPr>
        <w:t xml:space="preserve"> of AIC options, and develop better indigenous low cost UVGI fixtures.</w:t>
      </w:r>
    </w:p>
    <w:p w14:paraId="488C1D41" w14:textId="77777777" w:rsidR="00A618FA" w:rsidRDefault="00A618FA" w:rsidP="009136E5">
      <w:pPr>
        <w:pStyle w:val="ListParagraph"/>
        <w:numPr>
          <w:ilvl w:val="3"/>
          <w:numId w:val="75"/>
        </w:numPr>
        <w:ind w:left="1260" w:hanging="720"/>
        <w:jc w:val="both"/>
        <w:rPr>
          <w:rFonts w:asciiTheme="minorHAnsi" w:eastAsia="Times New Roman" w:hAnsiTheme="minorHAnsi" w:cstheme="minorHAnsi"/>
          <w:sz w:val="22"/>
        </w:rPr>
      </w:pPr>
      <w:r w:rsidRPr="00A618FA">
        <w:rPr>
          <w:rFonts w:asciiTheme="minorHAnsi" w:eastAsia="Times New Roman" w:hAnsiTheme="minorHAnsi" w:cstheme="minorHAnsi"/>
          <w:sz w:val="22"/>
        </w:rPr>
        <w:t xml:space="preserve">Research on  potential TB vaccines </w:t>
      </w:r>
    </w:p>
    <w:p w14:paraId="29B6AE35" w14:textId="349EBB81" w:rsidR="00A618FA" w:rsidRPr="00A618FA" w:rsidRDefault="00A618FA" w:rsidP="009136E5">
      <w:pPr>
        <w:pStyle w:val="ListParagraph"/>
        <w:numPr>
          <w:ilvl w:val="3"/>
          <w:numId w:val="75"/>
        </w:numPr>
        <w:ind w:left="1260" w:hanging="720"/>
        <w:jc w:val="both"/>
        <w:rPr>
          <w:rFonts w:asciiTheme="minorHAnsi" w:eastAsia="Times New Roman" w:hAnsiTheme="minorHAnsi" w:cstheme="minorHAnsi"/>
          <w:sz w:val="22"/>
        </w:rPr>
      </w:pPr>
      <w:r w:rsidRPr="00A618FA">
        <w:rPr>
          <w:rFonts w:asciiTheme="minorHAnsi" w:eastAsia="Times New Roman" w:hAnsiTheme="minorHAnsi" w:cstheme="minorHAnsi"/>
          <w:sz w:val="22"/>
        </w:rPr>
        <w:t>Research on newer LTBI diagnostic tools</w:t>
      </w:r>
    </w:p>
    <w:p w14:paraId="10D9A0D4" w14:textId="7795F573" w:rsidR="00061D34" w:rsidRDefault="0028791C" w:rsidP="009136E5">
      <w:pPr>
        <w:pStyle w:val="ListParagraph"/>
        <w:numPr>
          <w:ilvl w:val="2"/>
          <w:numId w:val="75"/>
        </w:numPr>
        <w:spacing w:before="0" w:after="0"/>
        <w:ind w:left="504"/>
        <w:jc w:val="both"/>
        <w:rPr>
          <w:rFonts w:ascii="Calibri" w:hAnsi="Calibri" w:cs="Calibri"/>
          <w:b/>
          <w:kern w:val="24"/>
          <w:sz w:val="22"/>
          <w:lang w:eastAsia="en-IN"/>
        </w:rPr>
      </w:pPr>
      <w:r w:rsidRPr="0028791C">
        <w:rPr>
          <w:rFonts w:asciiTheme="minorHAnsi" w:eastAsia="Times New Roman" w:hAnsiTheme="minorHAnsi" w:cstheme="minorHAnsi"/>
          <w:b/>
          <w:sz w:val="22"/>
        </w:rPr>
        <w:t xml:space="preserve">Research on socio-economic determinants of TB and impact of various patient support initiatives </w:t>
      </w:r>
      <w:r w:rsidR="00061D34">
        <w:rPr>
          <w:rFonts w:ascii="Calibri" w:hAnsi="Calibri" w:cs="Calibri"/>
          <w:b/>
          <w:kern w:val="24"/>
          <w:sz w:val="22"/>
          <w:lang w:eastAsia="en-IN"/>
        </w:rPr>
        <w:br w:type="page"/>
      </w:r>
    </w:p>
    <w:p w14:paraId="4D09F432" w14:textId="740449A9" w:rsidR="00061D34" w:rsidRDefault="00061D34" w:rsidP="00061D34">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Pr>
          <w:rFonts w:asciiTheme="minorHAnsi" w:hAnsiTheme="minorHAnsi" w:cstheme="minorHAnsi"/>
          <w:b/>
          <w:snapToGrid w:val="0"/>
          <w:color w:val="auto"/>
          <w:sz w:val="36"/>
        </w:rPr>
        <w:t>1</w:t>
      </w:r>
      <w:r w:rsidR="00BE594E">
        <w:rPr>
          <w:rFonts w:asciiTheme="minorHAnsi" w:hAnsiTheme="minorHAnsi" w:cstheme="minorHAnsi"/>
          <w:b/>
          <w:snapToGrid w:val="0"/>
          <w:color w:val="auto"/>
          <w:sz w:val="36"/>
        </w:rPr>
        <w:t>7</w:t>
      </w:r>
      <w:r w:rsidRPr="00734B6A">
        <w:rPr>
          <w:rFonts w:asciiTheme="minorHAnsi" w:hAnsiTheme="minorHAnsi" w:cstheme="minorHAnsi"/>
          <w:b/>
          <w:snapToGrid w:val="0"/>
          <w:color w:val="auto"/>
          <w:sz w:val="36"/>
        </w:rPr>
        <w:t xml:space="preserve"> </w:t>
      </w:r>
    </w:p>
    <w:p w14:paraId="1D8B168A" w14:textId="50B80908" w:rsidR="005B1311" w:rsidRPr="006B7923" w:rsidRDefault="005B1311" w:rsidP="005B1311">
      <w:pPr>
        <w:shd w:val="clear" w:color="auto" w:fill="17365D" w:themeFill="text2" w:themeFillShade="BF"/>
        <w:spacing w:before="0" w:after="0"/>
        <w:jc w:val="right"/>
        <w:rPr>
          <w:b/>
          <w:sz w:val="28"/>
        </w:rPr>
      </w:pPr>
      <w:r>
        <w:rPr>
          <w:b/>
          <w:sz w:val="28"/>
        </w:rPr>
        <w:t xml:space="preserve">NSP </w:t>
      </w:r>
      <w:r w:rsidRPr="006B7923">
        <w:rPr>
          <w:b/>
          <w:sz w:val="28"/>
        </w:rPr>
        <w:t>STRATEGIC AREA 1.1</w:t>
      </w:r>
      <w:r>
        <w:rPr>
          <w:b/>
          <w:sz w:val="28"/>
        </w:rPr>
        <w:t>0</w:t>
      </w:r>
    </w:p>
    <w:p w14:paraId="11E9FCC1" w14:textId="0D115981" w:rsidR="00061D34" w:rsidRPr="00734B6A" w:rsidRDefault="00061D34" w:rsidP="00061D34">
      <w:pPr>
        <w:pStyle w:val="Heading1"/>
        <w:tabs>
          <w:tab w:val="num" w:pos="5670"/>
        </w:tabs>
        <w:ind w:left="2880" w:hanging="1800"/>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sidR="008D4EB2">
        <w:rPr>
          <w:rFonts w:asciiTheme="minorHAnsi" w:hAnsiTheme="minorHAnsi" w:cstheme="minorHAnsi"/>
          <w:b/>
          <w:snapToGrid w:val="0"/>
          <w:color w:val="auto"/>
        </w:rPr>
        <w:t>Strengthen</w:t>
      </w:r>
      <w:r w:rsidR="00B850D7">
        <w:rPr>
          <w:rFonts w:asciiTheme="minorHAnsi" w:hAnsiTheme="minorHAnsi" w:cstheme="minorHAnsi"/>
          <w:b/>
          <w:snapToGrid w:val="0"/>
          <w:color w:val="auto"/>
        </w:rPr>
        <w:t>ing</w:t>
      </w:r>
      <w:r w:rsidR="008D4EB2">
        <w:rPr>
          <w:rFonts w:asciiTheme="minorHAnsi" w:hAnsiTheme="minorHAnsi" w:cstheme="minorHAnsi"/>
          <w:b/>
          <w:snapToGrid w:val="0"/>
          <w:color w:val="auto"/>
        </w:rPr>
        <w:t xml:space="preserve"> procurement and supply chain</w:t>
      </w:r>
      <w:r w:rsidR="00B850D7">
        <w:rPr>
          <w:rFonts w:asciiTheme="minorHAnsi" w:hAnsiTheme="minorHAnsi" w:cstheme="minorHAnsi"/>
          <w:b/>
          <w:snapToGrid w:val="0"/>
          <w:color w:val="auto"/>
        </w:rPr>
        <w:t xml:space="preserve"> </w:t>
      </w:r>
    </w:p>
    <w:p w14:paraId="5A74C72D" w14:textId="77777777" w:rsidR="00061D34" w:rsidRDefault="00061D34" w:rsidP="00C129C4">
      <w:pPr>
        <w:spacing w:before="0" w:after="0"/>
        <w:jc w:val="both"/>
        <w:rPr>
          <w:rFonts w:ascii="Calibri" w:hAnsi="Calibri" w:cs="Calibri"/>
          <w:b/>
          <w:kern w:val="24"/>
          <w:sz w:val="22"/>
          <w:lang w:eastAsia="en-IN"/>
        </w:rPr>
      </w:pPr>
    </w:p>
    <w:p w14:paraId="589242BE" w14:textId="77777777" w:rsidR="00061D34" w:rsidRDefault="00061D34" w:rsidP="005B1311">
      <w:pPr>
        <w:spacing w:before="0" w:after="0"/>
        <w:jc w:val="both"/>
        <w:rPr>
          <w:rFonts w:ascii="Calibri" w:hAnsi="Calibri" w:cs="Calibri"/>
          <w:b/>
          <w:kern w:val="24"/>
          <w:sz w:val="22"/>
          <w:lang w:eastAsia="en-IN"/>
        </w:rPr>
      </w:pPr>
    </w:p>
    <w:p w14:paraId="06BD6F8D" w14:textId="6192CCAB" w:rsidR="0075389F" w:rsidRPr="00C45A90" w:rsidRDefault="00213555"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7</w:t>
      </w:r>
      <w:r>
        <w:rPr>
          <w:rFonts w:asciiTheme="minorHAnsi" w:hAnsiTheme="minorHAnsi" w:cstheme="minorHAnsi"/>
          <w:b/>
          <w:color w:val="C86A07" w:themeColor="accent2" w:themeShade="BF"/>
          <w:sz w:val="28"/>
          <w:lang w:val="en"/>
        </w:rPr>
        <w:t xml:space="preserve">.1 </w:t>
      </w:r>
      <w:r w:rsidR="0075389F" w:rsidRPr="00C45A90">
        <w:rPr>
          <w:rFonts w:asciiTheme="minorHAnsi" w:hAnsiTheme="minorHAnsi" w:cstheme="minorHAnsi"/>
          <w:b/>
          <w:color w:val="C86A07" w:themeColor="accent2" w:themeShade="BF"/>
          <w:sz w:val="28"/>
          <w:lang w:val="en"/>
        </w:rPr>
        <w:t>INTRODUCTION</w:t>
      </w:r>
    </w:p>
    <w:p w14:paraId="54871633" w14:textId="7D266246" w:rsidR="000212C3" w:rsidRPr="000212C3" w:rsidRDefault="00A618FA" w:rsidP="000212C3">
      <w:pPr>
        <w:jc w:val="both"/>
        <w:rPr>
          <w:rFonts w:ascii="Calibri" w:hAnsi="Calibri" w:cs="Calibri"/>
          <w:kern w:val="24"/>
          <w:sz w:val="22"/>
          <w:lang w:eastAsia="en-IN"/>
        </w:rPr>
      </w:pPr>
      <w:r w:rsidRPr="00A618FA">
        <w:rPr>
          <w:rFonts w:ascii="Calibri" w:hAnsi="Calibri" w:cs="Calibri"/>
          <w:kern w:val="24"/>
          <w:sz w:val="22"/>
          <w:lang w:eastAsia="en-IN"/>
        </w:rPr>
        <w:t xml:space="preserve">The NTEP strives to ensure a continuous supply of quality assured Anti TB Drugs and all related commodities to every TB patient diagnosed in the country. The procurement of Anti TB drugs, equipment and diagnostics is planned, coordinated and conducted centrally on an annual basis through a well-defined procurement mechanism. The financial support for procurement is provided by Domestic Budgetary Source (DBS), World Bank (WB) and The Global Fund (TGF). While procurement of consumables is decentralized to the states, drugs may be procured by the states during emergencies subsequent to proper authorization from CTD. The procurement, supply chain and logistics activities at the central level are administered by the Additional Deputy Director General (TB) with support from procurement and supply chain consultants. A procurement agency M/s Central Medical Services Society (CMSS), </w:t>
      </w:r>
      <w:r w:rsidR="003F6791">
        <w:rPr>
          <w:rFonts w:ascii="Calibri" w:hAnsi="Calibri" w:cs="Calibri"/>
          <w:sz w:val="22"/>
        </w:rPr>
        <w:t>an independent and autonomous body under MoHFW is responsible for procurement and supply of anti TB drugs to the consignees in a timely manner following procurement procedures. These Procurement Agents also ensure that drugs procured are compliant with the quality policy of the NTEP, WB and TGF</w:t>
      </w:r>
      <w:r w:rsidRPr="00A618FA">
        <w:rPr>
          <w:rFonts w:ascii="Calibri" w:hAnsi="Calibri" w:cs="Calibri"/>
          <w:kern w:val="24"/>
          <w:sz w:val="22"/>
          <w:lang w:eastAsia="en-IN"/>
        </w:rPr>
        <w:t>. The CTD also uses Government e-Marketplace (GeM) portal to procure and supply the items / services, which are available on GeM, for the use under NTEP.</w:t>
      </w:r>
    </w:p>
    <w:p w14:paraId="0BDF5298" w14:textId="6180D333" w:rsidR="00DD4576" w:rsidRPr="00C45A90" w:rsidRDefault="00213555" w:rsidP="005B1311">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7</w:t>
      </w:r>
      <w:r>
        <w:rPr>
          <w:rFonts w:asciiTheme="minorHAnsi" w:hAnsiTheme="minorHAnsi" w:cstheme="minorHAnsi"/>
          <w:b/>
          <w:color w:val="C86A07" w:themeColor="accent2" w:themeShade="BF"/>
          <w:sz w:val="28"/>
          <w:lang w:val="en"/>
        </w:rPr>
        <w:t xml:space="preserve">.2 </w:t>
      </w:r>
      <w:r w:rsidR="00DD4576" w:rsidRPr="00C45A90">
        <w:rPr>
          <w:rFonts w:asciiTheme="minorHAnsi" w:hAnsiTheme="minorHAnsi" w:cstheme="minorHAnsi"/>
          <w:b/>
          <w:color w:val="C86A07" w:themeColor="accent2" w:themeShade="BF"/>
          <w:sz w:val="28"/>
          <w:lang w:val="en"/>
        </w:rPr>
        <w:t>THE PROGRESS SO FAR:</w:t>
      </w:r>
      <w:r w:rsidR="000212C3" w:rsidRPr="00C45A90">
        <w:rPr>
          <w:rFonts w:asciiTheme="minorHAnsi" w:hAnsiTheme="minorHAnsi" w:cstheme="minorHAnsi"/>
          <w:b/>
          <w:color w:val="C86A07" w:themeColor="accent2" w:themeShade="BF"/>
          <w:sz w:val="28"/>
          <w:lang w:val="en"/>
        </w:rPr>
        <w:t xml:space="preserve"> </w:t>
      </w:r>
    </w:p>
    <w:p w14:paraId="24C4A42D" w14:textId="01A01302" w:rsidR="000212C3" w:rsidRPr="000212C3" w:rsidRDefault="000212C3" w:rsidP="000212C3">
      <w:pPr>
        <w:jc w:val="both"/>
        <w:rPr>
          <w:rFonts w:ascii="Calibri" w:hAnsi="Calibri" w:cs="Calibri"/>
          <w:kern w:val="24"/>
          <w:sz w:val="22"/>
          <w:lang w:eastAsia="en-IN"/>
        </w:rPr>
      </w:pPr>
      <w:r w:rsidRPr="000212C3">
        <w:rPr>
          <w:rFonts w:ascii="Calibri" w:hAnsi="Calibri" w:cs="Calibri"/>
          <w:kern w:val="24"/>
          <w:sz w:val="22"/>
          <w:lang w:eastAsia="en-IN"/>
        </w:rPr>
        <w:t>Several initiatives were undertaken during the previous NSP to enable an uninterrupted supply of good quality diagnostics and anti TB drugs to all TB patients. 2500 LED microscopes</w:t>
      </w:r>
      <w:r w:rsidR="009748B9">
        <w:rPr>
          <w:rFonts w:ascii="Calibri" w:hAnsi="Calibri" w:cs="Calibri"/>
          <w:kern w:val="24"/>
          <w:sz w:val="22"/>
          <w:lang w:eastAsia="en-IN"/>
        </w:rPr>
        <w:t xml:space="preserve">, </w:t>
      </w:r>
      <w:r w:rsidR="009748B9" w:rsidRPr="009748B9">
        <w:rPr>
          <w:rFonts w:ascii="Calibri" w:hAnsi="Calibri" w:cs="Calibri"/>
          <w:kern w:val="24"/>
          <w:sz w:val="22"/>
          <w:lang w:val="en-GB" w:eastAsia="en-IN"/>
        </w:rPr>
        <w:t>1512 True</w:t>
      </w:r>
      <w:r w:rsidR="00907246">
        <w:rPr>
          <w:rFonts w:ascii="Calibri" w:hAnsi="Calibri" w:cs="Calibri"/>
          <w:kern w:val="24"/>
          <w:sz w:val="22"/>
          <w:lang w:val="en-GB" w:eastAsia="en-IN"/>
        </w:rPr>
        <w:t>N</w:t>
      </w:r>
      <w:r w:rsidR="009748B9" w:rsidRPr="009748B9">
        <w:rPr>
          <w:rFonts w:ascii="Calibri" w:hAnsi="Calibri" w:cs="Calibri"/>
          <w:kern w:val="24"/>
          <w:sz w:val="22"/>
          <w:lang w:val="en-GB" w:eastAsia="en-IN"/>
        </w:rPr>
        <w:t>at machines along with TrueNat chips</w:t>
      </w:r>
      <w:r w:rsidR="009748B9">
        <w:rPr>
          <w:rFonts w:ascii="Calibri" w:hAnsi="Calibri" w:cs="Calibri"/>
          <w:kern w:val="24"/>
          <w:sz w:val="22"/>
          <w:lang w:val="en-GB" w:eastAsia="en-IN"/>
        </w:rPr>
        <w:t>, and</w:t>
      </w:r>
      <w:r w:rsidR="009748B9" w:rsidRPr="009748B9">
        <w:rPr>
          <w:rFonts w:ascii="Calibri" w:hAnsi="Calibri" w:cs="Calibri"/>
          <w:kern w:val="24"/>
          <w:sz w:val="22"/>
          <w:lang w:eastAsia="en-IN"/>
        </w:rPr>
        <w:t xml:space="preserve"> </w:t>
      </w:r>
      <w:r w:rsidRPr="000212C3">
        <w:rPr>
          <w:rFonts w:ascii="Calibri" w:hAnsi="Calibri" w:cs="Calibri"/>
          <w:kern w:val="24"/>
          <w:sz w:val="22"/>
          <w:lang w:eastAsia="en-IN"/>
        </w:rPr>
        <w:t xml:space="preserve">1000 CBNAAT machines and 3 million cartridges </w:t>
      </w:r>
      <w:r w:rsidR="009748B9">
        <w:rPr>
          <w:rFonts w:ascii="Calibri" w:hAnsi="Calibri" w:cs="Calibri"/>
          <w:kern w:val="24"/>
          <w:sz w:val="22"/>
          <w:lang w:eastAsia="en-IN"/>
        </w:rPr>
        <w:t xml:space="preserve">were procured </w:t>
      </w:r>
      <w:r w:rsidRPr="000212C3">
        <w:rPr>
          <w:rFonts w:ascii="Calibri" w:hAnsi="Calibri" w:cs="Calibri"/>
          <w:kern w:val="24"/>
          <w:sz w:val="22"/>
          <w:lang w:eastAsia="en-IN"/>
        </w:rPr>
        <w:t xml:space="preserve">to expand the reach of quality diagnostics across the country and strengthen sub-district level diagnostic capacities. </w:t>
      </w:r>
    </w:p>
    <w:p w14:paraId="76E51081" w14:textId="37B8AF06" w:rsidR="00907246" w:rsidRDefault="00A618FA" w:rsidP="00907246">
      <w:pPr>
        <w:jc w:val="both"/>
        <w:rPr>
          <w:rFonts w:ascii="Calibri" w:hAnsi="Calibri" w:cs="Calibri"/>
          <w:kern w:val="24"/>
          <w:sz w:val="22"/>
          <w:lang w:eastAsia="en-IN"/>
        </w:rPr>
      </w:pPr>
      <w:r w:rsidRPr="000212C3">
        <w:rPr>
          <w:rFonts w:ascii="Calibri" w:hAnsi="Calibri" w:cs="Calibri"/>
          <w:kern w:val="24"/>
          <w:sz w:val="22"/>
          <w:lang w:eastAsia="en-IN"/>
        </w:rPr>
        <w:t>In addition to the first- and second-line drugs, newer formulations like the all oral regimen for adults and children</w:t>
      </w:r>
      <w:r>
        <w:rPr>
          <w:rFonts w:ascii="Calibri" w:hAnsi="Calibri" w:cs="Calibri"/>
          <w:kern w:val="24"/>
          <w:sz w:val="22"/>
          <w:lang w:eastAsia="en-IN"/>
        </w:rPr>
        <w:t>,</w:t>
      </w:r>
      <w:r w:rsidRPr="000212C3">
        <w:rPr>
          <w:rFonts w:ascii="Calibri" w:hAnsi="Calibri" w:cs="Calibri"/>
          <w:kern w:val="24"/>
          <w:sz w:val="22"/>
          <w:lang w:eastAsia="en-IN"/>
        </w:rPr>
        <w:t xml:space="preserve"> Bedaquiline and Delamanid were also successfully procured</w:t>
      </w:r>
      <w:r>
        <w:rPr>
          <w:rFonts w:ascii="Calibri" w:hAnsi="Calibri" w:cs="Calibri"/>
          <w:kern w:val="24"/>
          <w:sz w:val="22"/>
          <w:lang w:eastAsia="en-IN"/>
        </w:rPr>
        <w:t>.</w:t>
      </w:r>
      <w:r w:rsidRPr="000212C3">
        <w:rPr>
          <w:rFonts w:ascii="Calibri" w:hAnsi="Calibri" w:cs="Calibri"/>
          <w:kern w:val="24"/>
          <w:sz w:val="22"/>
          <w:lang w:eastAsia="en-IN"/>
        </w:rPr>
        <w:t xml:space="preserve"> More advanced tools for logistics and supply chain management were leveraged at the central and state level to ensure a mor</w:t>
      </w:r>
      <w:r>
        <w:rPr>
          <w:rFonts w:ascii="Calibri" w:hAnsi="Calibri" w:cs="Calibri"/>
          <w:kern w:val="24"/>
          <w:sz w:val="22"/>
          <w:lang w:eastAsia="en-IN"/>
        </w:rPr>
        <w:t>e streamlined supply of drugs to</w:t>
      </w:r>
      <w:r w:rsidRPr="000212C3">
        <w:rPr>
          <w:rFonts w:ascii="Calibri" w:hAnsi="Calibri" w:cs="Calibri"/>
          <w:kern w:val="24"/>
          <w:sz w:val="22"/>
          <w:lang w:eastAsia="en-IN"/>
        </w:rPr>
        <w:t xml:space="preserve"> prevent stock out situations</w:t>
      </w:r>
      <w:r>
        <w:rPr>
          <w:rFonts w:ascii="Calibri" w:hAnsi="Calibri" w:cs="Calibri"/>
          <w:kern w:val="24"/>
          <w:sz w:val="22"/>
          <w:lang w:eastAsia="en-IN"/>
        </w:rPr>
        <w:t xml:space="preserve"> and also support the daily regimen </w:t>
      </w:r>
      <w:r w:rsidRPr="009748B9">
        <w:rPr>
          <w:rFonts w:ascii="Calibri" w:hAnsi="Calibri" w:cs="Calibri"/>
          <w:kern w:val="24"/>
          <w:sz w:val="22"/>
          <w:lang w:val="en-GB" w:eastAsia="en-IN"/>
        </w:rPr>
        <w:t>for Drug Sensitive TB patients for both adult and paediatric patients</w:t>
      </w:r>
      <w:r>
        <w:rPr>
          <w:rFonts w:ascii="Calibri" w:hAnsi="Calibri" w:cs="Calibri"/>
          <w:kern w:val="24"/>
          <w:sz w:val="22"/>
          <w:lang w:val="en-GB" w:eastAsia="en-IN"/>
        </w:rPr>
        <w:t xml:space="preserve"> started</w:t>
      </w:r>
      <w:r w:rsidRPr="009748B9">
        <w:rPr>
          <w:rFonts w:ascii="Calibri" w:hAnsi="Calibri" w:cs="Calibri"/>
          <w:kern w:val="24"/>
          <w:sz w:val="22"/>
          <w:lang w:val="en-GB" w:eastAsia="en-IN"/>
        </w:rPr>
        <w:t xml:space="preserve"> in the month of October 2017</w:t>
      </w:r>
      <w:r w:rsidRPr="000212C3">
        <w:rPr>
          <w:rFonts w:ascii="Calibri" w:hAnsi="Calibri" w:cs="Calibri"/>
          <w:kern w:val="24"/>
          <w:sz w:val="22"/>
          <w:lang w:eastAsia="en-IN"/>
        </w:rPr>
        <w:t xml:space="preserve">. </w:t>
      </w:r>
      <w:r w:rsidRPr="00907246">
        <w:rPr>
          <w:rFonts w:ascii="Calibri" w:hAnsi="Calibri" w:cs="Calibri"/>
          <w:kern w:val="24"/>
          <w:sz w:val="22"/>
          <w:lang w:val="en-GB" w:eastAsia="en-IN"/>
        </w:rPr>
        <w:t>Nikshay Aushadhi</w:t>
      </w:r>
      <w:r>
        <w:rPr>
          <w:rFonts w:ascii="Calibri" w:hAnsi="Calibri" w:cs="Calibri"/>
          <w:kern w:val="24"/>
          <w:sz w:val="22"/>
          <w:lang w:val="en-GB" w:eastAsia="en-IN"/>
        </w:rPr>
        <w:t xml:space="preserve">   </w:t>
      </w:r>
      <w:r w:rsidRPr="00907246">
        <w:rPr>
          <w:rFonts w:ascii="Calibri" w:hAnsi="Calibri" w:cs="Calibri"/>
          <w:kern w:val="24"/>
          <w:sz w:val="22"/>
          <w:lang w:val="en-GB" w:eastAsia="en-IN"/>
        </w:rPr>
        <w:t>enables real time visibility into stock status at all levels and enable forecasting and quantification for TB drugs and diagnostics</w:t>
      </w:r>
      <w:r w:rsidRPr="000212C3">
        <w:rPr>
          <w:rFonts w:ascii="Calibri" w:hAnsi="Calibri" w:cs="Calibri"/>
          <w:kern w:val="24"/>
          <w:sz w:val="22"/>
          <w:lang w:eastAsia="en-IN"/>
        </w:rPr>
        <w:t>.</w:t>
      </w:r>
      <w:r w:rsidRPr="00BE68DB">
        <w:rPr>
          <w:rFonts w:ascii="Calibri" w:hAnsi="Calibri" w:cs="Calibri"/>
          <w:kern w:val="24"/>
          <w:sz w:val="22"/>
          <w:lang w:eastAsia="en-IN"/>
        </w:rPr>
        <w:t xml:space="preserve"> </w:t>
      </w:r>
      <w:r>
        <w:rPr>
          <w:rFonts w:ascii="Calibri" w:hAnsi="Calibri" w:cs="Calibri"/>
          <w:kern w:val="24"/>
          <w:sz w:val="22"/>
          <w:lang w:eastAsia="en-IN"/>
        </w:rPr>
        <w:t>This is b</w:t>
      </w:r>
      <w:r w:rsidRPr="000212C3">
        <w:rPr>
          <w:rFonts w:ascii="Calibri" w:hAnsi="Calibri" w:cs="Calibri"/>
          <w:kern w:val="24"/>
          <w:sz w:val="22"/>
          <w:lang w:eastAsia="en-IN"/>
        </w:rPr>
        <w:t xml:space="preserve">eing implemented through Centre for Development of Advanced Computing (C-DAC), </w:t>
      </w:r>
      <w:r>
        <w:rPr>
          <w:rFonts w:ascii="Calibri" w:hAnsi="Calibri" w:cs="Calibri"/>
          <w:kern w:val="24"/>
          <w:sz w:val="22"/>
          <w:lang w:eastAsia="en-IN"/>
        </w:rPr>
        <w:t>since</w:t>
      </w:r>
      <w:r w:rsidRPr="000212C3">
        <w:rPr>
          <w:rFonts w:ascii="Calibri" w:hAnsi="Calibri" w:cs="Calibri"/>
          <w:kern w:val="24"/>
          <w:sz w:val="22"/>
          <w:lang w:eastAsia="en-IN"/>
        </w:rPr>
        <w:t xml:space="preserve"> December 2018.</w:t>
      </w:r>
      <w:r w:rsidR="00907246" w:rsidRPr="00907246">
        <w:rPr>
          <w:rFonts w:ascii="Calibri" w:hAnsi="Calibri" w:cs="Calibri"/>
          <w:kern w:val="24"/>
          <w:sz w:val="22"/>
          <w:lang w:val="en-GB" w:eastAsia="en-IN"/>
        </w:rPr>
        <w:t xml:space="preserve"> </w:t>
      </w:r>
    </w:p>
    <w:p w14:paraId="7335CDA0" w14:textId="135E36A0" w:rsidR="007137CC" w:rsidRPr="00C45A90" w:rsidRDefault="00213555" w:rsidP="005B1311">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7</w:t>
      </w:r>
      <w:r>
        <w:rPr>
          <w:rFonts w:asciiTheme="minorHAnsi" w:hAnsiTheme="minorHAnsi" w:cstheme="minorHAnsi"/>
          <w:b/>
          <w:color w:val="C86A07" w:themeColor="accent2" w:themeShade="BF"/>
          <w:sz w:val="28"/>
          <w:lang w:val="en"/>
        </w:rPr>
        <w:t xml:space="preserve">.3 </w:t>
      </w:r>
      <w:r w:rsidR="007137CC" w:rsidRPr="00C45A90">
        <w:rPr>
          <w:rFonts w:asciiTheme="minorHAnsi" w:hAnsiTheme="minorHAnsi" w:cstheme="minorHAnsi"/>
          <w:b/>
          <w:color w:val="C86A07" w:themeColor="accent2" w:themeShade="BF"/>
          <w:sz w:val="28"/>
          <w:lang w:val="en"/>
        </w:rPr>
        <w:t>CHALLENGES REMAIN</w:t>
      </w:r>
    </w:p>
    <w:p w14:paraId="3D791780" w14:textId="77777777" w:rsidR="00955C0A" w:rsidRPr="00955C0A" w:rsidRDefault="00955C0A" w:rsidP="009136E5">
      <w:pPr>
        <w:pStyle w:val="ListParagraph"/>
        <w:numPr>
          <w:ilvl w:val="0"/>
          <w:numId w:val="88"/>
        </w:numPr>
        <w:rPr>
          <w:rFonts w:asciiTheme="minorHAnsi" w:eastAsia="Times New Roman" w:hAnsiTheme="minorHAnsi" w:cstheme="minorHAnsi"/>
          <w:sz w:val="22"/>
        </w:rPr>
      </w:pPr>
      <w:r w:rsidRPr="00955C0A">
        <w:rPr>
          <w:rFonts w:asciiTheme="minorHAnsi" w:eastAsia="Times New Roman" w:hAnsiTheme="minorHAnsi" w:cstheme="minorHAnsi"/>
          <w:b/>
          <w:sz w:val="22"/>
        </w:rPr>
        <w:lastRenderedPageBreak/>
        <w:t xml:space="preserve">Long lead time for procurement: </w:t>
      </w:r>
      <w:r w:rsidRPr="00955C0A">
        <w:rPr>
          <w:rFonts w:asciiTheme="minorHAnsi" w:eastAsia="Times New Roman" w:hAnsiTheme="minorHAnsi" w:cstheme="minorHAnsi"/>
          <w:sz w:val="22"/>
        </w:rPr>
        <w:t>There has been a delay in the procurement of Anti TB Drugs, CBNAAT machines and other commodities in the past. These delays are generally due to procedural issues while ensuring the compliance of codal formalities. Long lead time of procurement leading to inadequate buffer stocks</w:t>
      </w:r>
    </w:p>
    <w:p w14:paraId="0C0F2AB3" w14:textId="77777777" w:rsidR="00955C0A" w:rsidRPr="00955C0A" w:rsidRDefault="00955C0A" w:rsidP="009136E5">
      <w:pPr>
        <w:pStyle w:val="ListParagraph"/>
        <w:numPr>
          <w:ilvl w:val="0"/>
          <w:numId w:val="88"/>
        </w:numPr>
        <w:spacing w:before="0"/>
        <w:rPr>
          <w:rFonts w:asciiTheme="minorHAnsi" w:eastAsia="Times New Roman" w:hAnsiTheme="minorHAnsi" w:cstheme="minorHAnsi"/>
          <w:sz w:val="22"/>
        </w:rPr>
      </w:pPr>
      <w:r w:rsidRPr="00955C0A">
        <w:rPr>
          <w:rFonts w:asciiTheme="minorHAnsi" w:eastAsia="Times New Roman" w:hAnsiTheme="minorHAnsi" w:cstheme="minorHAnsi"/>
          <w:b/>
          <w:sz w:val="22"/>
        </w:rPr>
        <w:t>Inadequate infrastructure at state and district level stores:</w:t>
      </w:r>
      <w:r w:rsidRPr="00955C0A">
        <w:rPr>
          <w:rFonts w:asciiTheme="minorHAnsi" w:eastAsia="Times New Roman" w:hAnsiTheme="minorHAnsi" w:cstheme="minorHAnsi"/>
          <w:sz w:val="22"/>
        </w:rPr>
        <w:t xml:space="preserve">  Space is a major constraint in the Government Medical Warehouses. In addition, basic infrastructure like racks, temperature and humidity monitoring systems, firefighting equipment, computers with internet facility, manpower, communications, funds for transportation of commodities are sub-optimal.  at SDS, DDS, TU and PHIs</w:t>
      </w:r>
    </w:p>
    <w:p w14:paraId="3CE5DE9C" w14:textId="77777777" w:rsidR="00955C0A" w:rsidRPr="00955C0A" w:rsidRDefault="00955C0A" w:rsidP="009136E5">
      <w:pPr>
        <w:pStyle w:val="ListParagraph"/>
        <w:numPr>
          <w:ilvl w:val="0"/>
          <w:numId w:val="88"/>
        </w:numPr>
        <w:spacing w:before="0"/>
        <w:rPr>
          <w:rFonts w:asciiTheme="minorHAnsi" w:eastAsia="Times New Roman" w:hAnsiTheme="minorHAnsi" w:cstheme="minorHAnsi"/>
          <w:sz w:val="22"/>
        </w:rPr>
      </w:pPr>
      <w:r w:rsidRPr="00955C0A">
        <w:rPr>
          <w:rFonts w:asciiTheme="minorHAnsi" w:eastAsia="Times New Roman" w:hAnsiTheme="minorHAnsi" w:cstheme="minorHAnsi"/>
          <w:b/>
          <w:sz w:val="22"/>
        </w:rPr>
        <w:t>High turnover of contractual pharmacists</w:t>
      </w:r>
      <w:r w:rsidRPr="00955C0A">
        <w:rPr>
          <w:rFonts w:asciiTheme="minorHAnsi" w:eastAsia="Times New Roman" w:hAnsiTheme="minorHAnsi" w:cstheme="minorHAnsi"/>
          <w:sz w:val="22"/>
        </w:rPr>
        <w:t xml:space="preserve"> leading to vacancies, disruption in services and increased time to build capacities of new personnel.</w:t>
      </w:r>
    </w:p>
    <w:p w14:paraId="5999C862" w14:textId="77777777" w:rsidR="00955C0A" w:rsidRPr="00955C0A" w:rsidRDefault="00955C0A" w:rsidP="009136E5">
      <w:pPr>
        <w:pStyle w:val="ListParagraph"/>
        <w:numPr>
          <w:ilvl w:val="0"/>
          <w:numId w:val="88"/>
        </w:numPr>
        <w:spacing w:before="0"/>
        <w:rPr>
          <w:rFonts w:asciiTheme="minorHAnsi" w:eastAsia="Times New Roman" w:hAnsiTheme="minorHAnsi" w:cstheme="minorHAnsi"/>
          <w:sz w:val="22"/>
        </w:rPr>
      </w:pPr>
      <w:r w:rsidRPr="00955C0A">
        <w:rPr>
          <w:rFonts w:asciiTheme="minorHAnsi" w:eastAsia="Times New Roman" w:hAnsiTheme="minorHAnsi" w:cstheme="minorHAnsi"/>
          <w:b/>
          <w:sz w:val="22"/>
        </w:rPr>
        <w:t xml:space="preserve">Packaging/repackaging of 2nd line drug boxes: </w:t>
      </w:r>
      <w:r w:rsidRPr="00955C0A">
        <w:rPr>
          <w:rFonts w:asciiTheme="minorHAnsi" w:eastAsia="Times New Roman" w:hAnsiTheme="minorHAnsi" w:cstheme="minorHAnsi"/>
          <w:sz w:val="22"/>
        </w:rPr>
        <w:t xml:space="preserve">Following PMDT guidelines, boxes for 2nd Line drugs need to be re-packed at state drugs store and to be supplied to districts. However, there are also instances wherein loose drugs are re-packed in polythene bags or may be sent in loose forms only to districts. There is no uniformity in the packing and distributions of the Second Line Drugs. </w:t>
      </w:r>
    </w:p>
    <w:p w14:paraId="7BA93CE7" w14:textId="77777777" w:rsidR="00955C0A" w:rsidRPr="00955C0A" w:rsidRDefault="00955C0A" w:rsidP="009136E5">
      <w:pPr>
        <w:pStyle w:val="ListParagraph"/>
        <w:numPr>
          <w:ilvl w:val="0"/>
          <w:numId w:val="88"/>
        </w:numPr>
        <w:spacing w:before="0"/>
        <w:rPr>
          <w:rFonts w:asciiTheme="minorHAnsi" w:eastAsia="Times New Roman" w:hAnsiTheme="minorHAnsi" w:cstheme="minorHAnsi"/>
          <w:sz w:val="22"/>
        </w:rPr>
      </w:pPr>
      <w:r w:rsidRPr="00955C0A">
        <w:rPr>
          <w:rFonts w:asciiTheme="minorHAnsi" w:eastAsia="Times New Roman" w:hAnsiTheme="minorHAnsi" w:cstheme="minorHAnsi"/>
          <w:b/>
          <w:sz w:val="22"/>
        </w:rPr>
        <w:t>Lack of use of ICT platform</w:t>
      </w:r>
      <w:r w:rsidRPr="00955C0A">
        <w:rPr>
          <w:rFonts w:asciiTheme="minorHAnsi" w:eastAsia="Times New Roman" w:hAnsiTheme="minorHAnsi" w:cstheme="minorHAnsi"/>
          <w:sz w:val="22"/>
        </w:rPr>
        <w:t xml:space="preserve"> for capturing real time information on stock levels, expiry of batches and potential stock out situations resulting in increased operational strain on supply chain systems and also impact the forecasting and procurement planning given delays in reporting from the field.</w:t>
      </w:r>
    </w:p>
    <w:p w14:paraId="269259F0" w14:textId="734B5DD3" w:rsidR="00955C0A" w:rsidRPr="00955C0A" w:rsidRDefault="00A618FA" w:rsidP="009136E5">
      <w:pPr>
        <w:pStyle w:val="ListParagraph"/>
        <w:numPr>
          <w:ilvl w:val="0"/>
          <w:numId w:val="88"/>
        </w:numPr>
        <w:spacing w:before="0"/>
        <w:rPr>
          <w:rFonts w:asciiTheme="minorHAnsi" w:eastAsia="Times New Roman" w:hAnsiTheme="minorHAnsi" w:cstheme="minorHAnsi"/>
          <w:sz w:val="22"/>
        </w:rPr>
      </w:pPr>
      <w:r>
        <w:rPr>
          <w:rFonts w:asciiTheme="minorHAnsi" w:eastAsia="Times New Roman" w:hAnsiTheme="minorHAnsi" w:cstheme="minorHAnsi"/>
          <w:b/>
          <w:sz w:val="22"/>
        </w:rPr>
        <w:t>Disposal of e</w:t>
      </w:r>
      <w:r w:rsidR="00955C0A" w:rsidRPr="00955C0A">
        <w:rPr>
          <w:rFonts w:asciiTheme="minorHAnsi" w:eastAsia="Times New Roman" w:hAnsiTheme="minorHAnsi" w:cstheme="minorHAnsi"/>
          <w:b/>
          <w:sz w:val="22"/>
        </w:rPr>
        <w:t>xpired Drugs:</w:t>
      </w:r>
      <w:r w:rsidR="00955C0A" w:rsidRPr="00955C0A">
        <w:rPr>
          <w:rFonts w:asciiTheme="minorHAnsi" w:eastAsia="Times New Roman" w:hAnsiTheme="minorHAnsi" w:cstheme="minorHAnsi"/>
          <w:sz w:val="22"/>
        </w:rPr>
        <w:t xml:space="preserve"> Expired medicines continue to occupy the limited space in Central / State and District warehouse despite the 2% provision of write-off &amp; disposal available at state level.</w:t>
      </w:r>
    </w:p>
    <w:p w14:paraId="579114F1" w14:textId="73DD49B3" w:rsidR="00955C0A" w:rsidRPr="00955C0A" w:rsidRDefault="00955C0A" w:rsidP="009136E5">
      <w:pPr>
        <w:pStyle w:val="ListParagraph"/>
        <w:numPr>
          <w:ilvl w:val="0"/>
          <w:numId w:val="88"/>
        </w:numPr>
        <w:spacing w:before="0"/>
        <w:rPr>
          <w:rFonts w:asciiTheme="minorHAnsi" w:eastAsia="Times New Roman" w:hAnsiTheme="minorHAnsi" w:cstheme="minorHAnsi"/>
          <w:sz w:val="22"/>
        </w:rPr>
      </w:pPr>
      <w:r w:rsidRPr="00955C0A">
        <w:rPr>
          <w:rFonts w:asciiTheme="minorHAnsi" w:eastAsia="Times New Roman" w:hAnsiTheme="minorHAnsi" w:cstheme="minorHAnsi"/>
          <w:b/>
          <w:sz w:val="22"/>
        </w:rPr>
        <w:t>Transportation</w:t>
      </w:r>
      <w:r w:rsidRPr="00955C0A">
        <w:rPr>
          <w:rFonts w:asciiTheme="minorHAnsi" w:eastAsia="Times New Roman" w:hAnsiTheme="minorHAnsi" w:cstheme="minorHAnsi"/>
          <w:sz w:val="22"/>
        </w:rPr>
        <w:t>: Adhoc transportation mechanism from State to district / sub -district in some states resulting in delayed supply to end users at the PHI.</w:t>
      </w:r>
    </w:p>
    <w:p w14:paraId="1D97E9D7" w14:textId="6CC746DE" w:rsidR="00196C3A" w:rsidRDefault="00196C3A" w:rsidP="009136E5">
      <w:pPr>
        <w:pStyle w:val="ListParagraph"/>
        <w:numPr>
          <w:ilvl w:val="0"/>
          <w:numId w:val="88"/>
        </w:numPr>
        <w:spacing w:before="0"/>
        <w:rPr>
          <w:rFonts w:asciiTheme="minorHAnsi" w:eastAsia="Times New Roman" w:hAnsiTheme="minorHAnsi" w:cstheme="minorHAnsi"/>
          <w:sz w:val="22"/>
        </w:rPr>
      </w:pPr>
      <w:r w:rsidRPr="00196C3A">
        <w:rPr>
          <w:rFonts w:asciiTheme="minorHAnsi" w:eastAsia="Times New Roman" w:hAnsiTheme="minorHAnsi" w:cstheme="minorHAnsi"/>
          <w:sz w:val="22"/>
        </w:rPr>
        <w:t xml:space="preserve">The </w:t>
      </w:r>
      <w:r>
        <w:rPr>
          <w:rFonts w:asciiTheme="minorHAnsi" w:eastAsia="Times New Roman" w:hAnsiTheme="minorHAnsi" w:cstheme="minorHAnsi"/>
          <w:sz w:val="22"/>
        </w:rPr>
        <w:t>thirty five</w:t>
      </w:r>
      <w:r w:rsidRPr="00196C3A">
        <w:rPr>
          <w:rFonts w:asciiTheme="minorHAnsi" w:eastAsia="Times New Roman" w:hAnsiTheme="minorHAnsi" w:cstheme="minorHAnsi"/>
          <w:sz w:val="22"/>
        </w:rPr>
        <w:t xml:space="preserve"> (TIE-TB project) </w:t>
      </w:r>
      <w:r w:rsidRPr="00955C0A">
        <w:rPr>
          <w:rFonts w:asciiTheme="minorHAnsi" w:eastAsia="Times New Roman" w:hAnsiTheme="minorHAnsi" w:cstheme="minorHAnsi"/>
          <w:b/>
          <w:sz w:val="22"/>
        </w:rPr>
        <w:t>Mobile Diagnostic Van</w:t>
      </w:r>
      <w:r w:rsidRPr="00196C3A">
        <w:rPr>
          <w:rFonts w:asciiTheme="minorHAnsi" w:eastAsia="Times New Roman" w:hAnsiTheme="minorHAnsi" w:cstheme="minorHAnsi"/>
          <w:sz w:val="22"/>
        </w:rPr>
        <w:t xml:space="preserve"> mounted with Microscopy and X-Ray Fa</w:t>
      </w:r>
      <w:r>
        <w:rPr>
          <w:rFonts w:asciiTheme="minorHAnsi" w:eastAsia="Times New Roman" w:hAnsiTheme="minorHAnsi" w:cstheme="minorHAnsi"/>
          <w:sz w:val="22"/>
        </w:rPr>
        <w:t xml:space="preserve">cilities for tribal population and forty five </w:t>
      </w:r>
      <w:r w:rsidRPr="00196C3A">
        <w:rPr>
          <w:rFonts w:asciiTheme="minorHAnsi" w:eastAsia="Times New Roman" w:hAnsiTheme="minorHAnsi" w:cstheme="minorHAnsi"/>
          <w:sz w:val="22"/>
        </w:rPr>
        <w:t>Mobile Medical Van fitted with CBNAAT Machine for early detection of MDR TB in high population areas through Active Case Finding are not being optimally used. In addition to above, undertaking of maintenance services of vans &amp; Equipments are also being overlooked.</w:t>
      </w:r>
      <w:r w:rsidR="00955C0A">
        <w:rPr>
          <w:rFonts w:asciiTheme="minorHAnsi" w:eastAsia="Times New Roman" w:hAnsiTheme="minorHAnsi" w:cstheme="minorHAnsi"/>
          <w:sz w:val="22"/>
        </w:rPr>
        <w:t xml:space="preserve"> </w:t>
      </w:r>
    </w:p>
    <w:p w14:paraId="62AB9D88" w14:textId="45187419" w:rsidR="00955C0A" w:rsidRPr="00955C0A" w:rsidRDefault="00955C0A" w:rsidP="009136E5">
      <w:pPr>
        <w:pStyle w:val="ListParagraph"/>
        <w:numPr>
          <w:ilvl w:val="0"/>
          <w:numId w:val="88"/>
        </w:numPr>
        <w:spacing w:before="0"/>
        <w:rPr>
          <w:rFonts w:asciiTheme="minorHAnsi" w:eastAsia="Times New Roman" w:hAnsiTheme="minorHAnsi" w:cstheme="minorHAnsi"/>
          <w:sz w:val="22"/>
        </w:rPr>
      </w:pPr>
      <w:r w:rsidRPr="00955C0A">
        <w:rPr>
          <w:rFonts w:asciiTheme="minorHAnsi" w:eastAsia="Times New Roman" w:hAnsiTheme="minorHAnsi" w:cstheme="minorHAnsi"/>
          <w:b/>
          <w:sz w:val="22"/>
        </w:rPr>
        <w:t>Storage problems at National Warehouses (GMSDs)</w:t>
      </w:r>
      <w:r w:rsidRPr="00955C0A">
        <w:rPr>
          <w:rFonts w:asciiTheme="minorHAnsi" w:eastAsia="Times New Roman" w:hAnsiTheme="minorHAnsi" w:cstheme="minorHAnsi"/>
          <w:sz w:val="22"/>
        </w:rPr>
        <w:t xml:space="preserve">: Time and again programme division has faced problems of storage </w:t>
      </w:r>
      <w:r w:rsidR="00E94689" w:rsidRPr="00955C0A">
        <w:rPr>
          <w:rFonts w:asciiTheme="minorHAnsi" w:eastAsia="Times New Roman" w:hAnsiTheme="minorHAnsi" w:cstheme="minorHAnsi"/>
          <w:sz w:val="22"/>
        </w:rPr>
        <w:t>of drugs</w:t>
      </w:r>
      <w:r w:rsidRPr="00955C0A">
        <w:rPr>
          <w:rFonts w:asciiTheme="minorHAnsi" w:eastAsia="Times New Roman" w:hAnsiTheme="minorHAnsi" w:cstheme="minorHAnsi"/>
          <w:sz w:val="22"/>
        </w:rPr>
        <w:t xml:space="preserve"> at the national warehouse.</w:t>
      </w:r>
    </w:p>
    <w:p w14:paraId="3F249C10" w14:textId="76E9B9E1" w:rsidR="00EB1896" w:rsidRPr="00C45A90" w:rsidRDefault="00213555" w:rsidP="00EB1896">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7</w:t>
      </w:r>
      <w:r>
        <w:rPr>
          <w:rFonts w:asciiTheme="minorHAnsi" w:hAnsiTheme="minorHAnsi" w:cstheme="minorHAnsi"/>
          <w:b/>
          <w:color w:val="C86A07" w:themeColor="accent2" w:themeShade="BF"/>
          <w:sz w:val="28"/>
          <w:lang w:val="en"/>
        </w:rPr>
        <w:t xml:space="preserve">.4 </w:t>
      </w:r>
      <w:r w:rsidR="00EB1896" w:rsidRPr="00C45A90">
        <w:rPr>
          <w:rFonts w:asciiTheme="minorHAnsi" w:hAnsiTheme="minorHAnsi" w:cstheme="minorHAnsi"/>
          <w:b/>
          <w:color w:val="C86A07" w:themeColor="accent2" w:themeShade="BF"/>
          <w:sz w:val="28"/>
          <w:lang w:val="en"/>
        </w:rPr>
        <w:t>THE WAY FORWARD</w:t>
      </w:r>
      <w:r w:rsidR="00907246" w:rsidRPr="00C45A90">
        <w:rPr>
          <w:rFonts w:asciiTheme="minorHAnsi" w:hAnsiTheme="minorHAnsi" w:cstheme="minorHAnsi"/>
          <w:b/>
          <w:color w:val="C86A07" w:themeColor="accent2" w:themeShade="BF"/>
          <w:sz w:val="28"/>
          <w:lang w:val="en"/>
        </w:rPr>
        <w:t xml:space="preserve"> </w:t>
      </w:r>
    </w:p>
    <w:p w14:paraId="579FE60C" w14:textId="77777777" w:rsidR="0016039D" w:rsidRPr="0016039D" w:rsidRDefault="0016039D" w:rsidP="009136E5">
      <w:pPr>
        <w:pStyle w:val="ListParagraph"/>
        <w:numPr>
          <w:ilvl w:val="1"/>
          <w:numId w:val="75"/>
        </w:numPr>
        <w:spacing w:before="0" w:after="0"/>
        <w:jc w:val="both"/>
        <w:rPr>
          <w:rFonts w:asciiTheme="minorHAnsi" w:eastAsia="Times New Roman" w:hAnsiTheme="minorHAnsi" w:cstheme="minorHAnsi"/>
          <w:b/>
          <w:vanish/>
          <w:sz w:val="22"/>
        </w:rPr>
      </w:pPr>
    </w:p>
    <w:p w14:paraId="050D61E0" w14:textId="77777777" w:rsidR="001C3683" w:rsidRPr="001C3683" w:rsidRDefault="001C3683" w:rsidP="001C3683">
      <w:pPr>
        <w:rPr>
          <w:rFonts w:asciiTheme="minorHAnsi" w:eastAsia="Times New Roman" w:hAnsiTheme="minorHAnsi" w:cstheme="minorHAnsi"/>
          <w:b/>
          <w:sz w:val="22"/>
          <w:lang w:val="en-GB"/>
        </w:rPr>
      </w:pPr>
      <w:r w:rsidRPr="001C3683">
        <w:rPr>
          <w:rFonts w:asciiTheme="minorHAnsi" w:eastAsia="Times New Roman" w:hAnsiTheme="minorHAnsi" w:cstheme="minorHAnsi"/>
          <w:b/>
          <w:sz w:val="22"/>
          <w:lang w:val="en-GB"/>
        </w:rPr>
        <w:t>National Level</w:t>
      </w:r>
    </w:p>
    <w:p w14:paraId="0E3E3060" w14:textId="43C5F2BB" w:rsidR="001C3683" w:rsidRPr="001C3683" w:rsidRDefault="001C3683" w:rsidP="009136E5">
      <w:pPr>
        <w:pStyle w:val="ListParagraph"/>
        <w:numPr>
          <w:ilvl w:val="2"/>
          <w:numId w:val="75"/>
        </w:numPr>
        <w:spacing w:before="0" w:after="0"/>
        <w:ind w:left="504"/>
        <w:jc w:val="both"/>
        <w:rPr>
          <w:rFonts w:asciiTheme="minorHAnsi" w:eastAsia="Times New Roman" w:hAnsiTheme="minorHAnsi" w:cstheme="minorHAnsi"/>
          <w:sz w:val="22"/>
        </w:rPr>
      </w:pPr>
      <w:r w:rsidRPr="001C3683">
        <w:rPr>
          <w:rFonts w:asciiTheme="minorHAnsi" w:eastAsia="Times New Roman" w:hAnsiTheme="minorHAnsi" w:cstheme="minorHAnsi"/>
          <w:b/>
          <w:sz w:val="22"/>
        </w:rPr>
        <w:t xml:space="preserve">Procurement agency – </w:t>
      </w:r>
      <w:r w:rsidRPr="001C3683">
        <w:rPr>
          <w:rFonts w:asciiTheme="minorHAnsi" w:eastAsia="Times New Roman" w:hAnsiTheme="minorHAnsi" w:cstheme="minorHAnsi"/>
          <w:sz w:val="22"/>
        </w:rPr>
        <w:t xml:space="preserve">To have an </w:t>
      </w:r>
      <w:r w:rsidRPr="00056B35">
        <w:rPr>
          <w:rFonts w:asciiTheme="minorHAnsi" w:eastAsia="Times New Roman" w:hAnsiTheme="minorHAnsi" w:cstheme="minorHAnsi"/>
          <w:b/>
          <w:sz w:val="22"/>
        </w:rPr>
        <w:t>alternative back-up mechanism to speed up procurement</w:t>
      </w:r>
      <w:r w:rsidRPr="001C3683">
        <w:rPr>
          <w:rFonts w:asciiTheme="minorHAnsi" w:eastAsia="Times New Roman" w:hAnsiTheme="minorHAnsi" w:cstheme="minorHAnsi"/>
          <w:sz w:val="22"/>
        </w:rPr>
        <w:t xml:space="preserve"> of drugs and diagnostics to reduce the lag time for procurement from CMSS</w:t>
      </w:r>
    </w:p>
    <w:p w14:paraId="543C5DCC" w14:textId="280024DB" w:rsidR="00097F9D" w:rsidRDefault="003F6791" w:rsidP="009136E5">
      <w:pPr>
        <w:pStyle w:val="ListParagraph"/>
        <w:numPr>
          <w:ilvl w:val="2"/>
          <w:numId w:val="75"/>
        </w:numPr>
        <w:spacing w:before="0" w:after="0"/>
        <w:ind w:left="504"/>
        <w:jc w:val="both"/>
        <w:rPr>
          <w:rFonts w:asciiTheme="minorHAnsi" w:eastAsia="Times New Roman" w:hAnsiTheme="minorHAnsi" w:cstheme="minorHAnsi"/>
          <w:b/>
          <w:sz w:val="22"/>
        </w:rPr>
      </w:pPr>
      <w:r>
        <w:rPr>
          <w:rFonts w:asciiTheme="minorHAnsi" w:eastAsia="Times New Roman" w:hAnsiTheme="minorHAnsi" w:cstheme="minorHAnsi"/>
          <w:b/>
          <w:sz w:val="22"/>
        </w:rPr>
        <w:t>e</w:t>
      </w:r>
      <w:r w:rsidR="00097F9D" w:rsidRPr="00097F9D">
        <w:rPr>
          <w:rFonts w:asciiTheme="minorHAnsi" w:eastAsia="Times New Roman" w:hAnsiTheme="minorHAnsi" w:cstheme="minorHAnsi"/>
          <w:b/>
          <w:sz w:val="22"/>
        </w:rPr>
        <w:t>-Pharmacy / commerce platforms to enable door-step delivery of drugs need to be developed &amp; implemented.</w:t>
      </w:r>
      <w:r w:rsidR="00097F9D">
        <w:rPr>
          <w:rFonts w:asciiTheme="minorHAnsi" w:eastAsia="Times New Roman" w:hAnsiTheme="minorHAnsi" w:cstheme="minorHAnsi"/>
          <w:b/>
          <w:sz w:val="22"/>
        </w:rPr>
        <w:t xml:space="preserve"> </w:t>
      </w:r>
    </w:p>
    <w:p w14:paraId="64761CCF" w14:textId="2AE6B31A" w:rsidR="00097F9D" w:rsidRPr="00097F9D" w:rsidRDefault="00097F9D" w:rsidP="009136E5">
      <w:pPr>
        <w:pStyle w:val="ListParagraph"/>
        <w:numPr>
          <w:ilvl w:val="2"/>
          <w:numId w:val="75"/>
        </w:numPr>
        <w:spacing w:before="0" w:after="0"/>
        <w:ind w:left="504"/>
        <w:jc w:val="both"/>
        <w:rPr>
          <w:rFonts w:asciiTheme="minorHAnsi" w:eastAsia="Times New Roman" w:hAnsiTheme="minorHAnsi" w:cstheme="minorHAnsi"/>
          <w:b/>
          <w:sz w:val="22"/>
        </w:rPr>
      </w:pPr>
      <w:r w:rsidRPr="00097F9D">
        <w:rPr>
          <w:rFonts w:asciiTheme="minorHAnsi" w:eastAsia="Times New Roman" w:hAnsiTheme="minorHAnsi" w:cstheme="minorHAnsi"/>
          <w:b/>
          <w:sz w:val="22"/>
          <w:lang w:val="en-GB"/>
        </w:rPr>
        <w:t>Strengthening of procurement and supply chain management</w:t>
      </w:r>
    </w:p>
    <w:p w14:paraId="4EEAB3F5" w14:textId="6ED1E833" w:rsidR="001C3683" w:rsidRDefault="00097F9D" w:rsidP="009136E5">
      <w:pPr>
        <w:pStyle w:val="ListParagraph"/>
        <w:numPr>
          <w:ilvl w:val="3"/>
          <w:numId w:val="75"/>
        </w:numPr>
        <w:ind w:left="1260" w:hanging="720"/>
        <w:jc w:val="both"/>
        <w:rPr>
          <w:rFonts w:asciiTheme="minorHAnsi" w:eastAsia="Times New Roman" w:hAnsiTheme="minorHAnsi" w:cstheme="minorHAnsi"/>
          <w:sz w:val="22"/>
          <w:lang w:val="en-GB"/>
        </w:rPr>
      </w:pPr>
      <w:r w:rsidRPr="00097F9D">
        <w:rPr>
          <w:rFonts w:asciiTheme="minorHAnsi" w:eastAsia="Times New Roman" w:hAnsiTheme="minorHAnsi" w:cstheme="minorHAnsi"/>
          <w:sz w:val="22"/>
          <w:lang w:val="en-GB"/>
        </w:rPr>
        <w:t>Institutional learning: Training on Procurement and Drug Logistics Management for the all the personnel’s at National level involved in LSCM</w:t>
      </w:r>
    </w:p>
    <w:p w14:paraId="05C5DD4C" w14:textId="2BA0C301" w:rsidR="00097F9D" w:rsidRPr="00951F69" w:rsidRDefault="00097F9D" w:rsidP="009136E5">
      <w:pPr>
        <w:pStyle w:val="ListParagraph"/>
        <w:numPr>
          <w:ilvl w:val="3"/>
          <w:numId w:val="75"/>
        </w:numPr>
        <w:ind w:left="1260" w:hanging="720"/>
        <w:jc w:val="both"/>
        <w:rPr>
          <w:rFonts w:asciiTheme="minorHAnsi" w:eastAsia="Times New Roman" w:hAnsiTheme="minorHAnsi" w:cstheme="minorHAnsi"/>
          <w:sz w:val="22"/>
          <w:lang w:val="en-GB"/>
        </w:rPr>
      </w:pPr>
      <w:r w:rsidRPr="00097F9D">
        <w:rPr>
          <w:rFonts w:asciiTheme="minorHAnsi" w:eastAsia="Times New Roman" w:hAnsiTheme="minorHAnsi" w:cstheme="minorHAnsi"/>
          <w:sz w:val="22"/>
          <w:lang w:val="en-GB"/>
        </w:rPr>
        <w:t>Capacity building of the PSM team in relation to the newer initiatives and artificial intelligence</w:t>
      </w:r>
    </w:p>
    <w:p w14:paraId="4320D013" w14:textId="3B1A442E" w:rsidR="001C3683" w:rsidRPr="00951F69" w:rsidRDefault="001C3683" w:rsidP="009136E5">
      <w:pPr>
        <w:pStyle w:val="ListParagraph"/>
        <w:numPr>
          <w:ilvl w:val="2"/>
          <w:numId w:val="75"/>
        </w:numPr>
        <w:spacing w:before="0" w:after="0"/>
        <w:ind w:left="504"/>
        <w:jc w:val="both"/>
        <w:rPr>
          <w:rFonts w:asciiTheme="minorHAnsi" w:eastAsia="Times New Roman" w:hAnsiTheme="minorHAnsi" w:cstheme="minorHAnsi"/>
          <w:sz w:val="22"/>
          <w:lang w:val="en-GB"/>
        </w:rPr>
      </w:pPr>
      <w:r w:rsidRPr="00097F9D">
        <w:rPr>
          <w:rFonts w:asciiTheme="minorHAnsi" w:eastAsia="Times New Roman" w:hAnsiTheme="minorHAnsi" w:cstheme="minorHAnsi"/>
          <w:b/>
          <w:sz w:val="22"/>
          <w:lang w:val="en-GB"/>
        </w:rPr>
        <w:t>Use Nikshay Aushadhi systems in PSM:</w:t>
      </w:r>
      <w:r w:rsidRPr="00951F69">
        <w:rPr>
          <w:rFonts w:asciiTheme="minorHAnsi" w:eastAsia="Times New Roman" w:hAnsiTheme="minorHAnsi" w:cstheme="minorHAnsi"/>
          <w:sz w:val="22"/>
          <w:lang w:val="en-GB"/>
        </w:rPr>
        <w:t xml:space="preserve"> Procurement of barcode readers &amp; printers, connectivity solutions for real time data exchange and for end to end visibility within the supply chain          </w:t>
      </w:r>
      <w:r w:rsidRPr="00951F69">
        <w:rPr>
          <w:rFonts w:asciiTheme="minorHAnsi" w:eastAsia="Times New Roman" w:hAnsiTheme="minorHAnsi" w:cstheme="minorHAnsi"/>
          <w:sz w:val="22"/>
          <w:lang w:val="en-GB"/>
        </w:rPr>
        <w:tab/>
      </w:r>
    </w:p>
    <w:p w14:paraId="5CDB39A3" w14:textId="529B0818" w:rsidR="001C3683" w:rsidRPr="00A618FA" w:rsidRDefault="00A618FA" w:rsidP="009136E5">
      <w:pPr>
        <w:pStyle w:val="ListParagraph"/>
        <w:numPr>
          <w:ilvl w:val="2"/>
          <w:numId w:val="75"/>
        </w:numPr>
        <w:spacing w:before="0" w:after="0"/>
        <w:ind w:left="504"/>
        <w:jc w:val="both"/>
        <w:rPr>
          <w:rFonts w:asciiTheme="minorHAnsi" w:eastAsia="Times New Roman" w:hAnsiTheme="minorHAnsi" w:cstheme="minorHAnsi"/>
          <w:bCs/>
          <w:sz w:val="22"/>
          <w:lang w:val="en-GB"/>
        </w:rPr>
      </w:pPr>
      <w:r w:rsidRPr="00A618FA">
        <w:rPr>
          <w:rFonts w:asciiTheme="minorHAnsi" w:eastAsia="Times New Roman" w:hAnsiTheme="minorHAnsi" w:cstheme="minorHAnsi"/>
          <w:b/>
          <w:sz w:val="22"/>
          <w:lang w:val="en-GB"/>
        </w:rPr>
        <w:lastRenderedPageBreak/>
        <w:t xml:space="preserve">NTEP drugs for Patients in Private sector: Voucher scheme, e-pharmacy &amp; other </w:t>
      </w:r>
      <w:r w:rsidRPr="00A618FA">
        <w:rPr>
          <w:rFonts w:asciiTheme="minorHAnsi" w:eastAsia="Times New Roman" w:hAnsiTheme="minorHAnsi" w:cstheme="minorHAnsi"/>
          <w:bCs/>
          <w:sz w:val="22"/>
          <w:lang w:val="en-GB"/>
        </w:rPr>
        <w:t>mechanisms for enabling the availability of NTEP drugs to patients in the private sector to be developed considering the focus on reaching out to patients diagnosed in the private sector</w:t>
      </w:r>
      <w:r w:rsidR="001C3683" w:rsidRPr="00A618FA">
        <w:rPr>
          <w:rFonts w:asciiTheme="minorHAnsi" w:eastAsia="Times New Roman" w:hAnsiTheme="minorHAnsi" w:cstheme="minorHAnsi"/>
          <w:bCs/>
          <w:sz w:val="22"/>
          <w:lang w:val="en-GB"/>
        </w:rPr>
        <w:t>.</w:t>
      </w:r>
    </w:p>
    <w:p w14:paraId="49978867" w14:textId="3F77CD67" w:rsidR="001C3683" w:rsidRDefault="001C3683" w:rsidP="009136E5">
      <w:pPr>
        <w:pStyle w:val="ListParagraph"/>
        <w:numPr>
          <w:ilvl w:val="2"/>
          <w:numId w:val="75"/>
        </w:numPr>
        <w:spacing w:before="0" w:after="0"/>
        <w:ind w:left="504"/>
        <w:jc w:val="both"/>
        <w:rPr>
          <w:rFonts w:asciiTheme="minorHAnsi" w:eastAsia="Times New Roman" w:hAnsiTheme="minorHAnsi" w:cstheme="minorHAnsi"/>
          <w:sz w:val="22"/>
          <w:lang w:val="en-GB"/>
        </w:rPr>
      </w:pPr>
      <w:r w:rsidRPr="00366667">
        <w:rPr>
          <w:rFonts w:asciiTheme="minorHAnsi" w:eastAsia="Times New Roman" w:hAnsiTheme="minorHAnsi" w:cstheme="minorHAnsi"/>
          <w:b/>
          <w:sz w:val="22"/>
          <w:lang w:val="en-GB"/>
        </w:rPr>
        <w:t>Strengthening of Nikshay Aushad</w:t>
      </w:r>
      <w:r w:rsidR="00A618FA">
        <w:rPr>
          <w:rFonts w:asciiTheme="minorHAnsi" w:eastAsia="Times New Roman" w:hAnsiTheme="minorHAnsi" w:cstheme="minorHAnsi"/>
          <w:b/>
          <w:sz w:val="22"/>
          <w:lang w:val="en-GB"/>
        </w:rPr>
        <w:t>h</w:t>
      </w:r>
      <w:r w:rsidRPr="00366667">
        <w:rPr>
          <w:rFonts w:asciiTheme="minorHAnsi" w:eastAsia="Times New Roman" w:hAnsiTheme="minorHAnsi" w:cstheme="minorHAnsi"/>
          <w:b/>
          <w:sz w:val="22"/>
          <w:lang w:val="en-GB"/>
        </w:rPr>
        <w:t>i</w:t>
      </w:r>
      <w:r w:rsidRPr="00951F69">
        <w:rPr>
          <w:rFonts w:asciiTheme="minorHAnsi" w:eastAsia="Times New Roman" w:hAnsiTheme="minorHAnsi" w:cstheme="minorHAnsi"/>
          <w:sz w:val="22"/>
          <w:lang w:val="en-GB"/>
        </w:rPr>
        <w:t xml:space="preserve"> – to incorporate supplier</w:t>
      </w:r>
      <w:r w:rsidR="003F6791">
        <w:rPr>
          <w:rFonts w:asciiTheme="minorHAnsi" w:eastAsia="Times New Roman" w:hAnsiTheme="minorHAnsi" w:cstheme="minorHAnsi"/>
          <w:sz w:val="22"/>
          <w:lang w:val="en-GB"/>
        </w:rPr>
        <w:t>/</w:t>
      </w:r>
      <w:r w:rsidR="003F6791" w:rsidRPr="003F6791">
        <w:rPr>
          <w:rFonts w:asciiTheme="minorHAnsi" w:eastAsia="Times New Roman" w:hAnsiTheme="minorHAnsi" w:cstheme="minorHAnsi"/>
          <w:sz w:val="22"/>
          <w:lang w:val="en-GB"/>
        </w:rPr>
        <w:t>testing laboratory</w:t>
      </w:r>
      <w:r w:rsidRPr="00951F69">
        <w:rPr>
          <w:rFonts w:asciiTheme="minorHAnsi" w:eastAsia="Times New Roman" w:hAnsiTheme="minorHAnsi" w:cstheme="minorHAnsi"/>
          <w:sz w:val="22"/>
          <w:lang w:val="en-GB"/>
        </w:rPr>
        <w:t xml:space="preserve"> interface, quantification tool, integration of LIMS etc.</w:t>
      </w:r>
      <w:r w:rsidR="00366667">
        <w:rPr>
          <w:rFonts w:asciiTheme="minorHAnsi" w:eastAsia="Times New Roman" w:hAnsiTheme="minorHAnsi" w:cstheme="minorHAnsi"/>
          <w:sz w:val="22"/>
          <w:lang w:val="en-GB"/>
        </w:rPr>
        <w:t xml:space="preserve"> </w:t>
      </w:r>
    </w:p>
    <w:p w14:paraId="7E03188C" w14:textId="7813C4C9" w:rsidR="00366667" w:rsidRPr="00366667" w:rsidRDefault="00366667" w:rsidP="009136E5">
      <w:pPr>
        <w:pStyle w:val="ListParagraph"/>
        <w:numPr>
          <w:ilvl w:val="2"/>
          <w:numId w:val="75"/>
        </w:numPr>
        <w:spacing w:before="0" w:after="0"/>
        <w:ind w:left="504"/>
        <w:jc w:val="both"/>
        <w:rPr>
          <w:rFonts w:asciiTheme="minorHAnsi" w:eastAsia="Times New Roman" w:hAnsiTheme="minorHAnsi" w:cstheme="minorHAnsi"/>
          <w:sz w:val="22"/>
          <w:lang w:val="en-GB"/>
        </w:rPr>
      </w:pPr>
      <w:r>
        <w:rPr>
          <w:rFonts w:asciiTheme="minorHAnsi" w:eastAsia="Times New Roman" w:hAnsiTheme="minorHAnsi" w:cstheme="minorHAnsi"/>
          <w:sz w:val="22"/>
          <w:lang w:val="en-GB"/>
        </w:rPr>
        <w:t xml:space="preserve">Improve </w:t>
      </w:r>
      <w:r w:rsidRPr="00366667">
        <w:rPr>
          <w:rFonts w:asciiTheme="minorHAnsi" w:eastAsia="Times New Roman" w:hAnsiTheme="minorHAnsi" w:cstheme="minorHAnsi"/>
          <w:b/>
          <w:sz w:val="22"/>
          <w:lang w:val="en-GB"/>
        </w:rPr>
        <w:t>supply chain efficiency and effectiveness</w:t>
      </w:r>
      <w:r>
        <w:rPr>
          <w:rFonts w:asciiTheme="minorHAnsi" w:eastAsia="Times New Roman" w:hAnsiTheme="minorHAnsi" w:cstheme="minorHAnsi"/>
          <w:sz w:val="22"/>
          <w:lang w:val="en-GB"/>
        </w:rPr>
        <w:t>, by moving toward standard, national specifications and consistent packaging for DS and DR-TB treatments.</w:t>
      </w:r>
    </w:p>
    <w:p w14:paraId="14A71A17" w14:textId="77777777" w:rsidR="001C3683" w:rsidRPr="00951F69" w:rsidRDefault="001C3683" w:rsidP="002C71BB">
      <w:pPr>
        <w:spacing w:before="0" w:after="0"/>
        <w:ind w:left="360"/>
        <w:rPr>
          <w:rFonts w:asciiTheme="minorHAnsi" w:eastAsia="Times New Roman" w:hAnsiTheme="minorHAnsi" w:cstheme="minorHAnsi"/>
          <w:b/>
          <w:sz w:val="22"/>
          <w:lang w:val="en-GB"/>
        </w:rPr>
      </w:pPr>
    </w:p>
    <w:p w14:paraId="69A09894" w14:textId="77777777" w:rsidR="001C3683" w:rsidRPr="00951F69" w:rsidRDefault="001C3683" w:rsidP="002C71BB">
      <w:pPr>
        <w:spacing w:before="0"/>
        <w:rPr>
          <w:rFonts w:asciiTheme="minorHAnsi" w:eastAsia="Times New Roman" w:hAnsiTheme="minorHAnsi" w:cstheme="minorHAnsi"/>
          <w:b/>
          <w:sz w:val="22"/>
          <w:lang w:val="en-GB"/>
        </w:rPr>
      </w:pPr>
      <w:r w:rsidRPr="00951F69">
        <w:rPr>
          <w:rFonts w:asciiTheme="minorHAnsi" w:eastAsia="Times New Roman" w:hAnsiTheme="minorHAnsi" w:cstheme="minorHAnsi"/>
          <w:b/>
          <w:sz w:val="22"/>
          <w:lang w:val="en-GB"/>
        </w:rPr>
        <w:t>State Level</w:t>
      </w:r>
    </w:p>
    <w:p w14:paraId="510A56C2" w14:textId="18A116A1" w:rsidR="001C3683" w:rsidRPr="001C3683" w:rsidRDefault="00097F9D" w:rsidP="009136E5">
      <w:pPr>
        <w:pStyle w:val="ListParagraph"/>
        <w:numPr>
          <w:ilvl w:val="2"/>
          <w:numId w:val="75"/>
        </w:numPr>
        <w:spacing w:before="0" w:after="0"/>
        <w:ind w:left="504"/>
        <w:jc w:val="both"/>
        <w:rPr>
          <w:rFonts w:asciiTheme="minorHAnsi" w:eastAsia="Times New Roman" w:hAnsiTheme="minorHAnsi" w:cstheme="minorHAnsi"/>
          <w:b/>
          <w:sz w:val="22"/>
          <w:lang w:val="en-GB"/>
        </w:rPr>
      </w:pPr>
      <w:r w:rsidRPr="00097F9D">
        <w:rPr>
          <w:rFonts w:asciiTheme="minorHAnsi" w:eastAsia="Times New Roman" w:hAnsiTheme="minorHAnsi" w:cstheme="minorHAnsi"/>
          <w:b/>
          <w:sz w:val="22"/>
          <w:lang w:val="en-GB"/>
        </w:rPr>
        <w:t>Strengthening &amp; Upgradation of Drug store infrastructure at state, district level and TU for storage of medical commodities and supplies including drugs</w:t>
      </w:r>
      <w:r w:rsidR="001C3683" w:rsidRPr="001C3683">
        <w:rPr>
          <w:rFonts w:asciiTheme="minorHAnsi" w:eastAsia="Times New Roman" w:hAnsiTheme="minorHAnsi" w:cstheme="minorHAnsi"/>
          <w:b/>
          <w:sz w:val="22"/>
          <w:lang w:val="en-GB"/>
        </w:rPr>
        <w:t>.</w:t>
      </w:r>
    </w:p>
    <w:p w14:paraId="14AF2706" w14:textId="1B7A135F" w:rsidR="001C3683" w:rsidRPr="002C71BB" w:rsidRDefault="00097F9D" w:rsidP="009136E5">
      <w:pPr>
        <w:pStyle w:val="ListParagraph"/>
        <w:numPr>
          <w:ilvl w:val="3"/>
          <w:numId w:val="75"/>
        </w:numPr>
        <w:ind w:left="1260" w:hanging="720"/>
        <w:jc w:val="both"/>
        <w:rPr>
          <w:rFonts w:asciiTheme="minorHAnsi" w:eastAsia="Times New Roman" w:hAnsiTheme="minorHAnsi" w:cstheme="minorHAnsi"/>
          <w:sz w:val="22"/>
          <w:lang w:val="en-GB"/>
        </w:rPr>
      </w:pPr>
      <w:r>
        <w:rPr>
          <w:rFonts w:asciiTheme="minorHAnsi" w:eastAsia="Times New Roman" w:hAnsiTheme="minorHAnsi" w:cstheme="minorHAnsi"/>
          <w:sz w:val="22"/>
          <w:lang w:val="en-GB"/>
        </w:rPr>
        <w:t>Dedicated space</w:t>
      </w:r>
      <w:r w:rsidRPr="00097F9D">
        <w:rPr>
          <w:rFonts w:asciiTheme="minorHAnsi" w:eastAsia="Times New Roman" w:hAnsiTheme="minorHAnsi" w:cstheme="minorHAnsi"/>
          <w:sz w:val="22"/>
          <w:lang w:val="en-GB"/>
        </w:rPr>
        <w:t xml:space="preserve"> for Anti TB drugs at the Government medical store depots</w:t>
      </w:r>
      <w:r w:rsidR="001C3683" w:rsidRPr="002C71BB">
        <w:rPr>
          <w:rFonts w:asciiTheme="minorHAnsi" w:eastAsia="Times New Roman" w:hAnsiTheme="minorHAnsi" w:cstheme="minorHAnsi"/>
          <w:sz w:val="22"/>
          <w:lang w:val="en-GB"/>
        </w:rPr>
        <w:t>.</w:t>
      </w:r>
    </w:p>
    <w:p w14:paraId="1E78BCCA" w14:textId="6CC2F24F" w:rsidR="001C3683" w:rsidRDefault="00097F9D" w:rsidP="009136E5">
      <w:pPr>
        <w:pStyle w:val="ListParagraph"/>
        <w:numPr>
          <w:ilvl w:val="3"/>
          <w:numId w:val="75"/>
        </w:numPr>
        <w:ind w:left="1260" w:hanging="720"/>
        <w:jc w:val="both"/>
        <w:rPr>
          <w:rFonts w:asciiTheme="minorHAnsi" w:eastAsia="Times New Roman" w:hAnsiTheme="minorHAnsi" w:cstheme="minorHAnsi"/>
          <w:sz w:val="22"/>
          <w:lang w:val="en-GB"/>
        </w:rPr>
      </w:pPr>
      <w:r w:rsidRPr="00097F9D">
        <w:rPr>
          <w:rFonts w:asciiTheme="minorHAnsi" w:eastAsia="Times New Roman" w:hAnsiTheme="minorHAnsi" w:cstheme="minorHAnsi"/>
          <w:sz w:val="22"/>
          <w:lang w:val="en-GB"/>
        </w:rPr>
        <w:t>Upgrade store infrastructure to ensure Good Storage Practices and Good Distribution Practices</w:t>
      </w:r>
      <w:r>
        <w:rPr>
          <w:rFonts w:asciiTheme="minorHAnsi" w:eastAsia="Times New Roman" w:hAnsiTheme="minorHAnsi" w:cstheme="minorHAnsi"/>
          <w:sz w:val="22"/>
          <w:lang w:val="en-GB"/>
        </w:rPr>
        <w:t xml:space="preserve"> </w:t>
      </w:r>
    </w:p>
    <w:p w14:paraId="7872F236" w14:textId="6181D1E4" w:rsidR="00097F9D" w:rsidRPr="002C71BB" w:rsidRDefault="00097F9D" w:rsidP="009136E5">
      <w:pPr>
        <w:pStyle w:val="ListParagraph"/>
        <w:numPr>
          <w:ilvl w:val="3"/>
          <w:numId w:val="75"/>
        </w:numPr>
        <w:ind w:left="1260" w:hanging="720"/>
        <w:jc w:val="both"/>
        <w:rPr>
          <w:rFonts w:asciiTheme="minorHAnsi" w:eastAsia="Times New Roman" w:hAnsiTheme="minorHAnsi" w:cstheme="minorHAnsi"/>
          <w:sz w:val="22"/>
          <w:lang w:val="en-GB"/>
        </w:rPr>
      </w:pPr>
      <w:r w:rsidRPr="00097F9D">
        <w:rPr>
          <w:rFonts w:asciiTheme="minorHAnsi" w:eastAsia="Times New Roman" w:hAnsiTheme="minorHAnsi" w:cstheme="minorHAnsi"/>
          <w:sz w:val="22"/>
          <w:lang w:val="en-GB"/>
        </w:rPr>
        <w:t>Provision of ACs for 1</w:t>
      </w:r>
      <w:r w:rsidRPr="00097F9D">
        <w:rPr>
          <w:rFonts w:asciiTheme="minorHAnsi" w:eastAsia="Times New Roman" w:hAnsiTheme="minorHAnsi" w:cstheme="minorHAnsi"/>
          <w:sz w:val="22"/>
          <w:vertAlign w:val="superscript"/>
          <w:lang w:val="en-GB"/>
        </w:rPr>
        <w:t>st</w:t>
      </w:r>
      <w:r w:rsidRPr="00097F9D">
        <w:rPr>
          <w:rFonts w:asciiTheme="minorHAnsi" w:eastAsia="Times New Roman" w:hAnsiTheme="minorHAnsi" w:cstheme="minorHAnsi"/>
          <w:sz w:val="22"/>
          <w:lang w:val="en-GB"/>
        </w:rPr>
        <w:t xml:space="preserve"> and 2</w:t>
      </w:r>
      <w:r w:rsidRPr="00097F9D">
        <w:rPr>
          <w:rFonts w:asciiTheme="minorHAnsi" w:eastAsia="Times New Roman" w:hAnsiTheme="minorHAnsi" w:cstheme="minorHAnsi"/>
          <w:sz w:val="22"/>
          <w:vertAlign w:val="superscript"/>
          <w:lang w:val="en-GB"/>
        </w:rPr>
        <w:t>nd</w:t>
      </w:r>
      <w:r w:rsidRPr="00097F9D">
        <w:rPr>
          <w:rFonts w:asciiTheme="minorHAnsi" w:eastAsia="Times New Roman" w:hAnsiTheme="minorHAnsi" w:cstheme="minorHAnsi"/>
          <w:sz w:val="22"/>
          <w:lang w:val="en-GB"/>
        </w:rPr>
        <w:t xml:space="preserve"> line drugs store up to TU level</w:t>
      </w:r>
      <w:r>
        <w:rPr>
          <w:rFonts w:asciiTheme="minorHAnsi" w:eastAsia="Times New Roman" w:hAnsiTheme="minorHAnsi" w:cstheme="minorHAnsi"/>
          <w:sz w:val="22"/>
          <w:lang w:val="en-GB"/>
        </w:rPr>
        <w:t>s</w:t>
      </w:r>
    </w:p>
    <w:p w14:paraId="18EF6049" w14:textId="36AE545A" w:rsidR="001C3683" w:rsidRPr="002C71BB" w:rsidRDefault="00097F9D" w:rsidP="009136E5">
      <w:pPr>
        <w:pStyle w:val="ListParagraph"/>
        <w:numPr>
          <w:ilvl w:val="2"/>
          <w:numId w:val="75"/>
        </w:numPr>
        <w:tabs>
          <w:tab w:val="left" w:pos="810"/>
        </w:tabs>
        <w:spacing w:before="0" w:after="0"/>
        <w:ind w:left="504"/>
        <w:jc w:val="both"/>
        <w:rPr>
          <w:rFonts w:asciiTheme="minorHAnsi" w:eastAsia="Times New Roman" w:hAnsiTheme="minorHAnsi" w:cstheme="minorHAnsi"/>
          <w:b/>
          <w:sz w:val="22"/>
          <w:lang w:val="en-GB"/>
        </w:rPr>
      </w:pPr>
      <w:r w:rsidRPr="00097F9D">
        <w:rPr>
          <w:rFonts w:asciiTheme="minorHAnsi" w:eastAsia="Times New Roman" w:hAnsiTheme="minorHAnsi" w:cstheme="minorHAnsi"/>
          <w:b/>
          <w:sz w:val="22"/>
          <w:lang w:val="en-GB"/>
        </w:rPr>
        <w:t>Setting up state level PSM units- comprising of STO, Technical Officer, consultants for Procurement and supply chain management, with periodical support from central level</w:t>
      </w:r>
      <w:r w:rsidR="001C3683" w:rsidRPr="002C71BB">
        <w:rPr>
          <w:rFonts w:asciiTheme="minorHAnsi" w:eastAsia="Times New Roman" w:hAnsiTheme="minorHAnsi" w:cstheme="minorHAnsi"/>
          <w:b/>
          <w:sz w:val="22"/>
          <w:lang w:val="en-GB"/>
        </w:rPr>
        <w:t>:</w:t>
      </w:r>
    </w:p>
    <w:p w14:paraId="324D8E43" w14:textId="7EE0941F" w:rsidR="001C3683" w:rsidRPr="002C71BB" w:rsidRDefault="00097F9D" w:rsidP="009136E5">
      <w:pPr>
        <w:pStyle w:val="ListParagraph"/>
        <w:numPr>
          <w:ilvl w:val="3"/>
          <w:numId w:val="75"/>
        </w:numPr>
        <w:tabs>
          <w:tab w:val="left" w:pos="1530"/>
        </w:tabs>
        <w:ind w:left="1260" w:hanging="720"/>
        <w:jc w:val="both"/>
        <w:rPr>
          <w:rFonts w:asciiTheme="minorHAnsi" w:eastAsia="Times New Roman" w:hAnsiTheme="minorHAnsi" w:cstheme="minorHAnsi"/>
          <w:sz w:val="22"/>
          <w:lang w:val="en-GB"/>
        </w:rPr>
      </w:pPr>
      <w:r w:rsidRPr="00097F9D">
        <w:rPr>
          <w:rFonts w:asciiTheme="minorHAnsi" w:eastAsia="Times New Roman" w:hAnsiTheme="minorHAnsi" w:cstheme="minorHAnsi"/>
          <w:sz w:val="22"/>
          <w:lang w:val="en-GB"/>
        </w:rPr>
        <w:t>A new position for inventory manager / PSM coordinator for district level proposed</w:t>
      </w:r>
      <w:r w:rsidR="001C3683" w:rsidRPr="002C71BB">
        <w:rPr>
          <w:rFonts w:asciiTheme="minorHAnsi" w:eastAsia="Times New Roman" w:hAnsiTheme="minorHAnsi" w:cstheme="minorHAnsi"/>
          <w:sz w:val="22"/>
          <w:lang w:val="en-GB"/>
        </w:rPr>
        <w:t>.</w:t>
      </w:r>
    </w:p>
    <w:p w14:paraId="09141E1D" w14:textId="7D1EFD47" w:rsidR="001C3683" w:rsidRPr="002C71BB" w:rsidRDefault="00B026F8" w:rsidP="009136E5">
      <w:pPr>
        <w:pStyle w:val="ListParagraph"/>
        <w:numPr>
          <w:ilvl w:val="3"/>
          <w:numId w:val="75"/>
        </w:numPr>
        <w:tabs>
          <w:tab w:val="left" w:pos="1530"/>
        </w:tabs>
        <w:ind w:left="1260" w:hanging="720"/>
        <w:jc w:val="both"/>
        <w:rPr>
          <w:rFonts w:asciiTheme="minorHAnsi" w:eastAsia="Times New Roman" w:hAnsiTheme="minorHAnsi" w:cstheme="minorHAnsi"/>
          <w:sz w:val="22"/>
          <w:lang w:val="en-GB"/>
        </w:rPr>
      </w:pPr>
      <w:r w:rsidRPr="00B026F8">
        <w:rPr>
          <w:rFonts w:asciiTheme="minorHAnsi" w:eastAsia="Times New Roman" w:hAnsiTheme="minorHAnsi" w:cstheme="minorHAnsi"/>
          <w:sz w:val="22"/>
          <w:lang w:val="en-GB"/>
        </w:rPr>
        <w:t>Additional store assistant at SDS (&gt;3000 boxes being packed per month) or hiring of a state level agency for providing packing material and subsequently packaging of monthly Patient wise boxes (2</w:t>
      </w:r>
      <w:r w:rsidRPr="00B026F8">
        <w:rPr>
          <w:rFonts w:asciiTheme="minorHAnsi" w:eastAsia="Times New Roman" w:hAnsiTheme="minorHAnsi" w:cstheme="minorHAnsi"/>
          <w:sz w:val="22"/>
          <w:vertAlign w:val="superscript"/>
          <w:lang w:val="en-GB"/>
        </w:rPr>
        <w:t>nd</w:t>
      </w:r>
      <w:r w:rsidRPr="00B026F8">
        <w:rPr>
          <w:rFonts w:asciiTheme="minorHAnsi" w:eastAsia="Times New Roman" w:hAnsiTheme="minorHAnsi" w:cstheme="minorHAnsi"/>
          <w:sz w:val="22"/>
          <w:lang w:val="en-GB"/>
        </w:rPr>
        <w:t xml:space="preserve"> line</w:t>
      </w:r>
      <w:r>
        <w:rPr>
          <w:rFonts w:asciiTheme="minorHAnsi" w:eastAsia="Times New Roman" w:hAnsiTheme="minorHAnsi" w:cstheme="minorHAnsi"/>
          <w:sz w:val="22"/>
          <w:lang w:val="en-GB"/>
        </w:rPr>
        <w:t xml:space="preserve">) </w:t>
      </w:r>
    </w:p>
    <w:p w14:paraId="111A3A44" w14:textId="1E4F2B57" w:rsidR="001C3683" w:rsidRPr="001C3683" w:rsidRDefault="00B026F8" w:rsidP="009136E5">
      <w:pPr>
        <w:pStyle w:val="ListParagraph"/>
        <w:numPr>
          <w:ilvl w:val="2"/>
          <w:numId w:val="75"/>
        </w:numPr>
        <w:tabs>
          <w:tab w:val="left" w:pos="810"/>
        </w:tabs>
        <w:spacing w:before="0" w:after="0"/>
        <w:ind w:left="504"/>
        <w:jc w:val="both"/>
        <w:rPr>
          <w:rFonts w:asciiTheme="minorHAnsi" w:eastAsia="Times New Roman" w:hAnsiTheme="minorHAnsi" w:cstheme="minorHAnsi"/>
          <w:b/>
          <w:sz w:val="22"/>
          <w:lang w:val="en-GB"/>
        </w:rPr>
      </w:pPr>
      <w:r>
        <w:rPr>
          <w:rFonts w:asciiTheme="minorHAnsi" w:eastAsia="Times New Roman" w:hAnsiTheme="minorHAnsi" w:cstheme="minorHAnsi"/>
          <w:b/>
          <w:sz w:val="22"/>
          <w:lang w:val="en-GB"/>
        </w:rPr>
        <w:t>Capacity building</w:t>
      </w:r>
    </w:p>
    <w:p w14:paraId="3639F14F" w14:textId="565EC580" w:rsidR="001C3683" w:rsidRDefault="00B026F8" w:rsidP="009136E5">
      <w:pPr>
        <w:pStyle w:val="ListParagraph"/>
        <w:numPr>
          <w:ilvl w:val="3"/>
          <w:numId w:val="75"/>
        </w:numPr>
        <w:tabs>
          <w:tab w:val="left" w:pos="1530"/>
        </w:tabs>
        <w:ind w:left="1260" w:hanging="720"/>
        <w:jc w:val="both"/>
        <w:rPr>
          <w:rFonts w:asciiTheme="minorHAnsi" w:eastAsia="Times New Roman" w:hAnsiTheme="minorHAnsi" w:cstheme="minorHAnsi"/>
          <w:sz w:val="22"/>
          <w:lang w:val="en-GB"/>
        </w:rPr>
      </w:pPr>
      <w:r>
        <w:rPr>
          <w:rFonts w:asciiTheme="minorHAnsi" w:eastAsia="Times New Roman" w:hAnsiTheme="minorHAnsi" w:cstheme="minorHAnsi"/>
          <w:sz w:val="22"/>
          <w:lang w:val="en-GB"/>
        </w:rPr>
        <w:t>Prepare guidelines for the following:</w:t>
      </w:r>
    </w:p>
    <w:p w14:paraId="031C0F69" w14:textId="77777777" w:rsidR="00B026F8" w:rsidRPr="00B026F8" w:rsidRDefault="00B026F8" w:rsidP="009136E5">
      <w:pPr>
        <w:pStyle w:val="ListParagraph"/>
        <w:numPr>
          <w:ilvl w:val="3"/>
          <w:numId w:val="91"/>
        </w:numPr>
        <w:tabs>
          <w:tab w:val="left" w:pos="1530"/>
        </w:tabs>
        <w:jc w:val="both"/>
        <w:rPr>
          <w:rFonts w:asciiTheme="minorHAnsi" w:eastAsia="Times New Roman" w:hAnsiTheme="minorHAnsi" w:cstheme="minorHAnsi"/>
          <w:sz w:val="22"/>
          <w:lang w:val="en-GB"/>
        </w:rPr>
      </w:pPr>
      <w:r w:rsidRPr="00B026F8">
        <w:rPr>
          <w:rFonts w:asciiTheme="minorHAnsi" w:eastAsia="Times New Roman" w:hAnsiTheme="minorHAnsi" w:cstheme="minorHAnsi"/>
          <w:sz w:val="22"/>
          <w:lang w:val="en-GB"/>
        </w:rPr>
        <w:t xml:space="preserve">procurement of commodities at state level for Lab consumables, CBNAAT cartridges, packaging materials, </w:t>
      </w:r>
    </w:p>
    <w:p w14:paraId="6687E817" w14:textId="77777777" w:rsidR="00B026F8" w:rsidRPr="00B026F8" w:rsidRDefault="00B026F8" w:rsidP="009136E5">
      <w:pPr>
        <w:pStyle w:val="ListParagraph"/>
        <w:numPr>
          <w:ilvl w:val="3"/>
          <w:numId w:val="91"/>
        </w:numPr>
        <w:tabs>
          <w:tab w:val="left" w:pos="1530"/>
        </w:tabs>
        <w:jc w:val="both"/>
        <w:rPr>
          <w:rFonts w:asciiTheme="minorHAnsi" w:eastAsia="Times New Roman" w:hAnsiTheme="minorHAnsi" w:cstheme="minorHAnsi"/>
          <w:sz w:val="22"/>
          <w:lang w:val="en-GB"/>
        </w:rPr>
      </w:pPr>
      <w:r w:rsidRPr="00B026F8">
        <w:rPr>
          <w:rFonts w:asciiTheme="minorHAnsi" w:eastAsia="Times New Roman" w:hAnsiTheme="minorHAnsi" w:cstheme="minorHAnsi"/>
          <w:sz w:val="22"/>
          <w:lang w:val="en-GB"/>
        </w:rPr>
        <w:t xml:space="preserve">Local procurement of drugs in case of emergency (i.e. if the national level drug stock is less than 3 months or as may be directed)’ </w:t>
      </w:r>
    </w:p>
    <w:p w14:paraId="06DF9600" w14:textId="77777777" w:rsidR="00B026F8" w:rsidRPr="00B026F8" w:rsidRDefault="00B026F8" w:rsidP="009136E5">
      <w:pPr>
        <w:pStyle w:val="ListParagraph"/>
        <w:numPr>
          <w:ilvl w:val="3"/>
          <w:numId w:val="91"/>
        </w:numPr>
        <w:tabs>
          <w:tab w:val="left" w:pos="1530"/>
        </w:tabs>
        <w:jc w:val="both"/>
        <w:rPr>
          <w:rFonts w:asciiTheme="minorHAnsi" w:eastAsia="Times New Roman" w:hAnsiTheme="minorHAnsi" w:cstheme="minorHAnsi"/>
          <w:sz w:val="22"/>
          <w:lang w:val="en-GB"/>
        </w:rPr>
      </w:pPr>
      <w:r w:rsidRPr="00B026F8">
        <w:rPr>
          <w:rFonts w:asciiTheme="minorHAnsi" w:eastAsia="Times New Roman" w:hAnsiTheme="minorHAnsi" w:cstheme="minorHAnsi"/>
          <w:sz w:val="22"/>
          <w:lang w:val="en-GB"/>
        </w:rPr>
        <w:t xml:space="preserve">Transportation mechanism, </w:t>
      </w:r>
    </w:p>
    <w:p w14:paraId="4A8A27BC" w14:textId="77777777" w:rsidR="00B026F8" w:rsidRPr="00B026F8" w:rsidRDefault="00B026F8" w:rsidP="009136E5">
      <w:pPr>
        <w:pStyle w:val="ListParagraph"/>
        <w:numPr>
          <w:ilvl w:val="3"/>
          <w:numId w:val="91"/>
        </w:numPr>
        <w:tabs>
          <w:tab w:val="left" w:pos="1530"/>
        </w:tabs>
        <w:jc w:val="both"/>
        <w:rPr>
          <w:rFonts w:asciiTheme="minorHAnsi" w:eastAsia="Times New Roman" w:hAnsiTheme="minorHAnsi" w:cstheme="minorHAnsi"/>
          <w:sz w:val="22"/>
          <w:lang w:val="en-GB"/>
        </w:rPr>
      </w:pPr>
      <w:r w:rsidRPr="00B026F8">
        <w:rPr>
          <w:rFonts w:asciiTheme="minorHAnsi" w:eastAsia="Times New Roman" w:hAnsiTheme="minorHAnsi" w:cstheme="minorHAnsi"/>
          <w:sz w:val="22"/>
          <w:lang w:val="en-GB"/>
        </w:rPr>
        <w:t>Quarterly validation of data.</w:t>
      </w:r>
    </w:p>
    <w:p w14:paraId="312337CE" w14:textId="77777777" w:rsidR="00B026F8" w:rsidRPr="00B026F8" w:rsidRDefault="00B026F8" w:rsidP="009136E5">
      <w:pPr>
        <w:pStyle w:val="ListParagraph"/>
        <w:numPr>
          <w:ilvl w:val="3"/>
          <w:numId w:val="91"/>
        </w:numPr>
        <w:tabs>
          <w:tab w:val="left" w:pos="1530"/>
        </w:tabs>
        <w:jc w:val="both"/>
        <w:rPr>
          <w:rFonts w:asciiTheme="minorHAnsi" w:eastAsia="Times New Roman" w:hAnsiTheme="minorHAnsi" w:cstheme="minorHAnsi"/>
          <w:sz w:val="22"/>
          <w:lang w:val="en-GB"/>
        </w:rPr>
      </w:pPr>
      <w:r w:rsidRPr="00B026F8">
        <w:rPr>
          <w:rFonts w:asciiTheme="minorHAnsi" w:eastAsia="Times New Roman" w:hAnsiTheme="minorHAnsi" w:cstheme="minorHAnsi"/>
          <w:sz w:val="22"/>
          <w:lang w:val="en-GB"/>
        </w:rPr>
        <w:t>Insurance policy for in-transit drugs and commodities</w:t>
      </w:r>
    </w:p>
    <w:p w14:paraId="0CCBB3F1" w14:textId="2F20B1E1" w:rsidR="00B026F8" w:rsidRPr="002C71BB" w:rsidRDefault="00B026F8" w:rsidP="009136E5">
      <w:pPr>
        <w:pStyle w:val="ListParagraph"/>
        <w:numPr>
          <w:ilvl w:val="3"/>
          <w:numId w:val="91"/>
        </w:numPr>
        <w:tabs>
          <w:tab w:val="left" w:pos="1530"/>
        </w:tabs>
        <w:jc w:val="both"/>
        <w:rPr>
          <w:rFonts w:asciiTheme="minorHAnsi" w:eastAsia="Times New Roman" w:hAnsiTheme="minorHAnsi" w:cstheme="minorHAnsi"/>
          <w:sz w:val="22"/>
          <w:lang w:val="en-GB"/>
        </w:rPr>
      </w:pPr>
      <w:r w:rsidRPr="00B026F8">
        <w:rPr>
          <w:rFonts w:asciiTheme="minorHAnsi" w:eastAsia="Times New Roman" w:hAnsiTheme="minorHAnsi" w:cstheme="minorHAnsi"/>
          <w:sz w:val="22"/>
          <w:lang w:val="en-GB"/>
        </w:rPr>
        <w:t xml:space="preserve">Annual Maintenance Contracts  </w:t>
      </w:r>
    </w:p>
    <w:p w14:paraId="67EB3CC9" w14:textId="664B3587" w:rsidR="001C3683" w:rsidRPr="002C71BB" w:rsidRDefault="00B026F8" w:rsidP="009136E5">
      <w:pPr>
        <w:pStyle w:val="ListParagraph"/>
        <w:numPr>
          <w:ilvl w:val="3"/>
          <w:numId w:val="75"/>
        </w:numPr>
        <w:tabs>
          <w:tab w:val="left" w:pos="1530"/>
        </w:tabs>
        <w:ind w:left="1260" w:hanging="720"/>
        <w:jc w:val="both"/>
        <w:rPr>
          <w:rFonts w:asciiTheme="minorHAnsi" w:eastAsia="Times New Roman" w:hAnsiTheme="minorHAnsi" w:cstheme="minorHAnsi"/>
          <w:sz w:val="22"/>
          <w:lang w:val="en-GB"/>
        </w:rPr>
      </w:pPr>
      <w:r w:rsidRPr="00B026F8">
        <w:rPr>
          <w:rFonts w:asciiTheme="minorHAnsi" w:eastAsia="Times New Roman" w:hAnsiTheme="minorHAnsi" w:cstheme="minorHAnsi"/>
          <w:sz w:val="22"/>
          <w:lang w:val="en-GB"/>
        </w:rPr>
        <w:t>State Level trainings for new recruits and appointees under drug management, training and officials from Government Medical Stores Depots</w:t>
      </w:r>
    </w:p>
    <w:p w14:paraId="3A343F0B" w14:textId="490F69D5" w:rsidR="00B026F8" w:rsidRPr="00B026F8" w:rsidRDefault="00B026F8" w:rsidP="009136E5">
      <w:pPr>
        <w:pStyle w:val="ListParagraph"/>
        <w:numPr>
          <w:ilvl w:val="2"/>
          <w:numId w:val="75"/>
        </w:numPr>
        <w:tabs>
          <w:tab w:val="left" w:pos="810"/>
        </w:tabs>
        <w:spacing w:before="0" w:after="0"/>
        <w:ind w:left="504"/>
        <w:jc w:val="both"/>
        <w:rPr>
          <w:rFonts w:asciiTheme="minorHAnsi" w:eastAsia="Times New Roman" w:hAnsiTheme="minorHAnsi" w:cstheme="minorHAnsi"/>
          <w:sz w:val="22"/>
          <w:lang w:val="en-GB"/>
        </w:rPr>
      </w:pPr>
      <w:r w:rsidRPr="00B026F8">
        <w:rPr>
          <w:rFonts w:asciiTheme="minorHAnsi" w:eastAsia="Times New Roman" w:hAnsiTheme="minorHAnsi" w:cstheme="minorHAnsi"/>
          <w:b/>
          <w:sz w:val="22"/>
          <w:lang w:val="en-GB"/>
        </w:rPr>
        <w:t>LSCM solutions from D</w:t>
      </w:r>
      <w:r w:rsidR="00056B35">
        <w:rPr>
          <w:rFonts w:asciiTheme="minorHAnsi" w:eastAsia="Times New Roman" w:hAnsiTheme="minorHAnsi" w:cstheme="minorHAnsi"/>
          <w:b/>
          <w:sz w:val="22"/>
          <w:lang w:val="en-GB"/>
        </w:rPr>
        <w:t xml:space="preserve">istrict </w:t>
      </w:r>
      <w:r w:rsidRPr="00B026F8">
        <w:rPr>
          <w:rFonts w:asciiTheme="minorHAnsi" w:eastAsia="Times New Roman" w:hAnsiTheme="minorHAnsi" w:cstheme="minorHAnsi"/>
          <w:b/>
          <w:sz w:val="22"/>
          <w:lang w:val="en-GB"/>
        </w:rPr>
        <w:t>D</w:t>
      </w:r>
      <w:r w:rsidR="00056B35">
        <w:rPr>
          <w:rFonts w:asciiTheme="minorHAnsi" w:eastAsia="Times New Roman" w:hAnsiTheme="minorHAnsi" w:cstheme="minorHAnsi"/>
          <w:b/>
          <w:sz w:val="22"/>
          <w:lang w:val="en-GB"/>
        </w:rPr>
        <w:t xml:space="preserve">rug </w:t>
      </w:r>
      <w:r w:rsidRPr="00B026F8">
        <w:rPr>
          <w:rFonts w:asciiTheme="minorHAnsi" w:eastAsia="Times New Roman" w:hAnsiTheme="minorHAnsi" w:cstheme="minorHAnsi"/>
          <w:b/>
          <w:sz w:val="22"/>
          <w:lang w:val="en-GB"/>
        </w:rPr>
        <w:t>S</w:t>
      </w:r>
      <w:r w:rsidR="00056B35">
        <w:rPr>
          <w:rFonts w:asciiTheme="minorHAnsi" w:eastAsia="Times New Roman" w:hAnsiTheme="minorHAnsi" w:cstheme="minorHAnsi"/>
          <w:b/>
          <w:sz w:val="22"/>
          <w:lang w:val="en-GB"/>
        </w:rPr>
        <w:t>tores</w:t>
      </w:r>
      <w:r w:rsidRPr="00B026F8">
        <w:rPr>
          <w:rFonts w:asciiTheme="minorHAnsi" w:eastAsia="Times New Roman" w:hAnsiTheme="minorHAnsi" w:cstheme="minorHAnsi"/>
          <w:b/>
          <w:sz w:val="22"/>
          <w:lang w:val="en-GB"/>
        </w:rPr>
        <w:t xml:space="preserve"> to PHI level –</w:t>
      </w:r>
      <w:r w:rsidRPr="00B026F8">
        <w:rPr>
          <w:rFonts w:asciiTheme="minorHAnsi" w:eastAsia="Times New Roman" w:hAnsiTheme="minorHAnsi" w:cstheme="minorHAnsi"/>
          <w:sz w:val="22"/>
          <w:lang w:val="en-GB"/>
        </w:rPr>
        <w:t xml:space="preserve"> Establishing / strengthening of transportation system </w:t>
      </w:r>
      <w:r w:rsidRPr="00056B35">
        <w:rPr>
          <w:rFonts w:asciiTheme="minorHAnsi" w:eastAsia="Times New Roman" w:hAnsiTheme="minorHAnsi" w:cstheme="minorHAnsi"/>
          <w:b/>
          <w:sz w:val="22"/>
          <w:lang w:val="en-GB"/>
        </w:rPr>
        <w:t>through third party logistics (3PL system)</w:t>
      </w:r>
    </w:p>
    <w:p w14:paraId="7294184F" w14:textId="77777777" w:rsidR="00B026F8" w:rsidRPr="00B026F8" w:rsidRDefault="001C3683" w:rsidP="009136E5">
      <w:pPr>
        <w:pStyle w:val="ListParagraph"/>
        <w:numPr>
          <w:ilvl w:val="2"/>
          <w:numId w:val="75"/>
        </w:numPr>
        <w:tabs>
          <w:tab w:val="left" w:pos="810"/>
        </w:tabs>
        <w:spacing w:before="0" w:after="0"/>
        <w:ind w:left="504"/>
        <w:jc w:val="both"/>
        <w:rPr>
          <w:rFonts w:asciiTheme="minorHAnsi" w:eastAsia="Times New Roman" w:hAnsiTheme="minorHAnsi" w:cstheme="minorHAnsi"/>
          <w:sz w:val="22"/>
          <w:lang w:val="en-GB"/>
        </w:rPr>
      </w:pPr>
      <w:r w:rsidRPr="001C3683">
        <w:rPr>
          <w:rFonts w:asciiTheme="minorHAnsi" w:eastAsia="Times New Roman" w:hAnsiTheme="minorHAnsi" w:cstheme="minorHAnsi"/>
          <w:b/>
          <w:sz w:val="22"/>
          <w:lang w:val="en-GB"/>
        </w:rPr>
        <w:t xml:space="preserve">Mobile Vans - </w:t>
      </w:r>
      <w:r w:rsidR="00B026F8" w:rsidRPr="00B026F8">
        <w:rPr>
          <w:rFonts w:asciiTheme="minorHAnsi" w:eastAsia="Times New Roman" w:hAnsiTheme="minorHAnsi" w:cstheme="minorHAnsi"/>
          <w:sz w:val="22"/>
          <w:lang w:val="en-GB"/>
        </w:rPr>
        <w:t>Mechanism for thorough Upkeep &amp; Uptime maintenance of Mobile Medical Vans &amp; Equipment mounted on the van and maintaining Human Resource position to keep the Van in running state.</w:t>
      </w:r>
    </w:p>
    <w:p w14:paraId="359C1D45" w14:textId="43958D16" w:rsidR="001C3683" w:rsidRPr="00B026F8" w:rsidRDefault="001C3683" w:rsidP="009136E5">
      <w:pPr>
        <w:pStyle w:val="ListParagraph"/>
        <w:numPr>
          <w:ilvl w:val="2"/>
          <w:numId w:val="75"/>
        </w:numPr>
        <w:tabs>
          <w:tab w:val="left" w:pos="810"/>
        </w:tabs>
        <w:spacing w:before="0" w:after="0"/>
        <w:ind w:left="504"/>
        <w:jc w:val="both"/>
        <w:rPr>
          <w:rFonts w:asciiTheme="minorHAnsi" w:eastAsia="Times New Roman" w:hAnsiTheme="minorHAnsi" w:cstheme="minorHAnsi"/>
          <w:sz w:val="22"/>
          <w:lang w:val="en-GB"/>
        </w:rPr>
      </w:pPr>
      <w:r w:rsidRPr="00B026F8">
        <w:rPr>
          <w:rFonts w:asciiTheme="minorHAnsi" w:eastAsia="Times New Roman" w:hAnsiTheme="minorHAnsi" w:cstheme="minorHAnsi"/>
          <w:b/>
          <w:bCs/>
          <w:sz w:val="22"/>
          <w:lang w:val="en-GB"/>
        </w:rPr>
        <w:t>Supervision and M&amp;E</w:t>
      </w:r>
      <w:r w:rsidR="00B026F8" w:rsidRPr="00B026F8">
        <w:rPr>
          <w:rFonts w:asciiTheme="minorHAnsi" w:eastAsia="Times New Roman" w:hAnsiTheme="minorHAnsi" w:cstheme="minorHAnsi"/>
          <w:b/>
          <w:bCs/>
          <w:sz w:val="22"/>
          <w:lang w:val="en-GB"/>
        </w:rPr>
        <w:t xml:space="preserve">: </w:t>
      </w:r>
      <w:r w:rsidRPr="00B026F8">
        <w:rPr>
          <w:rFonts w:asciiTheme="minorHAnsi" w:eastAsia="Times New Roman" w:hAnsiTheme="minorHAnsi" w:cstheme="minorHAnsi"/>
          <w:sz w:val="22"/>
          <w:lang w:val="en-GB"/>
        </w:rPr>
        <w:t>Monthly field visits by representatives of the central team covering SDS, at least 2 DTCs, 4 TUs and 4 PHIs in a state.</w:t>
      </w:r>
    </w:p>
    <w:p w14:paraId="6C41EE3C" w14:textId="6271D4F5" w:rsidR="001C3683" w:rsidRPr="001C3683" w:rsidRDefault="001C3683" w:rsidP="009136E5">
      <w:pPr>
        <w:pStyle w:val="ListParagraph"/>
        <w:numPr>
          <w:ilvl w:val="2"/>
          <w:numId w:val="75"/>
        </w:numPr>
        <w:tabs>
          <w:tab w:val="left" w:pos="810"/>
        </w:tabs>
        <w:spacing w:before="0" w:after="0"/>
        <w:ind w:left="504"/>
        <w:jc w:val="both"/>
        <w:rPr>
          <w:rFonts w:asciiTheme="minorHAnsi" w:eastAsia="Times New Roman" w:hAnsiTheme="minorHAnsi" w:cstheme="minorHAnsi"/>
          <w:b/>
          <w:sz w:val="22"/>
          <w:lang w:val="en-GB"/>
        </w:rPr>
      </w:pPr>
      <w:r w:rsidRPr="001C3683">
        <w:rPr>
          <w:rFonts w:asciiTheme="minorHAnsi" w:eastAsia="Times New Roman" w:hAnsiTheme="minorHAnsi" w:cstheme="minorHAnsi"/>
          <w:b/>
          <w:sz w:val="22"/>
          <w:lang w:val="en-GB"/>
        </w:rPr>
        <w:t xml:space="preserve">States mandatorily to write off up to 2% of cost of annual supply of expiry drugs &amp; commodities </w:t>
      </w:r>
      <w:r w:rsidRPr="00955C0A">
        <w:rPr>
          <w:rFonts w:asciiTheme="minorHAnsi" w:eastAsia="Times New Roman" w:hAnsiTheme="minorHAnsi" w:cstheme="minorHAnsi"/>
          <w:sz w:val="22"/>
          <w:lang w:val="en-GB"/>
        </w:rPr>
        <w:t>under intimation to CTD (annually) following waste management guidelines</w:t>
      </w:r>
    </w:p>
    <w:p w14:paraId="0B61444D" w14:textId="77777777" w:rsidR="00955C0A" w:rsidRDefault="00955C0A" w:rsidP="002C71BB">
      <w:pPr>
        <w:pStyle w:val="ListParagraph"/>
        <w:tabs>
          <w:tab w:val="left" w:pos="1530"/>
        </w:tabs>
        <w:ind w:left="0"/>
        <w:jc w:val="both"/>
        <w:rPr>
          <w:rFonts w:asciiTheme="minorHAnsi" w:eastAsia="Times New Roman" w:hAnsiTheme="minorHAnsi" w:cstheme="minorHAnsi"/>
          <w:b/>
          <w:sz w:val="22"/>
          <w:lang w:val="en-GB"/>
        </w:rPr>
      </w:pPr>
    </w:p>
    <w:p w14:paraId="74C8E534" w14:textId="264F2D98" w:rsidR="001C3683" w:rsidRPr="002E76F9" w:rsidRDefault="001C3683" w:rsidP="002C71BB">
      <w:pPr>
        <w:pStyle w:val="ListParagraph"/>
        <w:tabs>
          <w:tab w:val="left" w:pos="1530"/>
        </w:tabs>
        <w:ind w:left="0"/>
        <w:jc w:val="both"/>
        <w:rPr>
          <w:rFonts w:asciiTheme="minorHAnsi" w:eastAsia="Times New Roman" w:hAnsiTheme="minorHAnsi" w:cstheme="minorHAnsi"/>
          <w:sz w:val="22"/>
          <w:lang w:val="en-GB"/>
        </w:rPr>
      </w:pPr>
      <w:r w:rsidRPr="002E76F9">
        <w:rPr>
          <w:rFonts w:asciiTheme="minorHAnsi" w:eastAsia="Times New Roman" w:hAnsiTheme="minorHAnsi" w:cstheme="minorHAnsi"/>
          <w:sz w:val="22"/>
          <w:lang w:val="en-GB"/>
        </w:rPr>
        <w:t>As the country ramps up diagnostic services, the availability of drugs shall concomitantly increase to support the requirement of the program. With the planned strategies and its rapid implementation, the procurement and supply chain management which is the backbone of the NTEP would provide quality, sustainable and efficient services for the benefit of all TB patients.</w:t>
      </w:r>
    </w:p>
    <w:p w14:paraId="17E6CA66" w14:textId="545FF5ED" w:rsidR="00061D34" w:rsidRPr="0016039D" w:rsidRDefault="00061D34" w:rsidP="009136E5">
      <w:pPr>
        <w:pStyle w:val="ListParagraph"/>
        <w:numPr>
          <w:ilvl w:val="1"/>
          <w:numId w:val="75"/>
        </w:numPr>
        <w:spacing w:before="0" w:after="0"/>
        <w:jc w:val="both"/>
        <w:rPr>
          <w:rFonts w:asciiTheme="minorHAnsi" w:eastAsia="Times New Roman" w:hAnsiTheme="minorHAnsi" w:cstheme="minorHAnsi"/>
          <w:b/>
          <w:sz w:val="22"/>
        </w:rPr>
      </w:pPr>
      <w:r w:rsidRPr="0016039D">
        <w:rPr>
          <w:rFonts w:asciiTheme="minorHAnsi" w:eastAsia="Times New Roman" w:hAnsiTheme="minorHAnsi" w:cstheme="minorHAnsi"/>
          <w:b/>
          <w:sz w:val="22"/>
        </w:rPr>
        <w:br w:type="page"/>
      </w:r>
    </w:p>
    <w:p w14:paraId="7BEC5D35" w14:textId="5CD50670" w:rsidR="005B1311" w:rsidRDefault="00061D34" w:rsidP="00061D34">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8D4EB2">
        <w:rPr>
          <w:rFonts w:asciiTheme="minorHAnsi" w:hAnsiTheme="minorHAnsi" w:cstheme="minorHAnsi"/>
          <w:b/>
          <w:snapToGrid w:val="0"/>
          <w:color w:val="auto"/>
          <w:sz w:val="36"/>
        </w:rPr>
        <w:t>1</w:t>
      </w:r>
      <w:r w:rsidR="00BE594E">
        <w:rPr>
          <w:rFonts w:asciiTheme="minorHAnsi" w:hAnsiTheme="minorHAnsi" w:cstheme="minorHAnsi"/>
          <w:b/>
          <w:snapToGrid w:val="0"/>
          <w:color w:val="auto"/>
          <w:sz w:val="36"/>
        </w:rPr>
        <w:t>8</w:t>
      </w:r>
    </w:p>
    <w:p w14:paraId="3D988E02" w14:textId="3F3F4BD4" w:rsidR="005B1311" w:rsidRPr="006B7923" w:rsidRDefault="005B1311" w:rsidP="005B1311">
      <w:pPr>
        <w:shd w:val="clear" w:color="auto" w:fill="17365D" w:themeFill="text2" w:themeFillShade="BF"/>
        <w:spacing w:before="0" w:after="0"/>
        <w:jc w:val="right"/>
        <w:rPr>
          <w:b/>
          <w:sz w:val="28"/>
        </w:rPr>
      </w:pPr>
      <w:r>
        <w:rPr>
          <w:b/>
          <w:sz w:val="28"/>
        </w:rPr>
        <w:t xml:space="preserve">NSP </w:t>
      </w:r>
      <w:r w:rsidRPr="006B7923">
        <w:rPr>
          <w:b/>
          <w:sz w:val="28"/>
        </w:rPr>
        <w:t>STRATEGIC AREA 1.</w:t>
      </w:r>
      <w:r>
        <w:rPr>
          <w:b/>
          <w:sz w:val="28"/>
        </w:rPr>
        <w:t>1</w:t>
      </w:r>
      <w:r w:rsidRPr="006B7923">
        <w:rPr>
          <w:b/>
          <w:sz w:val="28"/>
        </w:rPr>
        <w:t>1</w:t>
      </w:r>
    </w:p>
    <w:p w14:paraId="259B8A20" w14:textId="28A96E7A" w:rsidR="00061D34" w:rsidRPr="00734B6A" w:rsidRDefault="00C62BA7" w:rsidP="00C62BA7">
      <w:pPr>
        <w:pStyle w:val="Heading1"/>
        <w:tabs>
          <w:tab w:val="left" w:pos="2160"/>
          <w:tab w:val="num" w:pos="5670"/>
        </w:tabs>
        <w:ind w:left="1710" w:hanging="90"/>
        <w:rPr>
          <w:rFonts w:asciiTheme="minorHAnsi" w:hAnsiTheme="minorHAnsi" w:cstheme="minorHAnsi"/>
          <w:b/>
          <w:snapToGrid w:val="0"/>
          <w:color w:val="auto"/>
        </w:rPr>
      </w:pPr>
      <w:r>
        <w:rPr>
          <w:rFonts w:asciiTheme="minorHAnsi" w:hAnsiTheme="minorHAnsi" w:cstheme="minorHAnsi"/>
          <w:b/>
          <w:snapToGrid w:val="0"/>
          <w:color w:val="auto"/>
        </w:rPr>
        <w:t xml:space="preserve">   </w:t>
      </w:r>
      <w:r w:rsidR="008D4EB2" w:rsidRPr="008D4EB2">
        <w:rPr>
          <w:rFonts w:asciiTheme="minorHAnsi" w:hAnsiTheme="minorHAnsi" w:cstheme="minorHAnsi"/>
          <w:b/>
          <w:snapToGrid w:val="0"/>
          <w:color w:val="auto"/>
        </w:rPr>
        <w:t xml:space="preserve">digital </w:t>
      </w:r>
      <w:r>
        <w:rPr>
          <w:rFonts w:asciiTheme="minorHAnsi" w:hAnsiTheme="minorHAnsi" w:cstheme="minorHAnsi"/>
          <w:b/>
          <w:snapToGrid w:val="0"/>
          <w:color w:val="auto"/>
        </w:rPr>
        <w:t>information ecosystem</w:t>
      </w:r>
      <w:r w:rsidR="008D4EB2" w:rsidRPr="008D4EB2">
        <w:rPr>
          <w:rFonts w:asciiTheme="minorHAnsi" w:hAnsiTheme="minorHAnsi" w:cstheme="minorHAnsi"/>
          <w:b/>
          <w:snapToGrid w:val="0"/>
          <w:color w:val="auto"/>
        </w:rPr>
        <w:t xml:space="preserve"> for TB care</w:t>
      </w:r>
    </w:p>
    <w:p w14:paraId="2C6D2693" w14:textId="7DB79BAD" w:rsidR="0075389F" w:rsidRPr="00C45A90" w:rsidRDefault="00213555"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8</w:t>
      </w:r>
      <w:r>
        <w:rPr>
          <w:rFonts w:asciiTheme="minorHAnsi" w:hAnsiTheme="minorHAnsi" w:cstheme="minorHAnsi"/>
          <w:b/>
          <w:color w:val="C86A07" w:themeColor="accent2" w:themeShade="BF"/>
          <w:sz w:val="28"/>
          <w:lang w:val="en"/>
        </w:rPr>
        <w:t xml:space="preserve">.1 </w:t>
      </w:r>
      <w:r w:rsidR="0075389F" w:rsidRPr="00C45A90">
        <w:rPr>
          <w:rFonts w:asciiTheme="minorHAnsi" w:hAnsiTheme="minorHAnsi" w:cstheme="minorHAnsi"/>
          <w:b/>
          <w:color w:val="C86A07" w:themeColor="accent2" w:themeShade="BF"/>
          <w:sz w:val="28"/>
          <w:lang w:val="en"/>
        </w:rPr>
        <w:t>INTRODUCTION</w:t>
      </w:r>
    </w:p>
    <w:p w14:paraId="138912B0" w14:textId="77777777" w:rsidR="00A618FA" w:rsidRPr="00A618FA" w:rsidRDefault="00A618FA" w:rsidP="00A618FA">
      <w:pPr>
        <w:pStyle w:val="NormalWeb"/>
        <w:jc w:val="both"/>
        <w:rPr>
          <w:rFonts w:asciiTheme="minorHAnsi" w:hAnsiTheme="minorHAnsi" w:cstheme="minorHAnsi"/>
          <w:color w:val="000000"/>
          <w:sz w:val="22"/>
        </w:rPr>
      </w:pPr>
      <w:r w:rsidRPr="00A618FA">
        <w:rPr>
          <w:rFonts w:asciiTheme="minorHAnsi" w:hAnsiTheme="minorHAnsi" w:cstheme="minorHAnsi"/>
          <w:color w:val="000000"/>
          <w:sz w:val="22"/>
        </w:rPr>
        <w:t xml:space="preserve">Data, information and knowledge has become the foundation on which an effective enterprise is built. The digital information era provides us with tremendous opportunities to collect and process large quantities of programme data, from numerous sources and locations to generate information in a near real time. This when translated to insights and knowledge, would lead to more agile, responsive, effective and efficient program management. </w:t>
      </w:r>
    </w:p>
    <w:p w14:paraId="0C9EA1EA" w14:textId="77777777" w:rsidR="00A618FA" w:rsidRPr="00A618FA" w:rsidRDefault="00A618FA" w:rsidP="00A618FA">
      <w:pPr>
        <w:pStyle w:val="NormalWeb"/>
        <w:jc w:val="both"/>
        <w:rPr>
          <w:rFonts w:asciiTheme="minorHAnsi" w:hAnsiTheme="minorHAnsi" w:cstheme="minorHAnsi"/>
          <w:color w:val="000000"/>
          <w:sz w:val="22"/>
        </w:rPr>
      </w:pPr>
    </w:p>
    <w:p w14:paraId="3CB6356C" w14:textId="1E971070" w:rsidR="00A618FA" w:rsidRPr="00A618FA" w:rsidRDefault="00A618FA" w:rsidP="00A618FA">
      <w:pPr>
        <w:pStyle w:val="NormalWeb"/>
        <w:jc w:val="both"/>
        <w:rPr>
          <w:rFonts w:asciiTheme="minorHAnsi" w:hAnsiTheme="minorHAnsi" w:cstheme="minorHAnsi"/>
          <w:color w:val="000000"/>
          <w:sz w:val="22"/>
        </w:rPr>
      </w:pPr>
      <w:r w:rsidRPr="00A618FA">
        <w:rPr>
          <w:rFonts w:asciiTheme="minorHAnsi" w:hAnsiTheme="minorHAnsi" w:cstheme="minorHAnsi"/>
          <w:color w:val="000000"/>
          <w:sz w:val="22"/>
        </w:rPr>
        <w:t xml:space="preserve">The digital technologies include information system (incl. web and mobile based applications and tools), the internet of things (IoT) with telecommunication networks; big-data analytics; and artificial intelligence (AI) that uses deep learning.  Never has the need for translation of data into real-time insights for decision makers been so keenly felt as during the ongoing pandemic of COVD19. The pandemic has reinforced the need for high quality, and timely data and the use of digital technologies for making sense of it and respond at speed and scale. The COVID-19 pandemic is also potentially transforming the global health community’s acceptance and use of digital health </w:t>
      </w:r>
      <w:r w:rsidR="00F51523" w:rsidRPr="00A618FA">
        <w:rPr>
          <w:rFonts w:asciiTheme="minorHAnsi" w:hAnsiTheme="minorHAnsi" w:cstheme="minorHAnsi"/>
          <w:color w:val="000000"/>
          <w:sz w:val="22"/>
        </w:rPr>
        <w:t xml:space="preserve">technologies. </w:t>
      </w:r>
    </w:p>
    <w:p w14:paraId="352C388B" w14:textId="77777777" w:rsidR="00A618FA" w:rsidRPr="00A618FA" w:rsidRDefault="00A618FA" w:rsidP="00A618FA">
      <w:pPr>
        <w:pStyle w:val="NormalWeb"/>
        <w:jc w:val="both"/>
        <w:rPr>
          <w:rFonts w:asciiTheme="minorHAnsi" w:hAnsiTheme="minorHAnsi" w:cstheme="minorHAnsi"/>
          <w:color w:val="000000"/>
          <w:sz w:val="22"/>
        </w:rPr>
      </w:pPr>
      <w:r w:rsidRPr="00A618FA">
        <w:rPr>
          <w:rFonts w:asciiTheme="minorHAnsi" w:hAnsiTheme="minorHAnsi" w:cstheme="minorHAnsi"/>
          <w:color w:val="000000"/>
          <w:sz w:val="22"/>
        </w:rPr>
        <w:t>There has never been a better time to achieve impact with the data that is being produced by the NTEP. Programme data has not only increased in volume; it has also gained tremendous richness and diversity. More and more data is available, computing power is ever increasing, and mathematical techniques, and data science and analytics are getting more and more advanced</w:t>
      </w:r>
    </w:p>
    <w:p w14:paraId="728CF27D" w14:textId="7C81EAD5" w:rsidR="00BB03B3" w:rsidRPr="002E76F9" w:rsidRDefault="00A618FA" w:rsidP="00A618FA">
      <w:pPr>
        <w:pStyle w:val="NormalWeb"/>
        <w:jc w:val="both"/>
        <w:rPr>
          <w:rFonts w:asciiTheme="minorHAnsi" w:hAnsiTheme="minorHAnsi" w:cstheme="minorHAnsi"/>
          <w:sz w:val="22"/>
        </w:rPr>
      </w:pPr>
      <w:r w:rsidRPr="00A618FA">
        <w:rPr>
          <w:rFonts w:asciiTheme="minorHAnsi" w:hAnsiTheme="minorHAnsi" w:cstheme="minorHAnsi"/>
          <w:color w:val="000000"/>
          <w:sz w:val="22"/>
        </w:rPr>
        <w:t xml:space="preserve">This NSP 2020 2025 will aggressively pursue the expansion of the digital information ecosystem over the next five years with the stated vision to create a </w:t>
      </w:r>
      <w:r w:rsidRPr="00A618FA">
        <w:rPr>
          <w:rFonts w:asciiTheme="minorHAnsi" w:hAnsiTheme="minorHAnsi" w:cstheme="minorHAnsi"/>
          <w:b/>
          <w:bCs/>
          <w:color w:val="000000"/>
          <w:sz w:val="22"/>
        </w:rPr>
        <w:t xml:space="preserve">digital information ecosystem where information is captured in real time, processed and visualized, enabling efficient service delivery and responsive program management, driving TB Elimination in India and all over the world. </w:t>
      </w:r>
      <w:r w:rsidRPr="00A618FA">
        <w:rPr>
          <w:rFonts w:asciiTheme="minorHAnsi" w:hAnsiTheme="minorHAnsi" w:cstheme="minorHAnsi"/>
          <w:color w:val="000000"/>
          <w:sz w:val="22"/>
        </w:rPr>
        <w:t>To realize the goal of END TB in India by 2025 it is imperative to leverage the strength of the digital information system complete with adopting and effectively applying Artificial Intelligence (AI), and analytics. This will result by:</w:t>
      </w:r>
    </w:p>
    <w:p w14:paraId="243FAA43" w14:textId="602870BC" w:rsidR="00BB03B3" w:rsidRPr="00BB03B3" w:rsidRDefault="00BB03B3" w:rsidP="00442A67">
      <w:pPr>
        <w:pStyle w:val="NormalWeb"/>
        <w:numPr>
          <w:ilvl w:val="0"/>
          <w:numId w:val="48"/>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Transition</w:t>
      </w:r>
      <w:r w:rsidR="00A618FA">
        <w:rPr>
          <w:rFonts w:asciiTheme="minorHAnsi" w:hAnsiTheme="minorHAnsi" w:cstheme="minorHAnsi"/>
          <w:color w:val="000000"/>
          <w:sz w:val="22"/>
        </w:rPr>
        <w:t>ing</w:t>
      </w:r>
      <w:r w:rsidRPr="00BB03B3">
        <w:rPr>
          <w:rFonts w:asciiTheme="minorHAnsi" w:hAnsiTheme="minorHAnsi" w:cstheme="minorHAnsi"/>
          <w:color w:val="000000"/>
          <w:sz w:val="22"/>
        </w:rPr>
        <w:t xml:space="preserve"> to a completely digital mode of operation where information is captured at the point of its generation on a real time basis and paper records are printed copies of electronic records.</w:t>
      </w:r>
    </w:p>
    <w:p w14:paraId="397381C4" w14:textId="603AE553" w:rsidR="00BB03B3" w:rsidRPr="00BB03B3" w:rsidRDefault="00BB03B3" w:rsidP="00442A67">
      <w:pPr>
        <w:pStyle w:val="NormalWeb"/>
        <w:numPr>
          <w:ilvl w:val="0"/>
          <w:numId w:val="48"/>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Establish</w:t>
      </w:r>
      <w:r w:rsidR="00A618FA">
        <w:rPr>
          <w:rFonts w:asciiTheme="minorHAnsi" w:hAnsiTheme="minorHAnsi" w:cstheme="minorHAnsi"/>
          <w:color w:val="000000"/>
          <w:sz w:val="22"/>
        </w:rPr>
        <w:t>ing</w:t>
      </w:r>
      <w:r w:rsidRPr="00BB03B3">
        <w:rPr>
          <w:rFonts w:asciiTheme="minorHAnsi" w:hAnsiTheme="minorHAnsi" w:cstheme="minorHAnsi"/>
          <w:color w:val="000000"/>
          <w:sz w:val="22"/>
        </w:rPr>
        <w:t xml:space="preserve"> ICT enabled state-of-art surveillance and program monitoring system, enabling users to data driven action and continuously improve service delivery, (including adherence monitoring and universal access to free drugs and diagnostics)</w:t>
      </w:r>
    </w:p>
    <w:p w14:paraId="1F46033D" w14:textId="77777777" w:rsidR="00BB03B3" w:rsidRPr="00BB03B3" w:rsidRDefault="00BB03B3" w:rsidP="00442A67">
      <w:pPr>
        <w:pStyle w:val="NormalWeb"/>
        <w:numPr>
          <w:ilvl w:val="0"/>
          <w:numId w:val="48"/>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Enabling availability of information for general population at large for data driven transparency and accountability</w:t>
      </w:r>
    </w:p>
    <w:p w14:paraId="5BF6F621" w14:textId="2ACC7102" w:rsidR="00BB03B3" w:rsidRPr="00BB03B3" w:rsidRDefault="00BB03B3" w:rsidP="00442A67">
      <w:pPr>
        <w:pStyle w:val="NormalWeb"/>
        <w:numPr>
          <w:ilvl w:val="0"/>
          <w:numId w:val="48"/>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Comply</w:t>
      </w:r>
      <w:r w:rsidR="00A618FA">
        <w:rPr>
          <w:rFonts w:asciiTheme="minorHAnsi" w:hAnsiTheme="minorHAnsi" w:cstheme="minorHAnsi"/>
          <w:color w:val="000000"/>
          <w:sz w:val="22"/>
        </w:rPr>
        <w:t>ing</w:t>
      </w:r>
      <w:r w:rsidRPr="00BB03B3">
        <w:rPr>
          <w:rFonts w:asciiTheme="minorHAnsi" w:hAnsiTheme="minorHAnsi" w:cstheme="minorHAnsi"/>
          <w:color w:val="000000"/>
          <w:sz w:val="22"/>
        </w:rPr>
        <w:t xml:space="preserve"> to EHR standards of Government of India, enabling interoperability and Integration with other ICT systems of MoHFW to cont</w:t>
      </w:r>
      <w:r w:rsidR="00470B2B">
        <w:rPr>
          <w:rFonts w:asciiTheme="minorHAnsi" w:hAnsiTheme="minorHAnsi" w:cstheme="minorHAnsi"/>
          <w:color w:val="000000"/>
          <w:sz w:val="22"/>
        </w:rPr>
        <w:t>ribute towards the creation of l</w:t>
      </w:r>
      <w:r w:rsidRPr="00BB03B3">
        <w:rPr>
          <w:rFonts w:asciiTheme="minorHAnsi" w:hAnsiTheme="minorHAnsi" w:cstheme="minorHAnsi"/>
          <w:color w:val="000000"/>
          <w:sz w:val="22"/>
        </w:rPr>
        <w:t>ongitudinal health records of individuals.</w:t>
      </w:r>
    </w:p>
    <w:p w14:paraId="2C4D27F5" w14:textId="2BF8B5DB" w:rsidR="00BB03B3" w:rsidRDefault="00BB03B3" w:rsidP="00442A67">
      <w:pPr>
        <w:pStyle w:val="NormalWeb"/>
        <w:numPr>
          <w:ilvl w:val="0"/>
          <w:numId w:val="48"/>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lastRenderedPageBreak/>
        <w:t>Creat</w:t>
      </w:r>
      <w:r w:rsidR="00A618FA">
        <w:rPr>
          <w:rFonts w:asciiTheme="minorHAnsi" w:hAnsiTheme="minorHAnsi" w:cstheme="minorHAnsi"/>
          <w:color w:val="000000"/>
          <w:sz w:val="22"/>
        </w:rPr>
        <w:t>ing</w:t>
      </w:r>
      <w:r w:rsidRPr="00BB03B3">
        <w:rPr>
          <w:rFonts w:asciiTheme="minorHAnsi" w:hAnsiTheme="minorHAnsi" w:cstheme="minorHAnsi"/>
          <w:color w:val="000000"/>
          <w:sz w:val="22"/>
        </w:rPr>
        <w:t xml:space="preserve"> a scalable ICT ecosystem which can be replicated in other high TB burden countries or leveraged for management of other National health programs of similar scale in India. </w:t>
      </w:r>
    </w:p>
    <w:p w14:paraId="0FF83B7C" w14:textId="290A828E" w:rsidR="006F3879" w:rsidRPr="00622EE9" w:rsidRDefault="006F3879" w:rsidP="00442A67">
      <w:pPr>
        <w:pStyle w:val="NormalWeb"/>
        <w:numPr>
          <w:ilvl w:val="0"/>
          <w:numId w:val="48"/>
        </w:numPr>
        <w:jc w:val="both"/>
        <w:textAlignment w:val="baseline"/>
        <w:rPr>
          <w:rFonts w:asciiTheme="minorHAnsi" w:hAnsiTheme="minorHAnsi" w:cstheme="minorHAnsi"/>
          <w:sz w:val="22"/>
        </w:rPr>
      </w:pPr>
      <w:r w:rsidRPr="00622EE9">
        <w:rPr>
          <w:rFonts w:asciiTheme="minorHAnsi" w:hAnsiTheme="minorHAnsi" w:cstheme="minorHAnsi"/>
          <w:sz w:val="22"/>
        </w:rPr>
        <w:t>Provid</w:t>
      </w:r>
      <w:r w:rsidR="00A618FA">
        <w:rPr>
          <w:rFonts w:asciiTheme="minorHAnsi" w:hAnsiTheme="minorHAnsi" w:cstheme="minorHAnsi"/>
          <w:sz w:val="22"/>
        </w:rPr>
        <w:t>ing</w:t>
      </w:r>
      <w:r w:rsidRPr="00622EE9">
        <w:rPr>
          <w:rFonts w:asciiTheme="minorHAnsi" w:hAnsiTheme="minorHAnsi" w:cstheme="minorHAnsi"/>
          <w:sz w:val="22"/>
        </w:rPr>
        <w:t xml:space="preserve"> an enabling environment (mentoring, linkage with HTA, operational research support) to test and adopt newer digital solutions that may be used to solve the gaps across any part of the TB prevention, diagnosis and treatment cascade.</w:t>
      </w:r>
    </w:p>
    <w:p w14:paraId="3B20AB87" w14:textId="65F2A384" w:rsidR="006F3879" w:rsidRPr="00622EE9" w:rsidRDefault="006F3879" w:rsidP="00442A67">
      <w:pPr>
        <w:pStyle w:val="NormalWeb"/>
        <w:numPr>
          <w:ilvl w:val="0"/>
          <w:numId w:val="48"/>
        </w:numPr>
        <w:jc w:val="both"/>
        <w:textAlignment w:val="baseline"/>
        <w:rPr>
          <w:rFonts w:asciiTheme="minorHAnsi" w:hAnsiTheme="minorHAnsi" w:cstheme="minorHAnsi"/>
          <w:sz w:val="22"/>
        </w:rPr>
      </w:pPr>
      <w:r w:rsidRPr="00622EE9">
        <w:rPr>
          <w:rFonts w:asciiTheme="minorHAnsi" w:hAnsiTheme="minorHAnsi" w:cstheme="minorHAnsi"/>
          <w:sz w:val="22"/>
        </w:rPr>
        <w:t>Periodically publish</w:t>
      </w:r>
      <w:r w:rsidR="00A618FA">
        <w:rPr>
          <w:rFonts w:asciiTheme="minorHAnsi" w:hAnsiTheme="minorHAnsi" w:cstheme="minorHAnsi"/>
          <w:sz w:val="22"/>
        </w:rPr>
        <w:t>ing</w:t>
      </w:r>
      <w:r w:rsidRPr="00622EE9">
        <w:rPr>
          <w:rFonts w:asciiTheme="minorHAnsi" w:hAnsiTheme="minorHAnsi" w:cstheme="minorHAnsi"/>
          <w:sz w:val="22"/>
        </w:rPr>
        <w:t xml:space="preserve"> NTEP’s digital pipeline and invite newer digital solution ideas using appropriate platforms. This will enable NTEP to take maximum advantage of digital technology solutions.</w:t>
      </w:r>
    </w:p>
    <w:p w14:paraId="43F9BF4F" w14:textId="77777777" w:rsidR="00FC2553" w:rsidRPr="006F3879" w:rsidRDefault="00FC2553" w:rsidP="00BB03B3">
      <w:pPr>
        <w:pStyle w:val="Heading3"/>
        <w:spacing w:before="0"/>
        <w:jc w:val="both"/>
        <w:rPr>
          <w:rFonts w:asciiTheme="minorHAnsi" w:hAnsiTheme="minorHAnsi" w:cstheme="minorHAnsi"/>
          <w:b/>
          <w:bCs/>
          <w:color w:val="FF0000"/>
          <w:sz w:val="22"/>
          <w:szCs w:val="22"/>
        </w:rPr>
      </w:pPr>
    </w:p>
    <w:p w14:paraId="34B78E7B" w14:textId="27BC07AD" w:rsidR="00926ECE" w:rsidRPr="00C45A90" w:rsidRDefault="00213555"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8</w:t>
      </w:r>
      <w:r>
        <w:rPr>
          <w:rFonts w:asciiTheme="minorHAnsi" w:hAnsiTheme="minorHAnsi" w:cstheme="minorHAnsi"/>
          <w:b/>
          <w:color w:val="C86A07" w:themeColor="accent2" w:themeShade="BF"/>
          <w:sz w:val="28"/>
          <w:lang w:val="en"/>
        </w:rPr>
        <w:t xml:space="preserve">.2 </w:t>
      </w:r>
      <w:r w:rsidR="00926ECE" w:rsidRPr="00C45A90">
        <w:rPr>
          <w:rFonts w:asciiTheme="minorHAnsi" w:hAnsiTheme="minorHAnsi" w:cstheme="minorHAnsi"/>
          <w:b/>
          <w:color w:val="C86A07" w:themeColor="accent2" w:themeShade="BF"/>
          <w:sz w:val="28"/>
          <w:lang w:val="en"/>
        </w:rPr>
        <w:t>THE PROGRESS SO FAR</w:t>
      </w:r>
    </w:p>
    <w:p w14:paraId="27CA2568" w14:textId="34AFC192" w:rsidR="00926ECE" w:rsidRPr="00BB03B3" w:rsidRDefault="00926ECE" w:rsidP="00926ECE">
      <w:pPr>
        <w:pStyle w:val="Heading2"/>
        <w:spacing w:before="0"/>
        <w:jc w:val="both"/>
        <w:rPr>
          <w:rFonts w:asciiTheme="minorHAnsi" w:hAnsiTheme="minorHAnsi" w:cstheme="minorHAnsi"/>
          <w:color w:val="auto"/>
          <w:sz w:val="22"/>
          <w:szCs w:val="22"/>
        </w:rPr>
      </w:pPr>
      <w:r w:rsidRPr="00BB03B3">
        <w:rPr>
          <w:rFonts w:asciiTheme="minorHAnsi" w:hAnsiTheme="minorHAnsi" w:cstheme="minorHAnsi"/>
          <w:b/>
          <w:bCs/>
          <w:color w:val="000000"/>
          <w:sz w:val="22"/>
          <w:szCs w:val="22"/>
        </w:rPr>
        <w:t>The Current Electronic information system in NTEP </w:t>
      </w:r>
      <w:r w:rsidR="007D39BA">
        <w:rPr>
          <w:rFonts w:asciiTheme="minorHAnsi" w:hAnsiTheme="minorHAnsi" w:cstheme="minorHAnsi"/>
          <w:b/>
          <w:bCs/>
          <w:color w:val="000000"/>
          <w:sz w:val="22"/>
          <w:szCs w:val="22"/>
        </w:rPr>
        <w:t>(Fig 19)</w:t>
      </w:r>
    </w:p>
    <w:p w14:paraId="1109C2BA" w14:textId="77777777" w:rsidR="00926ECE" w:rsidRPr="00BB03B3" w:rsidRDefault="00926ECE" w:rsidP="00926ECE">
      <w:pPr>
        <w:pStyle w:val="NormalWeb"/>
        <w:jc w:val="both"/>
        <w:rPr>
          <w:rFonts w:asciiTheme="minorHAnsi" w:hAnsiTheme="minorHAnsi" w:cstheme="minorHAnsi"/>
          <w:sz w:val="22"/>
        </w:rPr>
      </w:pPr>
      <w:r w:rsidRPr="00BB03B3">
        <w:rPr>
          <w:rFonts w:asciiTheme="minorHAnsi" w:hAnsiTheme="minorHAnsi" w:cstheme="minorHAnsi"/>
          <w:color w:val="000000"/>
          <w:sz w:val="22"/>
        </w:rPr>
        <w:t>In 2012, CTD launched Nikshay as its first web-based ICT System with the support of NIC and WHO, enabling case-based notification. Since then, immense progress has been made by NTEP to leverage information technology for improved management and implementation of the program across the country. In September 2018, CTD launched an enhanced version of Nikshay</w:t>
      </w:r>
    </w:p>
    <w:p w14:paraId="3E801909" w14:textId="4D48C47A" w:rsidR="00926ECE" w:rsidRPr="004D3907" w:rsidRDefault="008D5417" w:rsidP="00926ECE">
      <w:pPr>
        <w:pStyle w:val="NormalWeb"/>
        <w:jc w:val="both"/>
        <w:rPr>
          <w:rFonts w:asciiTheme="minorHAnsi" w:hAnsiTheme="minorHAnsi" w:cstheme="minorHAnsi"/>
          <w:b/>
        </w:rPr>
      </w:pPr>
      <w:r w:rsidRPr="004D3907">
        <w:rPr>
          <w:rFonts w:asciiTheme="minorHAnsi" w:hAnsiTheme="minorHAnsi" w:cstheme="minorHAnsi"/>
          <w:b/>
          <w:color w:val="000000"/>
        </w:rPr>
        <w:t>Figure 2</w:t>
      </w:r>
      <w:r w:rsidR="007D39BA" w:rsidRPr="004D3907">
        <w:rPr>
          <w:rFonts w:asciiTheme="minorHAnsi" w:hAnsiTheme="minorHAnsi" w:cstheme="minorHAnsi"/>
          <w:b/>
          <w:color w:val="000000"/>
        </w:rPr>
        <w:t>9: D</w:t>
      </w:r>
      <w:r w:rsidR="00926ECE" w:rsidRPr="004D3907">
        <w:rPr>
          <w:rFonts w:asciiTheme="minorHAnsi" w:hAnsiTheme="minorHAnsi" w:cstheme="minorHAnsi"/>
          <w:b/>
          <w:color w:val="000000"/>
        </w:rPr>
        <w:t>iagrammatic representation of the current ICT Landscape for TB Care.</w:t>
      </w:r>
    </w:p>
    <w:p w14:paraId="55F6D5CD" w14:textId="6BECE2C9" w:rsidR="00926ECE" w:rsidRPr="009E7A1E" w:rsidRDefault="00D51C48" w:rsidP="00F175DB">
      <w:pPr>
        <w:pStyle w:val="NormalWeb"/>
        <w:rPr>
          <w:rFonts w:asciiTheme="minorHAnsi" w:hAnsiTheme="minorHAnsi" w:cstheme="minorHAnsi"/>
          <w:sz w:val="22"/>
        </w:rPr>
      </w:pPr>
      <w:r w:rsidRPr="00D51C48">
        <w:rPr>
          <w:noProof/>
          <w:lang w:val="en-IN" w:eastAsia="en-IN"/>
        </w:rPr>
        <w:drawing>
          <wp:inline distT="0" distB="0" distL="0" distR="0" wp14:anchorId="79C531F3" wp14:editId="55E159C5">
            <wp:extent cx="5732145" cy="3161665"/>
            <wp:effectExtent l="0" t="0" r="190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3161665"/>
                    </a:xfrm>
                    <a:prstGeom prst="rect">
                      <a:avLst/>
                    </a:prstGeom>
                  </pic:spPr>
                </pic:pic>
              </a:graphicData>
            </a:graphic>
          </wp:inline>
        </w:drawing>
      </w:r>
      <w:r w:rsidR="00926ECE" w:rsidRPr="00BB03B3">
        <w:rPr>
          <w:rFonts w:asciiTheme="minorHAnsi" w:hAnsiTheme="minorHAnsi" w:cstheme="minorHAnsi"/>
          <w:color w:val="000000"/>
          <w:sz w:val="22"/>
        </w:rPr>
        <w:br/>
      </w:r>
      <w:r w:rsidR="00926ECE" w:rsidRPr="009E7A1E">
        <w:rPr>
          <w:rFonts w:asciiTheme="minorHAnsi" w:hAnsiTheme="minorHAnsi" w:cstheme="minorHAnsi"/>
          <w:b/>
          <w:bCs/>
          <w:sz w:val="22"/>
        </w:rPr>
        <w:t>The broad functions that it currently serves are:</w:t>
      </w:r>
    </w:p>
    <w:p w14:paraId="7974FD46" w14:textId="7F664E55" w:rsidR="00926ECE" w:rsidRPr="00BB03B3" w:rsidRDefault="00926ECE" w:rsidP="00442A67">
      <w:pPr>
        <w:pStyle w:val="NormalWeb"/>
        <w:numPr>
          <w:ilvl w:val="0"/>
          <w:numId w:val="49"/>
        </w:numPr>
        <w:tabs>
          <w:tab w:val="clear" w:pos="720"/>
          <w:tab w:val="num" w:pos="360"/>
        </w:tabs>
        <w:ind w:left="360"/>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 xml:space="preserve">The National </w:t>
      </w:r>
      <w:r w:rsidRPr="00BB03B3">
        <w:rPr>
          <w:rFonts w:asciiTheme="minorHAnsi" w:hAnsiTheme="minorHAnsi" w:cstheme="minorHAnsi"/>
          <w:b/>
          <w:bCs/>
          <w:color w:val="000000"/>
          <w:sz w:val="22"/>
        </w:rPr>
        <w:t>TB Patient management tool</w:t>
      </w:r>
      <w:r w:rsidRPr="00BB03B3">
        <w:rPr>
          <w:rFonts w:asciiTheme="minorHAnsi" w:hAnsiTheme="minorHAnsi" w:cstheme="minorHAnsi"/>
          <w:color w:val="000000"/>
          <w:sz w:val="22"/>
        </w:rPr>
        <w:t xml:space="preserve"> across public and private sectors and for all types of patients. Each user manages information of each patient throughout the patient lifecycle related to Testing  (Diagnosis </w:t>
      </w:r>
      <w:r w:rsidR="00AF41B5">
        <w:rPr>
          <w:rFonts w:asciiTheme="minorHAnsi" w:hAnsiTheme="minorHAnsi" w:cstheme="minorHAnsi"/>
          <w:color w:val="000000"/>
          <w:sz w:val="22"/>
        </w:rPr>
        <w:t>and</w:t>
      </w:r>
      <w:r w:rsidRPr="00BB03B3">
        <w:rPr>
          <w:rFonts w:asciiTheme="minorHAnsi" w:hAnsiTheme="minorHAnsi" w:cstheme="minorHAnsi"/>
          <w:color w:val="000000"/>
          <w:sz w:val="22"/>
        </w:rPr>
        <w:t xml:space="preserve"> follow up), Treatment initiation, Public health action (Contact tracing, comorbidities), Adherence monitoring, Outcomes, Transfer and referral for testing and treatment across India, along with reporting of activities like Active Case Finding. For Adherence monitoring, Nikshay has an adherence toolkit integrated with the various Digital Adherence monitoring Technologies such as 99 DOTS, MERM and VOT.</w:t>
      </w:r>
    </w:p>
    <w:p w14:paraId="18256489" w14:textId="535CF93E" w:rsidR="00926ECE" w:rsidRPr="00BB03B3" w:rsidRDefault="00926ECE" w:rsidP="00442A67">
      <w:pPr>
        <w:pStyle w:val="NormalWeb"/>
        <w:numPr>
          <w:ilvl w:val="0"/>
          <w:numId w:val="49"/>
        </w:numPr>
        <w:tabs>
          <w:tab w:val="clear" w:pos="720"/>
          <w:tab w:val="num" w:pos="360"/>
        </w:tabs>
        <w:ind w:left="360"/>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 xml:space="preserve">It acts as a </w:t>
      </w:r>
      <w:r w:rsidRPr="00BB03B3">
        <w:rPr>
          <w:rFonts w:asciiTheme="minorHAnsi" w:hAnsiTheme="minorHAnsi" w:cstheme="minorHAnsi"/>
          <w:b/>
          <w:bCs/>
          <w:color w:val="000000"/>
          <w:sz w:val="22"/>
        </w:rPr>
        <w:t>Surveillance and monitoring</w:t>
      </w:r>
      <w:r w:rsidRPr="00BB03B3">
        <w:rPr>
          <w:rFonts w:asciiTheme="minorHAnsi" w:hAnsiTheme="minorHAnsi" w:cstheme="minorHAnsi"/>
          <w:color w:val="000000"/>
          <w:sz w:val="22"/>
        </w:rPr>
        <w:t xml:space="preserve"> tool: The entire TB care cas</w:t>
      </w:r>
      <w:r w:rsidR="00451B5E">
        <w:rPr>
          <w:rFonts w:asciiTheme="minorHAnsi" w:hAnsiTheme="minorHAnsi" w:cstheme="minorHAnsi"/>
          <w:color w:val="000000"/>
          <w:sz w:val="22"/>
        </w:rPr>
        <w:t>cade from referral for testing and</w:t>
      </w:r>
      <w:r w:rsidRPr="00BB03B3">
        <w:rPr>
          <w:rFonts w:asciiTheme="minorHAnsi" w:hAnsiTheme="minorHAnsi" w:cstheme="minorHAnsi"/>
          <w:color w:val="000000"/>
          <w:sz w:val="22"/>
        </w:rPr>
        <w:t xml:space="preserve"> notification, to outcome declaration and all drop out events are tracked and monitored. With the wealth of data concerning each TB patient, a number of automated reports and data </w:t>
      </w:r>
      <w:r w:rsidR="00F51523" w:rsidRPr="00BB03B3">
        <w:rPr>
          <w:rFonts w:asciiTheme="minorHAnsi" w:hAnsiTheme="minorHAnsi" w:cstheme="minorHAnsi"/>
          <w:color w:val="000000"/>
          <w:sz w:val="22"/>
        </w:rPr>
        <w:t>visualizations</w:t>
      </w:r>
      <w:r w:rsidRPr="00BB03B3">
        <w:rPr>
          <w:rFonts w:asciiTheme="minorHAnsi" w:hAnsiTheme="minorHAnsi" w:cstheme="minorHAnsi"/>
          <w:color w:val="000000"/>
          <w:sz w:val="22"/>
        </w:rPr>
        <w:t xml:space="preserve"> through dashboards are generated and they are</w:t>
      </w:r>
      <w:r w:rsidR="00451B5E" w:rsidRPr="00BB03B3">
        <w:rPr>
          <w:rFonts w:asciiTheme="minorHAnsi" w:hAnsiTheme="minorHAnsi" w:cstheme="minorHAnsi"/>
          <w:color w:val="000000"/>
          <w:sz w:val="22"/>
        </w:rPr>
        <w:t> available</w:t>
      </w:r>
      <w:r w:rsidRPr="00BB03B3">
        <w:rPr>
          <w:rFonts w:asciiTheme="minorHAnsi" w:hAnsiTheme="minorHAnsi" w:cstheme="minorHAnsi"/>
          <w:color w:val="000000"/>
          <w:sz w:val="22"/>
        </w:rPr>
        <w:t xml:space="preserve"> for further analysis to generate insights into TB epidemiology and actions for program management. </w:t>
      </w:r>
    </w:p>
    <w:p w14:paraId="6D8EAA38" w14:textId="77777777" w:rsidR="00926ECE" w:rsidRPr="00BB03B3" w:rsidRDefault="00926ECE" w:rsidP="00442A67">
      <w:pPr>
        <w:pStyle w:val="NormalWeb"/>
        <w:numPr>
          <w:ilvl w:val="0"/>
          <w:numId w:val="49"/>
        </w:numPr>
        <w:tabs>
          <w:tab w:val="clear" w:pos="720"/>
          <w:tab w:val="num" w:pos="360"/>
        </w:tabs>
        <w:ind w:left="360"/>
        <w:jc w:val="both"/>
        <w:textAlignment w:val="baseline"/>
        <w:rPr>
          <w:rFonts w:asciiTheme="minorHAnsi" w:hAnsiTheme="minorHAnsi" w:cstheme="minorHAnsi"/>
          <w:color w:val="000000"/>
          <w:sz w:val="22"/>
        </w:rPr>
      </w:pPr>
      <w:r w:rsidRPr="00BB03B3">
        <w:rPr>
          <w:rFonts w:asciiTheme="minorHAnsi" w:hAnsiTheme="minorHAnsi" w:cstheme="minorHAnsi"/>
          <w:b/>
          <w:bCs/>
          <w:color w:val="000000"/>
          <w:sz w:val="22"/>
        </w:rPr>
        <w:lastRenderedPageBreak/>
        <w:t>Direct Benefit Transfers</w:t>
      </w:r>
      <w:r w:rsidRPr="00BB03B3">
        <w:rPr>
          <w:rFonts w:asciiTheme="minorHAnsi" w:hAnsiTheme="minorHAnsi" w:cstheme="minorHAnsi"/>
          <w:color w:val="000000"/>
          <w:sz w:val="22"/>
        </w:rPr>
        <w:t>: Nikshay enables electronic transfer of benefits, direct to the bank account of beneficiaries, under four incentive schemes provisioned by Government of India. This is done through Nikshay PFMS (Public Financial Management System) interface, a continuously evolving system, unique to the NTEP of India.</w:t>
      </w:r>
    </w:p>
    <w:p w14:paraId="15250701" w14:textId="3EE63099" w:rsidR="00926ECE" w:rsidRPr="00BB03B3" w:rsidRDefault="00926ECE" w:rsidP="00442A67">
      <w:pPr>
        <w:pStyle w:val="NormalWeb"/>
        <w:numPr>
          <w:ilvl w:val="0"/>
          <w:numId w:val="49"/>
        </w:numPr>
        <w:tabs>
          <w:tab w:val="clear" w:pos="720"/>
          <w:tab w:val="num" w:pos="360"/>
        </w:tabs>
        <w:ind w:left="360"/>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 xml:space="preserve">It helps in the management of information of </w:t>
      </w:r>
      <w:r w:rsidRPr="00BB03B3">
        <w:rPr>
          <w:rFonts w:asciiTheme="minorHAnsi" w:hAnsiTheme="minorHAnsi" w:cstheme="minorHAnsi"/>
          <w:b/>
          <w:bCs/>
          <w:color w:val="000000"/>
          <w:sz w:val="22"/>
        </w:rPr>
        <w:t>health facilities</w:t>
      </w:r>
      <w:r w:rsidRPr="00BB03B3">
        <w:rPr>
          <w:rFonts w:asciiTheme="minorHAnsi" w:hAnsiTheme="minorHAnsi" w:cstheme="minorHAnsi"/>
          <w:color w:val="000000"/>
          <w:sz w:val="22"/>
        </w:rPr>
        <w:t xml:space="preserve">, reporting hierarchy, staff and treatment supporters working for the </w:t>
      </w:r>
      <w:r w:rsidR="002E76F9" w:rsidRPr="00BB03B3">
        <w:rPr>
          <w:rFonts w:asciiTheme="minorHAnsi" w:hAnsiTheme="minorHAnsi" w:cstheme="minorHAnsi"/>
          <w:color w:val="000000"/>
          <w:sz w:val="22"/>
        </w:rPr>
        <w:t>program</w:t>
      </w:r>
      <w:r w:rsidR="002E76F9">
        <w:rPr>
          <w:rFonts w:asciiTheme="minorHAnsi" w:hAnsiTheme="minorHAnsi" w:cstheme="minorHAnsi"/>
          <w:color w:val="000000"/>
          <w:sz w:val="22"/>
        </w:rPr>
        <w:t>me</w:t>
      </w:r>
      <w:r w:rsidR="002E76F9" w:rsidRPr="00BB03B3">
        <w:rPr>
          <w:rFonts w:asciiTheme="minorHAnsi" w:hAnsiTheme="minorHAnsi" w:cstheme="minorHAnsi"/>
          <w:color w:val="000000"/>
          <w:sz w:val="22"/>
        </w:rPr>
        <w:t>.</w:t>
      </w:r>
    </w:p>
    <w:p w14:paraId="488A7121" w14:textId="77777777" w:rsidR="00926ECE" w:rsidRPr="00BB03B3" w:rsidRDefault="00926ECE" w:rsidP="00442A67">
      <w:pPr>
        <w:pStyle w:val="NormalWeb"/>
        <w:numPr>
          <w:ilvl w:val="0"/>
          <w:numId w:val="49"/>
        </w:numPr>
        <w:tabs>
          <w:tab w:val="clear" w:pos="720"/>
          <w:tab w:val="num" w:pos="360"/>
        </w:tabs>
        <w:ind w:left="360"/>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Additionally, there are three add on systems, in the Nikshay ecosystem, that perform specialized allied functions. These are:</w:t>
      </w:r>
    </w:p>
    <w:p w14:paraId="0222C892" w14:textId="6E48909A" w:rsidR="00926ECE" w:rsidRPr="00BB03B3" w:rsidRDefault="00926ECE" w:rsidP="00442A67">
      <w:pPr>
        <w:pStyle w:val="NormalWeb"/>
        <w:numPr>
          <w:ilvl w:val="0"/>
          <w:numId w:val="50"/>
        </w:numPr>
        <w:tabs>
          <w:tab w:val="clear" w:pos="720"/>
          <w:tab w:val="num" w:pos="360"/>
        </w:tabs>
        <w:ind w:left="1080"/>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Nikshay Aushadhi enables manage the supply chain of Anti TB drugs from Centre to the final dispensing to the patient, along with workflows of indent, drug re</w:t>
      </w:r>
      <w:r w:rsidR="002E76F9">
        <w:rPr>
          <w:rFonts w:asciiTheme="minorHAnsi" w:hAnsiTheme="minorHAnsi" w:cstheme="minorHAnsi"/>
          <w:color w:val="000000"/>
          <w:sz w:val="22"/>
        </w:rPr>
        <w:t>quest, procurement, forecasting,</w:t>
      </w:r>
      <w:r w:rsidRPr="00BB03B3">
        <w:rPr>
          <w:rFonts w:asciiTheme="minorHAnsi" w:hAnsiTheme="minorHAnsi" w:cstheme="minorHAnsi"/>
          <w:color w:val="000000"/>
          <w:sz w:val="22"/>
        </w:rPr>
        <w:t xml:space="preserve"> and reporting.</w:t>
      </w:r>
    </w:p>
    <w:p w14:paraId="0B754AC1" w14:textId="77777777" w:rsidR="00926ECE" w:rsidRPr="002E76F9" w:rsidRDefault="00926ECE" w:rsidP="00442A67">
      <w:pPr>
        <w:pStyle w:val="NormalWeb"/>
        <w:numPr>
          <w:ilvl w:val="0"/>
          <w:numId w:val="50"/>
        </w:numPr>
        <w:tabs>
          <w:tab w:val="clear" w:pos="720"/>
          <w:tab w:val="num" w:pos="360"/>
        </w:tabs>
        <w:ind w:left="1080"/>
        <w:jc w:val="both"/>
        <w:textAlignment w:val="baseline"/>
        <w:rPr>
          <w:rFonts w:asciiTheme="minorHAnsi" w:hAnsiTheme="minorHAnsi" w:cstheme="minorHAnsi"/>
          <w:sz w:val="22"/>
        </w:rPr>
      </w:pPr>
      <w:r w:rsidRPr="002E76F9">
        <w:rPr>
          <w:rFonts w:asciiTheme="minorHAnsi" w:hAnsiTheme="minorHAnsi" w:cstheme="minorHAnsi"/>
          <w:sz w:val="22"/>
        </w:rPr>
        <w:t>Laboratory Information Management System (LIMS) automates the processes at TB CDST Laboratories from specimen receipt, decontamination, sample preparation and performing additional test and specimen specific workflows</w:t>
      </w:r>
    </w:p>
    <w:p w14:paraId="2DC18D0F" w14:textId="69BCCB01" w:rsidR="00926ECE" w:rsidRPr="00BB03B3" w:rsidRDefault="00926ECE" w:rsidP="00442A67">
      <w:pPr>
        <w:pStyle w:val="NormalWeb"/>
        <w:numPr>
          <w:ilvl w:val="0"/>
          <w:numId w:val="50"/>
        </w:numPr>
        <w:tabs>
          <w:tab w:val="clear" w:pos="720"/>
          <w:tab w:val="num" w:pos="360"/>
        </w:tabs>
        <w:ind w:left="1080"/>
        <w:jc w:val="both"/>
        <w:textAlignment w:val="baseline"/>
        <w:rPr>
          <w:rFonts w:asciiTheme="minorHAnsi" w:hAnsiTheme="minorHAnsi" w:cstheme="minorHAnsi"/>
          <w:color w:val="000000"/>
          <w:sz w:val="22"/>
        </w:rPr>
      </w:pPr>
      <w:r w:rsidRPr="002E76F9">
        <w:rPr>
          <w:rFonts w:asciiTheme="minorHAnsi" w:hAnsiTheme="minorHAnsi" w:cstheme="minorHAnsi"/>
          <w:sz w:val="22"/>
        </w:rPr>
        <w:t>Nikshay Sampark Application manages the workflows and reporting needs of the Call Centre. It enables recording of the incoming/outgoing call details handled by the Agents and therefore, facilitates</w:t>
      </w:r>
      <w:r w:rsidR="002E76F9" w:rsidRPr="002E76F9">
        <w:rPr>
          <w:rFonts w:asciiTheme="minorHAnsi" w:hAnsiTheme="minorHAnsi" w:cstheme="minorHAnsi"/>
          <w:sz w:val="22"/>
        </w:rPr>
        <w:t> reporting</w:t>
      </w:r>
      <w:r w:rsidRPr="002E76F9">
        <w:rPr>
          <w:rFonts w:asciiTheme="minorHAnsi" w:hAnsiTheme="minorHAnsi" w:cstheme="minorHAnsi"/>
          <w:sz w:val="22"/>
        </w:rPr>
        <w:t xml:space="preserve"> on the type/volumes </w:t>
      </w:r>
      <w:r w:rsidRPr="00BB03B3">
        <w:rPr>
          <w:rFonts w:asciiTheme="minorHAnsi" w:hAnsiTheme="minorHAnsi" w:cstheme="minorHAnsi"/>
          <w:color w:val="000000"/>
          <w:sz w:val="22"/>
        </w:rPr>
        <w:t>of calls handled and monitoring of the performance and quality of services delivered by the call centre.</w:t>
      </w:r>
    </w:p>
    <w:p w14:paraId="132B3C14" w14:textId="77777777" w:rsidR="009E7A1E" w:rsidRDefault="009E7A1E" w:rsidP="00926ECE">
      <w:pPr>
        <w:pStyle w:val="Heading3"/>
        <w:spacing w:before="0"/>
        <w:jc w:val="both"/>
        <w:rPr>
          <w:rFonts w:asciiTheme="minorHAnsi" w:hAnsiTheme="minorHAnsi" w:cstheme="minorHAnsi"/>
          <w:b/>
          <w:bCs/>
          <w:color w:val="434343"/>
          <w:sz w:val="22"/>
          <w:szCs w:val="22"/>
        </w:rPr>
      </w:pPr>
    </w:p>
    <w:p w14:paraId="754D32BB" w14:textId="77777777" w:rsidR="00926ECE" w:rsidRPr="009E7A1E" w:rsidRDefault="00926ECE" w:rsidP="00926ECE">
      <w:pPr>
        <w:pStyle w:val="Heading3"/>
        <w:spacing w:before="0"/>
        <w:jc w:val="both"/>
        <w:rPr>
          <w:rFonts w:asciiTheme="minorHAnsi" w:hAnsiTheme="minorHAnsi" w:cstheme="minorHAnsi"/>
          <w:color w:val="auto"/>
          <w:sz w:val="22"/>
          <w:szCs w:val="22"/>
        </w:rPr>
      </w:pPr>
      <w:r w:rsidRPr="009E7A1E">
        <w:rPr>
          <w:rFonts w:asciiTheme="minorHAnsi" w:hAnsiTheme="minorHAnsi" w:cstheme="minorHAnsi"/>
          <w:b/>
          <w:bCs/>
          <w:color w:val="auto"/>
          <w:sz w:val="22"/>
          <w:szCs w:val="22"/>
        </w:rPr>
        <w:t>Current scale of the system and stakeholders involved</w:t>
      </w:r>
    </w:p>
    <w:p w14:paraId="2DA02D07" w14:textId="15493D77" w:rsidR="00926ECE" w:rsidRDefault="00926ECE" w:rsidP="00926ECE">
      <w:pPr>
        <w:pStyle w:val="NormalWeb"/>
        <w:jc w:val="both"/>
        <w:rPr>
          <w:rFonts w:asciiTheme="minorHAnsi" w:hAnsiTheme="minorHAnsi" w:cstheme="minorHAnsi"/>
          <w:color w:val="000000"/>
          <w:sz w:val="22"/>
        </w:rPr>
      </w:pPr>
      <w:r w:rsidRPr="00BB03B3">
        <w:rPr>
          <w:rFonts w:asciiTheme="minorHAnsi" w:hAnsiTheme="minorHAnsi" w:cstheme="minorHAnsi"/>
          <w:color w:val="000000"/>
          <w:sz w:val="22"/>
        </w:rPr>
        <w:t>As India has a high burden of TB cases, the scale at which the NTEP operates is enormous. There are several stakeholders, across Public and Private Sectors who interact with the Nikshay ecosystem in their respective capacities. These include beneficiaries, public and private healthcare providers, policy makers, laboratories, chemists, informal healthcare providers and administrators. Thus, enabling a holistic patient management pathway. These stakeholders use the systems with different objectives and vary greatly in terms of time spent in the application to carry out their day to day activities. For e.g. policy makers and administrators would like to use the systems to review the program metrics for decision making whereas Public or PPSA health care staff use the systems on a day to day basis for patient management and care. Following is a pictorial representation of the various stakeholders involved.</w:t>
      </w:r>
      <w:r>
        <w:rPr>
          <w:rFonts w:asciiTheme="minorHAnsi" w:hAnsiTheme="minorHAnsi" w:cstheme="minorHAnsi"/>
          <w:color w:val="000000"/>
          <w:sz w:val="22"/>
        </w:rPr>
        <w:t xml:space="preserve"> </w:t>
      </w:r>
    </w:p>
    <w:p w14:paraId="080079B1" w14:textId="0D17B8A2" w:rsidR="00926ECE" w:rsidRPr="004D3907" w:rsidRDefault="008D5417" w:rsidP="00926ECE">
      <w:pPr>
        <w:pStyle w:val="NormalWeb"/>
        <w:jc w:val="both"/>
        <w:rPr>
          <w:rFonts w:asciiTheme="minorHAnsi" w:hAnsiTheme="minorHAnsi" w:cstheme="minorHAnsi"/>
          <w:color w:val="000000"/>
          <w:szCs w:val="20"/>
        </w:rPr>
      </w:pPr>
      <w:r w:rsidRPr="004D3907">
        <w:rPr>
          <w:rFonts w:asciiTheme="minorHAnsi" w:hAnsiTheme="minorHAnsi" w:cstheme="minorHAnsi"/>
          <w:b/>
          <w:color w:val="000000"/>
          <w:szCs w:val="20"/>
        </w:rPr>
        <w:t>Figure 3</w:t>
      </w:r>
      <w:r w:rsidR="007D39BA" w:rsidRPr="004D3907">
        <w:rPr>
          <w:rFonts w:asciiTheme="minorHAnsi" w:hAnsiTheme="minorHAnsi" w:cstheme="minorHAnsi"/>
          <w:b/>
          <w:color w:val="000000"/>
          <w:szCs w:val="20"/>
        </w:rPr>
        <w:t xml:space="preserve">0: </w:t>
      </w:r>
      <w:r w:rsidR="00926ECE" w:rsidRPr="004D3907">
        <w:rPr>
          <w:rFonts w:asciiTheme="minorHAnsi" w:hAnsiTheme="minorHAnsi" w:cstheme="minorHAnsi"/>
          <w:b/>
          <w:color w:val="000000"/>
          <w:szCs w:val="20"/>
        </w:rPr>
        <w:t>Stakeholders in the ICT Landscape for TB care:</w:t>
      </w:r>
      <w:r w:rsidR="00926ECE" w:rsidRPr="004D3907">
        <w:rPr>
          <w:rFonts w:asciiTheme="minorHAnsi" w:hAnsiTheme="minorHAnsi" w:cstheme="minorHAnsi"/>
          <w:color w:val="000000"/>
          <w:szCs w:val="20"/>
        </w:rPr>
        <w:t xml:space="preserve">  </w:t>
      </w:r>
    </w:p>
    <w:p w14:paraId="74EC35CA" w14:textId="689B69A7" w:rsidR="00926ECE" w:rsidRPr="00926ECE" w:rsidRDefault="00D51C48" w:rsidP="003D596B">
      <w:pPr>
        <w:pStyle w:val="NormalWeb"/>
        <w:jc w:val="center"/>
        <w:rPr>
          <w:rFonts w:asciiTheme="minorHAnsi" w:hAnsiTheme="minorHAnsi" w:cstheme="minorHAnsi"/>
          <w:color w:val="000000"/>
          <w:sz w:val="22"/>
        </w:rPr>
      </w:pPr>
      <w:r w:rsidRPr="00D51C48">
        <w:rPr>
          <w:noProof/>
          <w:lang w:val="en-IN" w:eastAsia="en-IN"/>
        </w:rPr>
        <w:drawing>
          <wp:inline distT="0" distB="0" distL="0" distR="0" wp14:anchorId="2D312B6C" wp14:editId="413DABA4">
            <wp:extent cx="5011601" cy="3162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16559" cy="3165429"/>
                    </a:xfrm>
                    <a:prstGeom prst="rect">
                      <a:avLst/>
                    </a:prstGeom>
                  </pic:spPr>
                </pic:pic>
              </a:graphicData>
            </a:graphic>
          </wp:inline>
        </w:drawing>
      </w:r>
    </w:p>
    <w:p w14:paraId="24D874D4" w14:textId="77777777" w:rsidR="00926ECE" w:rsidRPr="00BB03B3" w:rsidRDefault="00926ECE" w:rsidP="00926ECE">
      <w:pPr>
        <w:pStyle w:val="NormalWeb"/>
        <w:jc w:val="both"/>
        <w:rPr>
          <w:rFonts w:asciiTheme="minorHAnsi" w:hAnsiTheme="minorHAnsi" w:cstheme="minorHAnsi"/>
          <w:sz w:val="22"/>
        </w:rPr>
      </w:pPr>
      <w:r w:rsidRPr="00BB03B3">
        <w:rPr>
          <w:rFonts w:asciiTheme="minorHAnsi" w:hAnsiTheme="minorHAnsi" w:cstheme="minorHAnsi"/>
          <w:color w:val="000000"/>
          <w:sz w:val="22"/>
        </w:rPr>
        <w:lastRenderedPageBreak/>
        <w:t>To be most effective, and inclusive, continuous active dialogues are conducted amongst stakeholders (at operational / management level) on a regular basis, to work as one cohesive unit to achieve common objective(s).</w:t>
      </w:r>
    </w:p>
    <w:p w14:paraId="19B557BF" w14:textId="75A74788" w:rsidR="00926ECE" w:rsidRPr="00C45A90" w:rsidRDefault="00213555" w:rsidP="00926ECE">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8</w:t>
      </w:r>
      <w:r>
        <w:rPr>
          <w:rFonts w:asciiTheme="minorHAnsi" w:hAnsiTheme="minorHAnsi" w:cstheme="minorHAnsi"/>
          <w:b/>
          <w:color w:val="C86A07" w:themeColor="accent2" w:themeShade="BF"/>
          <w:sz w:val="28"/>
          <w:lang w:val="en"/>
        </w:rPr>
        <w:t xml:space="preserve">.3 </w:t>
      </w:r>
      <w:r w:rsidR="00926ECE" w:rsidRPr="00C45A90">
        <w:rPr>
          <w:rFonts w:asciiTheme="minorHAnsi" w:hAnsiTheme="minorHAnsi" w:cstheme="minorHAnsi"/>
          <w:b/>
          <w:color w:val="C86A07" w:themeColor="accent2" w:themeShade="BF"/>
          <w:sz w:val="28"/>
          <w:lang w:val="en"/>
        </w:rPr>
        <w:t xml:space="preserve">THE WAY FORWARD (Interventions/ Activities) </w:t>
      </w:r>
    </w:p>
    <w:p w14:paraId="46CF7A19" w14:textId="46828BFF" w:rsidR="00926ECE" w:rsidRPr="009E7A1E" w:rsidRDefault="00926ECE" w:rsidP="009136E5">
      <w:pPr>
        <w:pStyle w:val="ListParagraph"/>
        <w:numPr>
          <w:ilvl w:val="2"/>
          <w:numId w:val="75"/>
        </w:numPr>
        <w:spacing w:before="0" w:after="0"/>
        <w:ind w:left="720" w:hanging="720"/>
        <w:jc w:val="both"/>
        <w:rPr>
          <w:rFonts w:asciiTheme="minorHAnsi" w:hAnsiTheme="minorHAnsi" w:cstheme="minorHAnsi"/>
          <w:b/>
          <w:color w:val="000000"/>
          <w:sz w:val="22"/>
        </w:rPr>
      </w:pPr>
      <w:r w:rsidRPr="009E7A1E">
        <w:rPr>
          <w:rFonts w:asciiTheme="minorHAnsi" w:hAnsiTheme="minorHAnsi" w:cstheme="minorHAnsi"/>
          <w:b/>
          <w:color w:val="000000"/>
          <w:sz w:val="22"/>
        </w:rPr>
        <w:t xml:space="preserve">Establish the National Knowledge </w:t>
      </w:r>
      <w:r w:rsidR="00A618FA">
        <w:rPr>
          <w:rFonts w:asciiTheme="minorHAnsi" w:hAnsiTheme="minorHAnsi" w:cstheme="minorHAnsi"/>
          <w:b/>
          <w:color w:val="000000"/>
          <w:sz w:val="22"/>
        </w:rPr>
        <w:t>Cell</w:t>
      </w:r>
      <w:r w:rsidRPr="009E7A1E">
        <w:rPr>
          <w:rFonts w:asciiTheme="minorHAnsi" w:hAnsiTheme="minorHAnsi" w:cstheme="minorHAnsi"/>
          <w:b/>
          <w:color w:val="000000"/>
          <w:sz w:val="22"/>
        </w:rPr>
        <w:t xml:space="preserve"> under Central TB Division, equipped with resources to develop and maintain IT Systems, manage and use real time information for program management</w:t>
      </w:r>
      <w:r w:rsidR="002E76F9">
        <w:rPr>
          <w:rFonts w:asciiTheme="minorHAnsi" w:hAnsiTheme="minorHAnsi" w:cstheme="minorHAnsi"/>
          <w:b/>
          <w:color w:val="000000"/>
          <w:sz w:val="22"/>
        </w:rPr>
        <w:t>, study TB e</w:t>
      </w:r>
      <w:r w:rsidRPr="009E7A1E">
        <w:rPr>
          <w:rFonts w:asciiTheme="minorHAnsi" w:hAnsiTheme="minorHAnsi" w:cstheme="minorHAnsi"/>
          <w:b/>
          <w:color w:val="000000"/>
          <w:sz w:val="22"/>
        </w:rPr>
        <w:t>pidemiology, information dissemination</w:t>
      </w:r>
      <w:r w:rsidR="002E76F9">
        <w:rPr>
          <w:rFonts w:asciiTheme="minorHAnsi" w:hAnsiTheme="minorHAnsi" w:cstheme="minorHAnsi"/>
          <w:b/>
          <w:color w:val="000000"/>
          <w:sz w:val="22"/>
        </w:rPr>
        <w:t>,</w:t>
      </w:r>
      <w:r w:rsidRPr="009E7A1E">
        <w:rPr>
          <w:rFonts w:asciiTheme="minorHAnsi" w:hAnsiTheme="minorHAnsi" w:cstheme="minorHAnsi"/>
          <w:b/>
          <w:color w:val="000000"/>
          <w:sz w:val="22"/>
        </w:rPr>
        <w:t xml:space="preserve"> training, and manage the National TB Call Centre.</w:t>
      </w:r>
    </w:p>
    <w:p w14:paraId="7ADCDDC3" w14:textId="4B265107" w:rsidR="009E7A1E" w:rsidRPr="009E7A1E" w:rsidRDefault="009E7A1E" w:rsidP="00F2400E">
      <w:pPr>
        <w:pStyle w:val="Heading3"/>
        <w:numPr>
          <w:ilvl w:val="0"/>
          <w:numId w:val="0"/>
        </w:numPr>
        <w:ind w:left="504"/>
        <w:jc w:val="both"/>
        <w:rPr>
          <w:rFonts w:asciiTheme="minorHAnsi" w:hAnsiTheme="minorHAnsi" w:cstheme="minorHAnsi"/>
          <w:color w:val="auto"/>
          <w:sz w:val="22"/>
          <w:szCs w:val="22"/>
        </w:rPr>
      </w:pPr>
      <w:r w:rsidRPr="009E7A1E">
        <w:rPr>
          <w:rFonts w:asciiTheme="minorHAnsi" w:hAnsiTheme="minorHAnsi" w:cstheme="minorHAnsi"/>
          <w:b/>
          <w:bCs/>
          <w:color w:val="auto"/>
          <w:sz w:val="22"/>
          <w:szCs w:val="22"/>
        </w:rPr>
        <w:t xml:space="preserve">The Proposed National Knowledge </w:t>
      </w:r>
      <w:r w:rsidR="00A618FA">
        <w:rPr>
          <w:rFonts w:asciiTheme="minorHAnsi" w:hAnsiTheme="minorHAnsi" w:cstheme="minorHAnsi"/>
          <w:b/>
          <w:bCs/>
          <w:color w:val="auto"/>
          <w:sz w:val="22"/>
          <w:szCs w:val="22"/>
        </w:rPr>
        <w:t>Cell</w:t>
      </w:r>
    </w:p>
    <w:p w14:paraId="063483D8" w14:textId="77777777" w:rsidR="009E7A1E" w:rsidRPr="00BB03B3" w:rsidRDefault="009E7A1E" w:rsidP="002E76F9">
      <w:pPr>
        <w:pStyle w:val="NormalWeb"/>
        <w:ind w:left="504"/>
        <w:jc w:val="both"/>
        <w:rPr>
          <w:rFonts w:asciiTheme="minorHAnsi" w:hAnsiTheme="minorHAnsi" w:cstheme="minorHAnsi"/>
          <w:sz w:val="22"/>
        </w:rPr>
      </w:pPr>
      <w:r w:rsidRPr="00BB03B3">
        <w:rPr>
          <w:rFonts w:asciiTheme="minorHAnsi" w:hAnsiTheme="minorHAnsi" w:cstheme="minorHAnsi"/>
          <w:color w:val="000000"/>
          <w:sz w:val="22"/>
        </w:rPr>
        <w:t>There is a felt need to institutionalize and build inherent capacity to design, deploy and maintain all ICT related operations. All information and communication related activities in CTD needs to be organized into one functional and operational unit with the IT systems serving as the backbone. For this purpose, a knowledge division, led by a CTD officer, with various nodal persons or teams that are concerned with all means of information and communications services needs to be put in place. </w:t>
      </w:r>
    </w:p>
    <w:p w14:paraId="3326F117" w14:textId="6E746EB5" w:rsidR="00E94689" w:rsidRDefault="00A618FA" w:rsidP="00E94689">
      <w:pPr>
        <w:pStyle w:val="NormalWeb"/>
        <w:ind w:left="504"/>
        <w:jc w:val="both"/>
        <w:rPr>
          <w:rFonts w:asciiTheme="minorHAnsi" w:hAnsiTheme="minorHAnsi" w:cstheme="minorHAnsi"/>
          <w:color w:val="000000"/>
          <w:sz w:val="22"/>
        </w:rPr>
      </w:pPr>
      <w:r w:rsidRPr="00A618FA">
        <w:rPr>
          <w:rFonts w:asciiTheme="minorHAnsi" w:hAnsiTheme="minorHAnsi" w:cstheme="minorHAnsi"/>
          <w:color w:val="000000"/>
          <w:sz w:val="22"/>
        </w:rPr>
        <w:t>The Cell will be primarily focusing on with six tracks of work, of which the first track of ICT system is the foundation on which deferent programme components can access, analyze and communicate TB service related feedback to the field. The ICT system will be supported by a Managed Service Provider (MSP) agency that will host all IT services, develop standards, WHO will provide the technical assistance at a central level to manage the various work tracks cohesively.</w:t>
      </w:r>
    </w:p>
    <w:p w14:paraId="1DC6AE34" w14:textId="6B6E091E" w:rsidR="009E7A1E" w:rsidRPr="009E7A1E" w:rsidRDefault="009E7A1E" w:rsidP="00152313">
      <w:pPr>
        <w:pStyle w:val="NormalWeb"/>
        <w:ind w:left="504"/>
        <w:jc w:val="both"/>
        <w:rPr>
          <w:rFonts w:asciiTheme="minorHAnsi" w:hAnsiTheme="minorHAnsi" w:cstheme="minorHAnsi"/>
          <w:sz w:val="18"/>
        </w:rPr>
      </w:pPr>
      <w:r w:rsidRPr="00BB03B3">
        <w:rPr>
          <w:rFonts w:asciiTheme="minorHAnsi" w:hAnsiTheme="minorHAnsi" w:cstheme="minorHAnsi"/>
          <w:color w:val="000000"/>
          <w:sz w:val="22"/>
        </w:rPr>
        <w:t> </w:t>
      </w:r>
      <w:r w:rsidRPr="009E7A1E">
        <w:rPr>
          <w:rFonts w:asciiTheme="minorHAnsi" w:hAnsiTheme="minorHAnsi" w:cstheme="minorHAnsi"/>
          <w:b/>
          <w:color w:val="000000"/>
          <w:sz w:val="18"/>
        </w:rPr>
        <w:t>Figure</w:t>
      </w:r>
      <w:r w:rsidR="008D5417">
        <w:rPr>
          <w:rFonts w:asciiTheme="minorHAnsi" w:hAnsiTheme="minorHAnsi" w:cstheme="minorHAnsi"/>
          <w:b/>
          <w:color w:val="000000"/>
          <w:sz w:val="18"/>
        </w:rPr>
        <w:t xml:space="preserve"> 3</w:t>
      </w:r>
      <w:r w:rsidR="007D39BA">
        <w:rPr>
          <w:rFonts w:asciiTheme="minorHAnsi" w:hAnsiTheme="minorHAnsi" w:cstheme="minorHAnsi"/>
          <w:b/>
          <w:color w:val="000000"/>
          <w:sz w:val="18"/>
        </w:rPr>
        <w:t>1</w:t>
      </w:r>
      <w:r w:rsidRPr="009E7A1E">
        <w:rPr>
          <w:rFonts w:asciiTheme="minorHAnsi" w:hAnsiTheme="minorHAnsi" w:cstheme="minorHAnsi"/>
          <w:b/>
          <w:color w:val="000000"/>
          <w:sz w:val="18"/>
        </w:rPr>
        <w:t>: Proposed Organizational structure</w:t>
      </w:r>
    </w:p>
    <w:p w14:paraId="42C567BD" w14:textId="50B818C2" w:rsidR="009E7A1E" w:rsidRPr="00BB03B3" w:rsidRDefault="00D51C48" w:rsidP="009E7A1E">
      <w:pPr>
        <w:pStyle w:val="NormalWeb"/>
        <w:jc w:val="center"/>
        <w:rPr>
          <w:rFonts w:asciiTheme="minorHAnsi" w:hAnsiTheme="minorHAnsi" w:cstheme="minorHAnsi"/>
          <w:sz w:val="22"/>
        </w:rPr>
      </w:pPr>
      <w:r w:rsidRPr="00D51C48">
        <w:rPr>
          <w:noProof/>
          <w:lang w:val="en-IN" w:eastAsia="en-IN"/>
        </w:rPr>
        <w:drawing>
          <wp:inline distT="0" distB="0" distL="0" distR="0" wp14:anchorId="419AB8D9" wp14:editId="75EE7A95">
            <wp:extent cx="5732145" cy="331470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145" cy="3314700"/>
                    </a:xfrm>
                    <a:prstGeom prst="rect">
                      <a:avLst/>
                    </a:prstGeom>
                  </pic:spPr>
                </pic:pic>
              </a:graphicData>
            </a:graphic>
          </wp:inline>
        </w:drawing>
      </w:r>
    </w:p>
    <w:p w14:paraId="39D5295D" w14:textId="77777777" w:rsidR="007D39BA" w:rsidRDefault="007D39BA" w:rsidP="009E7A1E">
      <w:pPr>
        <w:pStyle w:val="NormalWeb"/>
        <w:jc w:val="both"/>
        <w:rPr>
          <w:rFonts w:asciiTheme="minorHAnsi" w:hAnsiTheme="minorHAnsi" w:cstheme="minorHAnsi"/>
          <w:b/>
          <w:color w:val="000000"/>
          <w:sz w:val="18"/>
        </w:rPr>
      </w:pPr>
    </w:p>
    <w:p w14:paraId="41A0ABA1" w14:textId="77777777" w:rsidR="007D39BA" w:rsidRDefault="007D39BA" w:rsidP="009E7A1E">
      <w:pPr>
        <w:pStyle w:val="NormalWeb"/>
        <w:jc w:val="both"/>
        <w:rPr>
          <w:rFonts w:asciiTheme="minorHAnsi" w:hAnsiTheme="minorHAnsi" w:cstheme="minorHAnsi"/>
          <w:b/>
          <w:color w:val="000000"/>
          <w:sz w:val="18"/>
        </w:rPr>
      </w:pPr>
    </w:p>
    <w:p w14:paraId="30CDDAC7" w14:textId="77777777" w:rsidR="00152313" w:rsidRDefault="00152313" w:rsidP="009E7A1E">
      <w:pPr>
        <w:pStyle w:val="NormalWeb"/>
        <w:jc w:val="both"/>
        <w:rPr>
          <w:rFonts w:asciiTheme="minorHAnsi" w:hAnsiTheme="minorHAnsi" w:cstheme="minorHAnsi"/>
          <w:b/>
          <w:color w:val="000000"/>
          <w:sz w:val="18"/>
        </w:rPr>
      </w:pPr>
    </w:p>
    <w:p w14:paraId="644ED37E" w14:textId="77777777" w:rsidR="00152313" w:rsidRDefault="00152313" w:rsidP="009E7A1E">
      <w:pPr>
        <w:pStyle w:val="NormalWeb"/>
        <w:jc w:val="both"/>
        <w:rPr>
          <w:rFonts w:asciiTheme="minorHAnsi" w:hAnsiTheme="minorHAnsi" w:cstheme="minorHAnsi"/>
          <w:b/>
          <w:color w:val="000000"/>
          <w:sz w:val="18"/>
        </w:rPr>
      </w:pPr>
    </w:p>
    <w:p w14:paraId="3F146263" w14:textId="77777777" w:rsidR="00152313" w:rsidRDefault="00152313" w:rsidP="009E7A1E">
      <w:pPr>
        <w:pStyle w:val="NormalWeb"/>
        <w:jc w:val="both"/>
        <w:rPr>
          <w:rFonts w:asciiTheme="minorHAnsi" w:hAnsiTheme="minorHAnsi" w:cstheme="minorHAnsi"/>
          <w:b/>
          <w:color w:val="000000"/>
          <w:sz w:val="18"/>
        </w:rPr>
      </w:pPr>
    </w:p>
    <w:p w14:paraId="0C0F5319" w14:textId="77777777" w:rsidR="00152313" w:rsidRDefault="00152313" w:rsidP="009E7A1E">
      <w:pPr>
        <w:pStyle w:val="NormalWeb"/>
        <w:jc w:val="both"/>
        <w:rPr>
          <w:rFonts w:asciiTheme="minorHAnsi" w:hAnsiTheme="minorHAnsi" w:cstheme="minorHAnsi"/>
          <w:b/>
          <w:color w:val="000000"/>
          <w:sz w:val="18"/>
        </w:rPr>
      </w:pPr>
    </w:p>
    <w:p w14:paraId="0431355C" w14:textId="77777777" w:rsidR="00F2400E" w:rsidRDefault="00F2400E" w:rsidP="009E7A1E">
      <w:pPr>
        <w:pStyle w:val="NormalWeb"/>
        <w:jc w:val="both"/>
        <w:rPr>
          <w:rFonts w:asciiTheme="minorHAnsi" w:hAnsiTheme="minorHAnsi" w:cstheme="minorHAnsi"/>
          <w:b/>
          <w:color w:val="000000"/>
          <w:sz w:val="18"/>
        </w:rPr>
      </w:pPr>
    </w:p>
    <w:p w14:paraId="576B647A" w14:textId="5A48747F" w:rsidR="009E7A1E" w:rsidRPr="009E7A1E" w:rsidRDefault="009E7A1E" w:rsidP="004A5E9E">
      <w:pPr>
        <w:pStyle w:val="NormalWeb"/>
        <w:ind w:left="720"/>
        <w:jc w:val="both"/>
        <w:rPr>
          <w:rFonts w:asciiTheme="minorHAnsi" w:hAnsiTheme="minorHAnsi" w:cstheme="minorHAnsi"/>
          <w:b/>
          <w:sz w:val="18"/>
        </w:rPr>
      </w:pPr>
      <w:r w:rsidRPr="009E7A1E">
        <w:rPr>
          <w:rFonts w:asciiTheme="minorHAnsi" w:hAnsiTheme="minorHAnsi" w:cstheme="minorHAnsi"/>
          <w:b/>
          <w:color w:val="000000"/>
          <w:sz w:val="18"/>
        </w:rPr>
        <w:t>Figure</w:t>
      </w:r>
      <w:r w:rsidR="00C906CF">
        <w:rPr>
          <w:rFonts w:asciiTheme="minorHAnsi" w:hAnsiTheme="minorHAnsi" w:cstheme="minorHAnsi"/>
          <w:b/>
          <w:color w:val="000000"/>
          <w:sz w:val="18"/>
        </w:rPr>
        <w:t xml:space="preserve"> 3</w:t>
      </w:r>
      <w:r w:rsidR="007D39BA">
        <w:rPr>
          <w:rFonts w:asciiTheme="minorHAnsi" w:hAnsiTheme="minorHAnsi" w:cstheme="minorHAnsi"/>
          <w:b/>
          <w:color w:val="000000"/>
          <w:sz w:val="18"/>
        </w:rPr>
        <w:t>2</w:t>
      </w:r>
      <w:r w:rsidRPr="009E7A1E">
        <w:rPr>
          <w:rFonts w:asciiTheme="minorHAnsi" w:hAnsiTheme="minorHAnsi" w:cstheme="minorHAnsi"/>
          <w:b/>
          <w:color w:val="000000"/>
          <w:sz w:val="18"/>
        </w:rPr>
        <w:t>: Work tracks of the Technical Support Unit and the Roles and Responsibilities of each work track</w:t>
      </w:r>
    </w:p>
    <w:p w14:paraId="2A22EE97" w14:textId="62F0EBF0" w:rsidR="005844B1" w:rsidRDefault="005844B1" w:rsidP="005B1311">
      <w:pPr>
        <w:pStyle w:val="NormalWeb"/>
        <w:ind w:left="720"/>
        <w:jc w:val="both"/>
        <w:rPr>
          <w:rFonts w:asciiTheme="minorHAnsi" w:hAnsiTheme="minorHAnsi" w:cstheme="minorHAnsi"/>
          <w:color w:val="000000"/>
          <w:sz w:val="22"/>
        </w:rPr>
      </w:pPr>
      <w:r w:rsidRPr="005844B1">
        <w:rPr>
          <w:noProof/>
          <w:lang w:val="en-IN" w:eastAsia="en-IN"/>
        </w:rPr>
        <w:lastRenderedPageBreak/>
        <w:drawing>
          <wp:inline distT="0" distB="0" distL="0" distR="0" wp14:anchorId="4F985198" wp14:editId="58E19552">
            <wp:extent cx="5263515" cy="37603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6029" cy="3769260"/>
                    </a:xfrm>
                    <a:prstGeom prst="rect">
                      <a:avLst/>
                    </a:prstGeom>
                  </pic:spPr>
                </pic:pic>
              </a:graphicData>
            </a:graphic>
          </wp:inline>
        </w:drawing>
      </w:r>
    </w:p>
    <w:p w14:paraId="3AFD7FF7" w14:textId="77777777" w:rsidR="005844B1" w:rsidRDefault="005844B1" w:rsidP="00181F87">
      <w:pPr>
        <w:pStyle w:val="NormalWeb"/>
        <w:ind w:left="360"/>
        <w:jc w:val="both"/>
        <w:rPr>
          <w:rFonts w:asciiTheme="minorHAnsi" w:hAnsiTheme="minorHAnsi" w:cstheme="minorHAnsi"/>
          <w:color w:val="000000"/>
          <w:sz w:val="22"/>
        </w:rPr>
      </w:pPr>
    </w:p>
    <w:p w14:paraId="69A96D41" w14:textId="77777777" w:rsidR="009E7A1E" w:rsidRPr="00BB03B3" w:rsidRDefault="009E7A1E" w:rsidP="00181F87">
      <w:pPr>
        <w:pStyle w:val="NormalWeb"/>
        <w:ind w:left="360"/>
        <w:jc w:val="both"/>
        <w:rPr>
          <w:rFonts w:asciiTheme="minorHAnsi" w:hAnsiTheme="minorHAnsi" w:cstheme="minorHAnsi"/>
          <w:sz w:val="22"/>
        </w:rPr>
      </w:pPr>
      <w:r w:rsidRPr="00BB03B3">
        <w:rPr>
          <w:rFonts w:asciiTheme="minorHAnsi" w:hAnsiTheme="minorHAnsi" w:cstheme="minorHAnsi"/>
          <w:color w:val="000000"/>
          <w:sz w:val="22"/>
        </w:rPr>
        <w:t>The first track,</w:t>
      </w:r>
      <w:r w:rsidRPr="00BB03B3">
        <w:rPr>
          <w:rFonts w:asciiTheme="minorHAnsi" w:hAnsiTheme="minorHAnsi" w:cstheme="minorHAnsi"/>
          <w:b/>
          <w:bCs/>
          <w:color w:val="000000"/>
          <w:sz w:val="22"/>
        </w:rPr>
        <w:t xml:space="preserve"> ICT Systems and Technology </w:t>
      </w:r>
      <w:r w:rsidRPr="00BB03B3">
        <w:rPr>
          <w:rFonts w:asciiTheme="minorHAnsi" w:hAnsiTheme="minorHAnsi" w:cstheme="minorHAnsi"/>
          <w:color w:val="000000"/>
          <w:sz w:val="22"/>
        </w:rPr>
        <w:t>will be the foundation on which other tracks function, because the ICT application development and maintenance related to all other tracks will fall here. Various technology partner teams that build and maintain these ICT Systems will associate with CTD under this track and coordinate in such a way that they integrate with each other to form an ecosystem of applications within the NTEP. The roles and responsibilities of each technology partner is elaborated here:</w:t>
      </w:r>
    </w:p>
    <w:p w14:paraId="23D136F9" w14:textId="30D2B310" w:rsidR="009E7A1E" w:rsidRPr="00BB03B3" w:rsidRDefault="009E7A1E" w:rsidP="009136E5">
      <w:pPr>
        <w:pStyle w:val="NormalWeb"/>
        <w:numPr>
          <w:ilvl w:val="0"/>
          <w:numId w:val="83"/>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Conduct needs assessment in consultation with CTD/ WHO, collate requirements received from all stakeholders, perform impact analysis</w:t>
      </w:r>
      <w:r w:rsidR="00F51523">
        <w:rPr>
          <w:rFonts w:asciiTheme="minorHAnsi" w:hAnsiTheme="minorHAnsi" w:cstheme="minorHAnsi"/>
          <w:color w:val="000000"/>
          <w:sz w:val="22"/>
        </w:rPr>
        <w:t>,</w:t>
      </w:r>
      <w:r w:rsidRPr="00BB03B3">
        <w:rPr>
          <w:rFonts w:asciiTheme="minorHAnsi" w:hAnsiTheme="minorHAnsi" w:cstheme="minorHAnsi"/>
          <w:color w:val="000000"/>
          <w:sz w:val="22"/>
        </w:rPr>
        <w:t xml:space="preserve"> and effort estimation.</w:t>
      </w:r>
    </w:p>
    <w:p w14:paraId="2C36B890" w14:textId="77777777" w:rsidR="009E7A1E" w:rsidRPr="00BB03B3" w:rsidRDefault="009E7A1E" w:rsidP="009136E5">
      <w:pPr>
        <w:pStyle w:val="NormalWeb"/>
        <w:numPr>
          <w:ilvl w:val="0"/>
          <w:numId w:val="83"/>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Conduct development sprint planning as per the priorities of the program and share the release plan.</w:t>
      </w:r>
    </w:p>
    <w:p w14:paraId="4A533870" w14:textId="77777777" w:rsidR="009E7A1E" w:rsidRPr="00BB03B3" w:rsidRDefault="009E7A1E" w:rsidP="009136E5">
      <w:pPr>
        <w:pStyle w:val="NormalWeb"/>
        <w:numPr>
          <w:ilvl w:val="0"/>
          <w:numId w:val="83"/>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Build the system functionalities, conduct testing and deploy these features on the field in the agreed upon timelines.</w:t>
      </w:r>
    </w:p>
    <w:p w14:paraId="75A90F81" w14:textId="77777777" w:rsidR="009E7A1E" w:rsidRPr="00BB03B3" w:rsidRDefault="009E7A1E" w:rsidP="009136E5">
      <w:pPr>
        <w:pStyle w:val="NormalWeb"/>
        <w:numPr>
          <w:ilvl w:val="0"/>
          <w:numId w:val="83"/>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Provide technical support, track defects and incidences reported from the field and ensure that fixes are implemented.</w:t>
      </w:r>
    </w:p>
    <w:p w14:paraId="71C4BA80" w14:textId="77777777" w:rsidR="009E7A1E" w:rsidRPr="00BB03B3" w:rsidRDefault="009E7A1E" w:rsidP="009136E5">
      <w:pPr>
        <w:pStyle w:val="NormalWeb"/>
        <w:numPr>
          <w:ilvl w:val="0"/>
          <w:numId w:val="83"/>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Prepare and maintain updated (at all times), training documents, user manuals and system documentation and share the release documents with the stakeholders</w:t>
      </w:r>
    </w:p>
    <w:p w14:paraId="2333BD68" w14:textId="77777777" w:rsidR="009E7A1E" w:rsidRPr="00BB03B3" w:rsidRDefault="009E7A1E" w:rsidP="009136E5">
      <w:pPr>
        <w:pStyle w:val="NormalWeb"/>
        <w:numPr>
          <w:ilvl w:val="0"/>
          <w:numId w:val="83"/>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Set up a process to obtain feedback from the Users</w:t>
      </w:r>
    </w:p>
    <w:p w14:paraId="12F610D5" w14:textId="77777777" w:rsidR="009E7A1E" w:rsidRPr="000A02AF" w:rsidRDefault="009E7A1E" w:rsidP="00181F87">
      <w:pPr>
        <w:pStyle w:val="NormalWeb"/>
        <w:ind w:left="360"/>
        <w:jc w:val="both"/>
        <w:rPr>
          <w:rFonts w:asciiTheme="minorHAnsi" w:hAnsiTheme="minorHAnsi" w:cstheme="minorHAnsi"/>
          <w:b/>
          <w:sz w:val="22"/>
        </w:rPr>
      </w:pPr>
      <w:r w:rsidRPr="000A02AF">
        <w:rPr>
          <w:rFonts w:asciiTheme="minorHAnsi" w:hAnsiTheme="minorHAnsi" w:cstheme="minorHAnsi"/>
          <w:b/>
          <w:color w:val="000000"/>
          <w:sz w:val="22"/>
        </w:rPr>
        <w:t>Progress monitoring and review</w:t>
      </w:r>
    </w:p>
    <w:p w14:paraId="04F06AE3" w14:textId="142DE104" w:rsidR="009E7A1E" w:rsidRPr="00BB03B3" w:rsidRDefault="009E7A1E" w:rsidP="0016039D">
      <w:pPr>
        <w:pStyle w:val="NormalWeb"/>
        <w:spacing w:after="120"/>
        <w:ind w:left="360"/>
        <w:jc w:val="both"/>
        <w:rPr>
          <w:rFonts w:asciiTheme="minorHAnsi" w:hAnsiTheme="minorHAnsi" w:cstheme="minorHAnsi"/>
          <w:sz w:val="22"/>
        </w:rPr>
      </w:pPr>
      <w:r w:rsidRPr="00BB03B3">
        <w:rPr>
          <w:rFonts w:asciiTheme="minorHAnsi" w:hAnsiTheme="minorHAnsi" w:cstheme="minorHAnsi"/>
          <w:color w:val="000000"/>
          <w:sz w:val="22"/>
        </w:rPr>
        <w:t xml:space="preserve">To successfully deliver a nationally implemented Ecosystem of application with a spectrum of stakeholders, a robust monitoring and review process needs to be </w:t>
      </w:r>
      <w:r w:rsidR="00F51523" w:rsidRPr="00BB03B3">
        <w:rPr>
          <w:rFonts w:asciiTheme="minorHAnsi" w:hAnsiTheme="minorHAnsi" w:cstheme="minorHAnsi"/>
          <w:color w:val="000000"/>
          <w:sz w:val="22"/>
        </w:rPr>
        <w:t>institutionalized</w:t>
      </w:r>
      <w:r w:rsidRPr="00BB03B3">
        <w:rPr>
          <w:rFonts w:asciiTheme="minorHAnsi" w:hAnsiTheme="minorHAnsi" w:cstheme="minorHAnsi"/>
          <w:color w:val="000000"/>
          <w:sz w:val="22"/>
        </w:rPr>
        <w:t xml:space="preserve">. This is vital to make sure that the program’s resources are optimally </w:t>
      </w:r>
      <w:r w:rsidR="00F51523" w:rsidRPr="00BB03B3">
        <w:rPr>
          <w:rFonts w:asciiTheme="minorHAnsi" w:hAnsiTheme="minorHAnsi" w:cstheme="minorHAnsi"/>
          <w:color w:val="000000"/>
          <w:sz w:val="22"/>
        </w:rPr>
        <w:t>utilized</w:t>
      </w:r>
      <w:r w:rsidRPr="00BB03B3">
        <w:rPr>
          <w:rFonts w:asciiTheme="minorHAnsi" w:hAnsiTheme="minorHAnsi" w:cstheme="minorHAnsi"/>
          <w:color w:val="000000"/>
          <w:sz w:val="22"/>
        </w:rPr>
        <w:t xml:space="preserve"> to meet its priorities and objectives. An effective progress monitoring and review framework would ensure that the deliverables are of highest quality standards and as per the planned timelines. For this purpose a detailed project plan (covering all tracks) will be prepared, against which, progress will be monitored on an ongoing basis. Periodic reviews will be conducted with the relevant stakeholders to monitor progress. Risks would be identified and documented, mitigation </w:t>
      </w:r>
      <w:r w:rsidRPr="00BB03B3">
        <w:rPr>
          <w:rFonts w:asciiTheme="minorHAnsi" w:hAnsiTheme="minorHAnsi" w:cstheme="minorHAnsi"/>
          <w:color w:val="000000"/>
          <w:sz w:val="22"/>
        </w:rPr>
        <w:lastRenderedPageBreak/>
        <w:t>measures to be taken as required.  The monitoring and review process would be led by the head of CTD, with technical support from the TSU along with the project partners.</w:t>
      </w:r>
    </w:p>
    <w:p w14:paraId="68246A5F" w14:textId="74F35DC7" w:rsidR="00BB03B3" w:rsidRPr="007D39BA" w:rsidRDefault="00181F87" w:rsidP="009136E5">
      <w:pPr>
        <w:pStyle w:val="ListParagraph"/>
        <w:numPr>
          <w:ilvl w:val="2"/>
          <w:numId w:val="75"/>
        </w:numPr>
        <w:spacing w:before="0"/>
        <w:ind w:left="504"/>
        <w:contextualSpacing w:val="0"/>
        <w:jc w:val="both"/>
        <w:rPr>
          <w:rFonts w:asciiTheme="minorHAnsi" w:hAnsiTheme="minorHAnsi" w:cstheme="minorHAnsi"/>
          <w:b/>
          <w:sz w:val="22"/>
        </w:rPr>
      </w:pPr>
      <w:r w:rsidRPr="00181F87">
        <w:rPr>
          <w:rFonts w:asciiTheme="minorHAnsi" w:hAnsiTheme="minorHAnsi" w:cstheme="minorHAnsi"/>
          <w:b/>
          <w:color w:val="000000"/>
          <w:sz w:val="22"/>
        </w:rPr>
        <w:t>S</w:t>
      </w:r>
      <w:r w:rsidR="00BB03B3" w:rsidRPr="00181F87">
        <w:rPr>
          <w:rFonts w:asciiTheme="minorHAnsi" w:hAnsiTheme="minorHAnsi" w:cstheme="minorHAnsi"/>
          <w:b/>
          <w:color w:val="000000"/>
          <w:sz w:val="22"/>
        </w:rPr>
        <w:t xml:space="preserve">trengthen </w:t>
      </w:r>
      <w:r w:rsidRPr="00181F87">
        <w:rPr>
          <w:rFonts w:asciiTheme="minorHAnsi" w:hAnsiTheme="minorHAnsi" w:cstheme="minorHAnsi"/>
          <w:b/>
          <w:color w:val="000000"/>
          <w:sz w:val="22"/>
        </w:rPr>
        <w:t>NTEP’s</w:t>
      </w:r>
      <w:r w:rsidR="00BB03B3" w:rsidRPr="00181F87">
        <w:rPr>
          <w:rFonts w:asciiTheme="minorHAnsi" w:hAnsiTheme="minorHAnsi" w:cstheme="minorHAnsi"/>
          <w:b/>
          <w:color w:val="000000"/>
          <w:sz w:val="22"/>
        </w:rPr>
        <w:t xml:space="preserve"> information systems further, to support the increasing demands of the program to </w:t>
      </w:r>
      <w:r w:rsidRPr="00181F87">
        <w:rPr>
          <w:rFonts w:asciiTheme="minorHAnsi" w:hAnsiTheme="minorHAnsi" w:cstheme="minorHAnsi"/>
          <w:b/>
          <w:color w:val="000000"/>
          <w:sz w:val="22"/>
        </w:rPr>
        <w:t>accelerate</w:t>
      </w:r>
      <w:r w:rsidR="00BB03B3" w:rsidRPr="00181F87">
        <w:rPr>
          <w:rFonts w:asciiTheme="minorHAnsi" w:hAnsiTheme="minorHAnsi" w:cstheme="minorHAnsi"/>
          <w:b/>
          <w:color w:val="000000"/>
          <w:sz w:val="22"/>
        </w:rPr>
        <w:t xml:space="preserve"> </w:t>
      </w:r>
      <w:r w:rsidR="00BB03B3" w:rsidRPr="00181F87">
        <w:rPr>
          <w:rFonts w:asciiTheme="minorHAnsi" w:hAnsiTheme="minorHAnsi" w:cstheme="minorHAnsi"/>
          <w:b/>
          <w:color w:val="222222"/>
          <w:sz w:val="22"/>
          <w:shd w:val="clear" w:color="auto" w:fill="FFFFFF"/>
        </w:rPr>
        <w:t xml:space="preserve">India’s campaign to eliminate </w:t>
      </w:r>
      <w:r w:rsidR="00BB03B3" w:rsidRPr="00181F87">
        <w:rPr>
          <w:rFonts w:asciiTheme="minorHAnsi" w:hAnsiTheme="minorHAnsi" w:cstheme="minorHAnsi"/>
          <w:b/>
          <w:bCs/>
          <w:color w:val="222222"/>
          <w:sz w:val="22"/>
          <w:shd w:val="clear" w:color="auto" w:fill="FFFFFF"/>
        </w:rPr>
        <w:t>TB</w:t>
      </w:r>
      <w:r w:rsidR="00BB03B3" w:rsidRPr="00181F87">
        <w:rPr>
          <w:rFonts w:asciiTheme="minorHAnsi" w:hAnsiTheme="minorHAnsi" w:cstheme="minorHAnsi"/>
          <w:b/>
          <w:color w:val="222222"/>
          <w:sz w:val="22"/>
          <w:shd w:val="clear" w:color="auto" w:fill="FFFFFF"/>
        </w:rPr>
        <w:t xml:space="preserve"> from </w:t>
      </w:r>
      <w:r w:rsidR="00BB03B3" w:rsidRPr="00181F87">
        <w:rPr>
          <w:rFonts w:asciiTheme="minorHAnsi" w:hAnsiTheme="minorHAnsi" w:cstheme="minorHAnsi"/>
          <w:b/>
          <w:bCs/>
          <w:color w:val="222222"/>
          <w:sz w:val="22"/>
          <w:shd w:val="clear" w:color="auto" w:fill="FFFFFF"/>
        </w:rPr>
        <w:t>India</w:t>
      </w:r>
      <w:r w:rsidR="00BB03B3" w:rsidRPr="00181F87">
        <w:rPr>
          <w:rFonts w:asciiTheme="minorHAnsi" w:hAnsiTheme="minorHAnsi" w:cstheme="minorHAnsi"/>
          <w:b/>
          <w:color w:val="222222"/>
          <w:sz w:val="22"/>
          <w:shd w:val="clear" w:color="auto" w:fill="FFFFFF"/>
        </w:rPr>
        <w:t xml:space="preserve"> by 2025. </w:t>
      </w:r>
    </w:p>
    <w:p w14:paraId="2020AAE0" w14:textId="071856F2" w:rsidR="007D39BA" w:rsidRPr="007D39BA" w:rsidRDefault="00C906CF" w:rsidP="007D39BA">
      <w:pPr>
        <w:pStyle w:val="ListParagraph"/>
        <w:spacing w:after="0"/>
        <w:ind w:left="0"/>
        <w:jc w:val="both"/>
        <w:rPr>
          <w:rFonts w:asciiTheme="minorHAnsi" w:hAnsiTheme="minorHAnsi" w:cstheme="minorHAnsi"/>
          <w:b/>
          <w:sz w:val="18"/>
        </w:rPr>
      </w:pPr>
      <w:r>
        <w:rPr>
          <w:rFonts w:asciiTheme="minorHAnsi" w:hAnsiTheme="minorHAnsi" w:cstheme="minorHAnsi"/>
          <w:b/>
          <w:color w:val="000000"/>
          <w:sz w:val="18"/>
        </w:rPr>
        <w:t>Figure 3</w:t>
      </w:r>
      <w:r w:rsidR="007D39BA" w:rsidRPr="007D39BA">
        <w:rPr>
          <w:rFonts w:asciiTheme="minorHAnsi" w:hAnsiTheme="minorHAnsi" w:cstheme="minorHAnsi"/>
          <w:b/>
          <w:color w:val="000000"/>
          <w:sz w:val="18"/>
        </w:rPr>
        <w:t xml:space="preserve">3: </w:t>
      </w:r>
      <w:r w:rsidR="007D39BA">
        <w:rPr>
          <w:rFonts w:asciiTheme="minorHAnsi" w:hAnsiTheme="minorHAnsi" w:cstheme="minorHAnsi"/>
          <w:b/>
          <w:color w:val="000000"/>
          <w:sz w:val="18"/>
        </w:rPr>
        <w:t>The proposed ICT system</w:t>
      </w:r>
    </w:p>
    <w:p w14:paraId="5811B353" w14:textId="4CA70223" w:rsidR="00BB03B3" w:rsidRPr="00BB03B3" w:rsidRDefault="00121E96" w:rsidP="005B1311">
      <w:pPr>
        <w:pStyle w:val="NormalWeb"/>
        <w:jc w:val="both"/>
        <w:rPr>
          <w:rFonts w:asciiTheme="minorHAnsi" w:hAnsiTheme="minorHAnsi" w:cstheme="minorHAnsi"/>
          <w:sz w:val="22"/>
        </w:rPr>
      </w:pPr>
      <w:r w:rsidRPr="00121E96">
        <w:rPr>
          <w:noProof/>
          <w:lang w:val="en-IN" w:eastAsia="en-IN"/>
        </w:rPr>
        <w:drawing>
          <wp:inline distT="0" distB="0" distL="0" distR="0" wp14:anchorId="3E09DFAB" wp14:editId="612A59E8">
            <wp:extent cx="5686425" cy="3194050"/>
            <wp:effectExtent l="0" t="0" r="952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96552" cy="3199738"/>
                    </a:xfrm>
                    <a:prstGeom prst="rect">
                      <a:avLst/>
                    </a:prstGeom>
                  </pic:spPr>
                </pic:pic>
              </a:graphicData>
            </a:graphic>
          </wp:inline>
        </w:drawing>
      </w:r>
    </w:p>
    <w:p w14:paraId="794A862C" w14:textId="1017102A" w:rsidR="00BB03B3" w:rsidRPr="00181F87" w:rsidRDefault="00BB03B3" w:rsidP="002E76F9">
      <w:pPr>
        <w:pStyle w:val="NormalWeb"/>
        <w:spacing w:before="240" w:after="240"/>
        <w:jc w:val="both"/>
        <w:rPr>
          <w:rFonts w:asciiTheme="minorHAnsi" w:hAnsiTheme="minorHAnsi" w:cstheme="minorHAnsi"/>
          <w:b/>
          <w:color w:val="000000"/>
          <w:sz w:val="22"/>
        </w:rPr>
      </w:pPr>
      <w:r w:rsidRPr="00181F87">
        <w:rPr>
          <w:rFonts w:asciiTheme="minorHAnsi" w:hAnsiTheme="minorHAnsi" w:cstheme="minorHAnsi"/>
          <w:b/>
          <w:color w:val="000000"/>
          <w:sz w:val="22"/>
        </w:rPr>
        <w:t>The five focus areas for taking up the various ICT based development initiatives are as follows:</w:t>
      </w:r>
      <w:r w:rsidR="00181F87" w:rsidRPr="00181F87">
        <w:rPr>
          <w:rFonts w:asciiTheme="minorHAnsi" w:hAnsiTheme="minorHAnsi" w:cstheme="minorHAnsi"/>
          <w:b/>
          <w:color w:val="000000"/>
          <w:sz w:val="22"/>
        </w:rPr>
        <w:t xml:space="preserve"> </w:t>
      </w:r>
    </w:p>
    <w:p w14:paraId="57C1364B" w14:textId="77777777" w:rsidR="00181F87" w:rsidRPr="00181F87" w:rsidRDefault="00181F87" w:rsidP="009136E5">
      <w:pPr>
        <w:pStyle w:val="ListParagraph"/>
        <w:numPr>
          <w:ilvl w:val="3"/>
          <w:numId w:val="75"/>
        </w:numPr>
        <w:ind w:left="1260" w:hanging="720"/>
        <w:jc w:val="both"/>
        <w:rPr>
          <w:rFonts w:asciiTheme="minorHAnsi" w:hAnsiTheme="minorHAnsi" w:cstheme="minorHAnsi"/>
          <w:b/>
          <w:color w:val="000000"/>
          <w:sz w:val="22"/>
        </w:rPr>
      </w:pPr>
      <w:r w:rsidRPr="00181F87">
        <w:rPr>
          <w:rFonts w:asciiTheme="minorHAnsi" w:hAnsiTheme="minorHAnsi" w:cstheme="minorHAnsi"/>
          <w:b/>
          <w:color w:val="000000"/>
          <w:sz w:val="22"/>
        </w:rPr>
        <w:t>Focus Area 1: Maintenance of the existing systems at scale and sustenance</w:t>
      </w:r>
    </w:p>
    <w:p w14:paraId="2A4CCFD6" w14:textId="6F6C577C" w:rsidR="00181F87" w:rsidRPr="00181F87" w:rsidRDefault="00EA57CE" w:rsidP="009136E5">
      <w:pPr>
        <w:pStyle w:val="NormalWeb"/>
        <w:numPr>
          <w:ilvl w:val="2"/>
          <w:numId w:val="84"/>
        </w:numPr>
        <w:textAlignment w:val="baseline"/>
        <w:rPr>
          <w:rFonts w:asciiTheme="minorHAnsi" w:hAnsiTheme="minorHAnsi" w:cstheme="minorHAnsi"/>
          <w:color w:val="000000"/>
          <w:sz w:val="22"/>
        </w:rPr>
      </w:pPr>
      <w:r w:rsidRPr="00181F87">
        <w:rPr>
          <w:rFonts w:asciiTheme="minorHAnsi" w:hAnsiTheme="minorHAnsi" w:cstheme="minorHAnsi"/>
          <w:color w:val="000000"/>
          <w:sz w:val="22"/>
        </w:rPr>
        <w:t>Optimizing</w:t>
      </w:r>
      <w:r w:rsidR="00181F87" w:rsidRPr="00181F87">
        <w:rPr>
          <w:rFonts w:asciiTheme="minorHAnsi" w:hAnsiTheme="minorHAnsi" w:cstheme="minorHAnsi"/>
          <w:color w:val="000000"/>
          <w:sz w:val="22"/>
        </w:rPr>
        <w:t xml:space="preserve"> for scale; Ability to efficiently manage the increasing volume of enrolments / transaction processing through the systems while maintaining high system availability and uptime.</w:t>
      </w:r>
    </w:p>
    <w:p w14:paraId="5FCE107E" w14:textId="2AF41391" w:rsidR="00181F87" w:rsidRPr="00181F87" w:rsidRDefault="00181F87" w:rsidP="009136E5">
      <w:pPr>
        <w:pStyle w:val="NormalWeb"/>
        <w:numPr>
          <w:ilvl w:val="2"/>
          <w:numId w:val="84"/>
        </w:numPr>
        <w:textAlignment w:val="baseline"/>
        <w:rPr>
          <w:rFonts w:asciiTheme="minorHAnsi" w:hAnsiTheme="minorHAnsi" w:cstheme="minorHAnsi"/>
          <w:color w:val="000000"/>
          <w:sz w:val="22"/>
        </w:rPr>
      </w:pPr>
      <w:r w:rsidRPr="00181F87">
        <w:rPr>
          <w:rFonts w:asciiTheme="minorHAnsi" w:hAnsiTheme="minorHAnsi" w:cstheme="minorHAnsi"/>
          <w:color w:val="000000"/>
          <w:sz w:val="22"/>
        </w:rPr>
        <w:t>Ensure that the users can use the Nikshay eco-systems and its modules optimally and meet the objectives for which it was built.</w:t>
      </w:r>
    </w:p>
    <w:p w14:paraId="7F5BA41C" w14:textId="04BFB29B" w:rsidR="00181F87" w:rsidRPr="00181F87" w:rsidRDefault="00181F87" w:rsidP="009136E5">
      <w:pPr>
        <w:pStyle w:val="NormalWeb"/>
        <w:numPr>
          <w:ilvl w:val="2"/>
          <w:numId w:val="84"/>
        </w:numPr>
        <w:textAlignment w:val="baseline"/>
        <w:rPr>
          <w:rFonts w:asciiTheme="minorHAnsi" w:hAnsiTheme="minorHAnsi" w:cstheme="minorHAnsi"/>
          <w:color w:val="000000"/>
          <w:sz w:val="22"/>
        </w:rPr>
      </w:pPr>
      <w:r w:rsidRPr="00181F87">
        <w:rPr>
          <w:rFonts w:asciiTheme="minorHAnsi" w:hAnsiTheme="minorHAnsi" w:cstheme="minorHAnsi"/>
          <w:color w:val="000000"/>
          <w:sz w:val="22"/>
        </w:rPr>
        <w:t>Continuous performance monitoring and improvements/</w:t>
      </w:r>
      <w:r w:rsidR="00EA57CE" w:rsidRPr="00181F87">
        <w:rPr>
          <w:rFonts w:asciiTheme="minorHAnsi" w:hAnsiTheme="minorHAnsi" w:cstheme="minorHAnsi"/>
          <w:color w:val="000000"/>
          <w:sz w:val="22"/>
        </w:rPr>
        <w:t>optimizations</w:t>
      </w:r>
    </w:p>
    <w:p w14:paraId="79B3CD6A" w14:textId="2FF95825" w:rsidR="00181F87" w:rsidRPr="00181F87" w:rsidRDefault="00181F87" w:rsidP="009136E5">
      <w:pPr>
        <w:pStyle w:val="NormalWeb"/>
        <w:numPr>
          <w:ilvl w:val="2"/>
          <w:numId w:val="84"/>
        </w:numPr>
        <w:textAlignment w:val="baseline"/>
        <w:rPr>
          <w:rFonts w:asciiTheme="minorHAnsi" w:hAnsiTheme="minorHAnsi" w:cstheme="minorHAnsi"/>
          <w:color w:val="000000"/>
          <w:sz w:val="22"/>
        </w:rPr>
      </w:pPr>
      <w:r w:rsidRPr="00181F87">
        <w:rPr>
          <w:rFonts w:asciiTheme="minorHAnsi" w:hAnsiTheme="minorHAnsi" w:cstheme="minorHAnsi"/>
          <w:color w:val="000000"/>
          <w:sz w:val="22"/>
        </w:rPr>
        <w:t>Robust mechanism for Technical Support: A responsive technical support channel to resolve user’s issues in an effective and timely manner.</w:t>
      </w:r>
    </w:p>
    <w:p w14:paraId="01DC5678" w14:textId="0BB758CA" w:rsidR="00181F87" w:rsidRPr="00181F87" w:rsidRDefault="00181F87" w:rsidP="009136E5">
      <w:pPr>
        <w:pStyle w:val="NormalWeb"/>
        <w:numPr>
          <w:ilvl w:val="2"/>
          <w:numId w:val="84"/>
        </w:numPr>
        <w:textAlignment w:val="baseline"/>
        <w:rPr>
          <w:rFonts w:asciiTheme="minorHAnsi" w:hAnsiTheme="minorHAnsi" w:cstheme="minorHAnsi"/>
          <w:color w:val="000000"/>
          <w:sz w:val="22"/>
        </w:rPr>
      </w:pPr>
      <w:r w:rsidRPr="00181F87">
        <w:rPr>
          <w:rFonts w:asciiTheme="minorHAnsi" w:hAnsiTheme="minorHAnsi" w:cstheme="minorHAnsi"/>
          <w:color w:val="000000"/>
          <w:sz w:val="22"/>
        </w:rPr>
        <w:t>Resolution of defects raised internally or reported by users and fine tuning the systems to ensure that the failures and errors are minimal</w:t>
      </w:r>
    </w:p>
    <w:p w14:paraId="2B117501" w14:textId="77777777" w:rsidR="00054423" w:rsidRDefault="00054423" w:rsidP="00BB03B3">
      <w:pPr>
        <w:pStyle w:val="NormalWeb"/>
        <w:jc w:val="both"/>
        <w:rPr>
          <w:rFonts w:asciiTheme="minorHAnsi" w:hAnsiTheme="minorHAnsi" w:cstheme="minorHAnsi"/>
          <w:color w:val="000000"/>
          <w:sz w:val="22"/>
        </w:rPr>
      </w:pPr>
    </w:p>
    <w:p w14:paraId="522788C5" w14:textId="51B6C203" w:rsidR="007D39BA" w:rsidRDefault="00BB03B3" w:rsidP="003D52EF">
      <w:pPr>
        <w:pStyle w:val="NormalWeb"/>
        <w:ind w:left="720"/>
        <w:jc w:val="both"/>
        <w:rPr>
          <w:rFonts w:asciiTheme="minorHAnsi" w:hAnsiTheme="minorHAnsi" w:cstheme="minorHAnsi"/>
          <w:color w:val="000000"/>
          <w:sz w:val="22"/>
        </w:rPr>
      </w:pPr>
      <w:r w:rsidRPr="00BB03B3">
        <w:rPr>
          <w:rFonts w:asciiTheme="minorHAnsi" w:hAnsiTheme="minorHAnsi" w:cstheme="minorHAnsi"/>
          <w:color w:val="000000"/>
          <w:sz w:val="22"/>
        </w:rPr>
        <w:t>Owing to the sheer scale of the program operations of NTEP and its increasing momentum to pursue the 2025 goal, an estimation of volumes are depicted below:</w:t>
      </w:r>
      <w:r w:rsidR="007D39BA">
        <w:rPr>
          <w:rFonts w:asciiTheme="minorHAnsi" w:hAnsiTheme="minorHAnsi" w:cstheme="minorHAnsi"/>
          <w:color w:val="000000"/>
          <w:sz w:val="22"/>
        </w:rPr>
        <w:t xml:space="preserve"> </w:t>
      </w:r>
    </w:p>
    <w:p w14:paraId="78E679C8" w14:textId="77777777" w:rsidR="004A5E9E" w:rsidRDefault="004A5E9E" w:rsidP="007D39BA">
      <w:pPr>
        <w:pStyle w:val="NormalWeb"/>
        <w:jc w:val="both"/>
        <w:rPr>
          <w:rFonts w:asciiTheme="minorHAnsi" w:hAnsiTheme="minorHAnsi" w:cstheme="minorHAnsi"/>
          <w:b/>
          <w:color w:val="000000"/>
          <w:sz w:val="18"/>
        </w:rPr>
      </w:pPr>
    </w:p>
    <w:p w14:paraId="3CDAF1AE" w14:textId="77777777" w:rsidR="004A5E9E" w:rsidRDefault="004A5E9E" w:rsidP="007D39BA">
      <w:pPr>
        <w:pStyle w:val="NormalWeb"/>
        <w:jc w:val="both"/>
        <w:rPr>
          <w:rFonts w:asciiTheme="minorHAnsi" w:hAnsiTheme="minorHAnsi" w:cstheme="minorHAnsi"/>
          <w:b/>
          <w:color w:val="000000"/>
          <w:sz w:val="18"/>
        </w:rPr>
      </w:pPr>
    </w:p>
    <w:p w14:paraId="36767C26" w14:textId="77777777" w:rsidR="004A5E9E" w:rsidRDefault="004A5E9E" w:rsidP="007D39BA">
      <w:pPr>
        <w:pStyle w:val="NormalWeb"/>
        <w:jc w:val="both"/>
        <w:rPr>
          <w:rFonts w:asciiTheme="minorHAnsi" w:hAnsiTheme="minorHAnsi" w:cstheme="minorHAnsi"/>
          <w:b/>
          <w:color w:val="000000"/>
          <w:sz w:val="18"/>
        </w:rPr>
      </w:pPr>
    </w:p>
    <w:p w14:paraId="7A8592C5" w14:textId="77777777" w:rsidR="004A5E9E" w:rsidRDefault="004A5E9E" w:rsidP="007D39BA">
      <w:pPr>
        <w:pStyle w:val="NormalWeb"/>
        <w:jc w:val="both"/>
        <w:rPr>
          <w:rFonts w:asciiTheme="minorHAnsi" w:hAnsiTheme="minorHAnsi" w:cstheme="minorHAnsi"/>
          <w:b/>
          <w:color w:val="000000"/>
          <w:sz w:val="18"/>
        </w:rPr>
      </w:pPr>
    </w:p>
    <w:p w14:paraId="715C8F04" w14:textId="77777777" w:rsidR="004A5E9E" w:rsidRDefault="004A5E9E" w:rsidP="007D39BA">
      <w:pPr>
        <w:pStyle w:val="NormalWeb"/>
        <w:jc w:val="both"/>
        <w:rPr>
          <w:rFonts w:asciiTheme="minorHAnsi" w:hAnsiTheme="minorHAnsi" w:cstheme="minorHAnsi"/>
          <w:b/>
          <w:color w:val="000000"/>
          <w:sz w:val="18"/>
        </w:rPr>
      </w:pPr>
    </w:p>
    <w:p w14:paraId="06E78B9C" w14:textId="77777777" w:rsidR="004A5E9E" w:rsidRDefault="004A5E9E" w:rsidP="007D39BA">
      <w:pPr>
        <w:pStyle w:val="NormalWeb"/>
        <w:jc w:val="both"/>
        <w:rPr>
          <w:rFonts w:asciiTheme="minorHAnsi" w:hAnsiTheme="minorHAnsi" w:cstheme="minorHAnsi"/>
          <w:b/>
          <w:color w:val="000000"/>
          <w:sz w:val="18"/>
        </w:rPr>
      </w:pPr>
    </w:p>
    <w:p w14:paraId="7BE39C96" w14:textId="77777777" w:rsidR="004A5E9E" w:rsidRDefault="004A5E9E" w:rsidP="007D39BA">
      <w:pPr>
        <w:pStyle w:val="NormalWeb"/>
        <w:jc w:val="both"/>
        <w:rPr>
          <w:rFonts w:asciiTheme="minorHAnsi" w:hAnsiTheme="minorHAnsi" w:cstheme="minorHAnsi"/>
          <w:b/>
          <w:color w:val="000000"/>
          <w:sz w:val="18"/>
        </w:rPr>
      </w:pPr>
    </w:p>
    <w:p w14:paraId="65FB1A2E" w14:textId="77777777" w:rsidR="004A5E9E" w:rsidRDefault="004A5E9E" w:rsidP="007D39BA">
      <w:pPr>
        <w:pStyle w:val="NormalWeb"/>
        <w:jc w:val="both"/>
        <w:rPr>
          <w:rFonts w:asciiTheme="minorHAnsi" w:hAnsiTheme="minorHAnsi" w:cstheme="minorHAnsi"/>
          <w:b/>
          <w:color w:val="000000"/>
          <w:sz w:val="18"/>
        </w:rPr>
      </w:pPr>
    </w:p>
    <w:p w14:paraId="6D2841EE" w14:textId="77777777" w:rsidR="004A5E9E" w:rsidRDefault="004A5E9E" w:rsidP="007D39BA">
      <w:pPr>
        <w:pStyle w:val="NormalWeb"/>
        <w:jc w:val="both"/>
        <w:rPr>
          <w:rFonts w:asciiTheme="minorHAnsi" w:hAnsiTheme="minorHAnsi" w:cstheme="minorHAnsi"/>
          <w:b/>
          <w:color w:val="000000"/>
          <w:sz w:val="18"/>
        </w:rPr>
      </w:pPr>
    </w:p>
    <w:p w14:paraId="3C7644E4" w14:textId="77777777" w:rsidR="004A5E9E" w:rsidRDefault="004A5E9E" w:rsidP="007D39BA">
      <w:pPr>
        <w:pStyle w:val="NormalWeb"/>
        <w:jc w:val="both"/>
        <w:rPr>
          <w:rFonts w:asciiTheme="minorHAnsi" w:hAnsiTheme="minorHAnsi" w:cstheme="minorHAnsi"/>
          <w:b/>
          <w:color w:val="000000"/>
          <w:sz w:val="18"/>
        </w:rPr>
      </w:pPr>
    </w:p>
    <w:p w14:paraId="6B3DBBC3" w14:textId="59744B88" w:rsidR="007D39BA" w:rsidRPr="007D39BA" w:rsidRDefault="00C906CF" w:rsidP="007D39BA">
      <w:pPr>
        <w:pStyle w:val="NormalWeb"/>
        <w:jc w:val="both"/>
        <w:rPr>
          <w:rFonts w:asciiTheme="minorHAnsi" w:hAnsiTheme="minorHAnsi" w:cstheme="minorHAnsi"/>
          <w:b/>
          <w:color w:val="000000"/>
          <w:sz w:val="18"/>
        </w:rPr>
      </w:pPr>
      <w:r>
        <w:rPr>
          <w:rFonts w:asciiTheme="minorHAnsi" w:hAnsiTheme="minorHAnsi" w:cstheme="minorHAnsi"/>
          <w:b/>
          <w:color w:val="000000"/>
          <w:sz w:val="18"/>
        </w:rPr>
        <w:lastRenderedPageBreak/>
        <w:t>Figure 3</w:t>
      </w:r>
      <w:r w:rsidR="007D39BA" w:rsidRPr="007D39BA">
        <w:rPr>
          <w:rFonts w:asciiTheme="minorHAnsi" w:hAnsiTheme="minorHAnsi" w:cstheme="minorHAnsi"/>
          <w:b/>
          <w:color w:val="000000"/>
          <w:sz w:val="18"/>
        </w:rPr>
        <w:t xml:space="preserve">4: </w:t>
      </w:r>
      <w:r w:rsidR="003F6791">
        <w:rPr>
          <w:rFonts w:asciiTheme="minorHAnsi" w:hAnsiTheme="minorHAnsi" w:cstheme="minorHAnsi"/>
          <w:b/>
          <w:color w:val="000000"/>
          <w:sz w:val="18"/>
        </w:rPr>
        <w:t>Scale up</w:t>
      </w:r>
      <w:r w:rsidR="007D39BA">
        <w:rPr>
          <w:rFonts w:asciiTheme="minorHAnsi" w:hAnsiTheme="minorHAnsi" w:cstheme="minorHAnsi"/>
          <w:b/>
          <w:color w:val="000000"/>
          <w:sz w:val="18"/>
        </w:rPr>
        <w:t xml:space="preserve"> estimation</w:t>
      </w:r>
      <w:r w:rsidR="00470B2B">
        <w:rPr>
          <w:rFonts w:asciiTheme="minorHAnsi" w:hAnsiTheme="minorHAnsi" w:cstheme="minorHAnsi"/>
          <w:b/>
          <w:color w:val="000000"/>
          <w:sz w:val="18"/>
        </w:rPr>
        <w:t xml:space="preserve"> </w:t>
      </w:r>
    </w:p>
    <w:p w14:paraId="0B53B5BB" w14:textId="53F92139" w:rsidR="00BB03B3" w:rsidRDefault="003F6791" w:rsidP="00BB03B3">
      <w:pPr>
        <w:pStyle w:val="NormalWeb"/>
        <w:jc w:val="both"/>
        <w:rPr>
          <w:rFonts w:asciiTheme="minorHAnsi" w:hAnsiTheme="minorHAnsi" w:cstheme="minorHAnsi"/>
          <w:sz w:val="22"/>
        </w:rPr>
      </w:pPr>
      <w:r w:rsidRPr="003F6791">
        <w:rPr>
          <w:noProof/>
          <w:lang w:val="en-IN" w:eastAsia="en-IN"/>
        </w:rPr>
        <w:drawing>
          <wp:inline distT="0" distB="0" distL="0" distR="0" wp14:anchorId="177C69B7" wp14:editId="30C8016F">
            <wp:extent cx="5732145" cy="2722880"/>
            <wp:effectExtent l="0" t="0" r="190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2145" cy="2722880"/>
                    </a:xfrm>
                    <a:prstGeom prst="rect">
                      <a:avLst/>
                    </a:prstGeom>
                  </pic:spPr>
                </pic:pic>
              </a:graphicData>
            </a:graphic>
          </wp:inline>
        </w:drawing>
      </w:r>
    </w:p>
    <w:p w14:paraId="4A5F25DB" w14:textId="418B641C" w:rsidR="003F6791" w:rsidRPr="00BB03B3" w:rsidRDefault="003F6791" w:rsidP="00BB03B3">
      <w:pPr>
        <w:pStyle w:val="NormalWeb"/>
        <w:jc w:val="both"/>
        <w:rPr>
          <w:rFonts w:asciiTheme="minorHAnsi" w:hAnsiTheme="minorHAnsi" w:cstheme="minorHAnsi"/>
          <w:sz w:val="22"/>
        </w:rPr>
      </w:pPr>
    </w:p>
    <w:p w14:paraId="717D877F" w14:textId="77777777" w:rsidR="00562939" w:rsidRPr="00562939" w:rsidRDefault="00562939" w:rsidP="009136E5">
      <w:pPr>
        <w:pStyle w:val="ListParagraph"/>
        <w:numPr>
          <w:ilvl w:val="3"/>
          <w:numId w:val="75"/>
        </w:numPr>
        <w:ind w:left="1260" w:hanging="720"/>
        <w:jc w:val="both"/>
        <w:rPr>
          <w:rFonts w:asciiTheme="minorHAnsi" w:hAnsiTheme="minorHAnsi" w:cstheme="minorHAnsi"/>
          <w:b/>
          <w:color w:val="000000"/>
          <w:sz w:val="22"/>
        </w:rPr>
      </w:pPr>
      <w:r w:rsidRPr="00562939">
        <w:rPr>
          <w:rFonts w:asciiTheme="minorHAnsi" w:hAnsiTheme="minorHAnsi" w:cstheme="minorHAnsi"/>
          <w:b/>
          <w:color w:val="000000"/>
          <w:sz w:val="22"/>
        </w:rPr>
        <w:t xml:space="preserve">Focus Area 2: Upgrades to achieve State-of-the-art technical solution design </w:t>
      </w:r>
    </w:p>
    <w:p w14:paraId="77C40D91" w14:textId="47DB4B3D"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In order to get best cost and performance advantages transition to open-source based technology stack, with no vendor lock-in and design for scale</w:t>
      </w:r>
    </w:p>
    <w:p w14:paraId="37496C63" w14:textId="42E23AC0"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Develop a highly interoperable connected ecosystem with Open-API based data access capabilities</w:t>
      </w:r>
    </w:p>
    <w:p w14:paraId="16CFDD6C" w14:textId="446906F2"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 xml:space="preserve">Inculcate strong privacy controls across all the systems in the ecosystem </w:t>
      </w:r>
      <w:r w:rsidR="00AF41B5">
        <w:rPr>
          <w:rFonts w:asciiTheme="minorHAnsi" w:hAnsiTheme="minorHAnsi" w:cstheme="minorHAnsi"/>
          <w:color w:val="000000"/>
          <w:sz w:val="22"/>
        </w:rPr>
        <w:t>p</w:t>
      </w:r>
      <w:r w:rsidRPr="00562939">
        <w:rPr>
          <w:rFonts w:asciiTheme="minorHAnsi" w:hAnsiTheme="minorHAnsi" w:cstheme="minorHAnsi"/>
          <w:color w:val="000000"/>
          <w:sz w:val="22"/>
        </w:rPr>
        <w:t xml:space="preserve"> administer practices for data collection </w:t>
      </w:r>
      <w:r w:rsidR="00AF41B5">
        <w:rPr>
          <w:rFonts w:asciiTheme="minorHAnsi" w:hAnsiTheme="minorHAnsi" w:cstheme="minorHAnsi"/>
          <w:color w:val="000000"/>
          <w:sz w:val="22"/>
        </w:rPr>
        <w:t>and</w:t>
      </w:r>
      <w:r w:rsidRPr="00562939">
        <w:rPr>
          <w:rFonts w:asciiTheme="minorHAnsi" w:hAnsiTheme="minorHAnsi" w:cstheme="minorHAnsi"/>
          <w:color w:val="000000"/>
          <w:sz w:val="22"/>
        </w:rPr>
        <w:t xml:space="preserve"> sharing among authorized parties</w:t>
      </w:r>
    </w:p>
    <w:p w14:paraId="3F6E2857" w14:textId="0077F9AF"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 xml:space="preserve">Fraud prevention, breach notification: Build the necessary checks and balances to minimize /eliminate fraudulent identity </w:t>
      </w:r>
      <w:r w:rsidR="00AF41B5">
        <w:rPr>
          <w:rFonts w:asciiTheme="minorHAnsi" w:hAnsiTheme="minorHAnsi" w:cstheme="minorHAnsi"/>
          <w:color w:val="000000"/>
          <w:sz w:val="22"/>
        </w:rPr>
        <w:t>and</w:t>
      </w:r>
      <w:r w:rsidRPr="00562939">
        <w:rPr>
          <w:rFonts w:asciiTheme="minorHAnsi" w:hAnsiTheme="minorHAnsi" w:cstheme="minorHAnsi"/>
          <w:color w:val="000000"/>
          <w:sz w:val="22"/>
        </w:rPr>
        <w:t xml:space="preserve"> transaction practices</w:t>
      </w:r>
    </w:p>
    <w:p w14:paraId="000E5C9D" w14:textId="484F0698"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Common integration layer, with open standardized data interfaces semantic health coding libraries for standardization</w:t>
      </w:r>
    </w:p>
    <w:p w14:paraId="42039FB1" w14:textId="44067936"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Ensure application modularity for rapid upgrades and scalability.</w:t>
      </w:r>
    </w:p>
    <w:p w14:paraId="20122D09" w14:textId="55E7E092"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Deploy Infrastructure hosting solutions with a ‘design-for-scale’ approach. The architecture of NTEP ICT Systems must be such that its components such as network, compute and storage scale horizontally so that additional resources can be added as-required to support the required scale.</w:t>
      </w:r>
    </w:p>
    <w:p w14:paraId="74566A50" w14:textId="7FC461CE"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 xml:space="preserve">Security of data within the NTEP information systems need to be foundational keeping in view the sensitivity of data the critical nature of the infrastructure proposed to be built. Systems to ensure that access is available only to </w:t>
      </w:r>
      <w:r w:rsidR="00F51523" w:rsidRPr="00562939">
        <w:rPr>
          <w:rFonts w:asciiTheme="minorHAnsi" w:hAnsiTheme="minorHAnsi" w:cstheme="minorHAnsi"/>
          <w:color w:val="000000"/>
          <w:sz w:val="22"/>
        </w:rPr>
        <w:t>authorize</w:t>
      </w:r>
      <w:r w:rsidRPr="00562939">
        <w:rPr>
          <w:rFonts w:asciiTheme="minorHAnsi" w:hAnsiTheme="minorHAnsi" w:cstheme="minorHAnsi"/>
          <w:color w:val="000000"/>
          <w:sz w:val="22"/>
        </w:rPr>
        <w:t xml:space="preserve"> users, Firewalls to prevent </w:t>
      </w:r>
      <w:r w:rsidR="004F7A07" w:rsidRPr="00562939">
        <w:rPr>
          <w:rFonts w:asciiTheme="minorHAnsi" w:hAnsiTheme="minorHAnsi" w:cstheme="minorHAnsi"/>
          <w:color w:val="000000"/>
          <w:sz w:val="22"/>
        </w:rPr>
        <w:t>unauthorized</w:t>
      </w:r>
      <w:r w:rsidRPr="00562939">
        <w:rPr>
          <w:rFonts w:asciiTheme="minorHAnsi" w:hAnsiTheme="minorHAnsi" w:cstheme="minorHAnsi"/>
          <w:color w:val="000000"/>
          <w:sz w:val="22"/>
        </w:rPr>
        <w:t xml:space="preserve"> access, password encryption policy etc. Security audit of the applications on a periodic basis need to be conducted and all the vulnerabilities fixed.</w:t>
      </w:r>
    </w:p>
    <w:p w14:paraId="32397A2C" w14:textId="6D1882EE"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 xml:space="preserve">To ensure reliability, while data transfer and data processing, the systems </w:t>
      </w:r>
      <w:r w:rsidR="00D66B88">
        <w:rPr>
          <w:rFonts w:asciiTheme="minorHAnsi" w:hAnsiTheme="minorHAnsi" w:cstheme="minorHAnsi"/>
          <w:color w:val="000000"/>
          <w:sz w:val="22"/>
        </w:rPr>
        <w:t>will</w:t>
      </w:r>
      <w:r w:rsidRPr="00562939">
        <w:rPr>
          <w:rFonts w:asciiTheme="minorHAnsi" w:hAnsiTheme="minorHAnsi" w:cstheme="minorHAnsi"/>
          <w:color w:val="000000"/>
          <w:sz w:val="22"/>
        </w:rPr>
        <w:t xml:space="preserve"> ensure that there is zero loss of data, zero duplication of data processing. The APIs built </w:t>
      </w:r>
      <w:r w:rsidR="00D66B88">
        <w:rPr>
          <w:rFonts w:asciiTheme="minorHAnsi" w:hAnsiTheme="minorHAnsi" w:cstheme="minorHAnsi"/>
          <w:color w:val="000000"/>
          <w:sz w:val="22"/>
        </w:rPr>
        <w:t>will</w:t>
      </w:r>
      <w:r w:rsidRPr="00562939">
        <w:rPr>
          <w:rFonts w:asciiTheme="minorHAnsi" w:hAnsiTheme="minorHAnsi" w:cstheme="minorHAnsi"/>
          <w:color w:val="000000"/>
          <w:sz w:val="22"/>
        </w:rPr>
        <w:t xml:space="preserve"> go through performance and security measures for reliability.</w:t>
      </w:r>
    </w:p>
    <w:p w14:paraId="6210AE3E" w14:textId="0AEF4DC5"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Configurability: As NTEP’s program protocols undergo changes, for e.g. Diagnostic protocols, treatment protocols, it would be useful if some of the fast changing parameters, business rules are configurable while maintaining date-time stamp and audit trace for making such changes.</w:t>
      </w:r>
    </w:p>
    <w:p w14:paraId="34F96C92" w14:textId="6E4EB8B8"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 xml:space="preserve">The solution architecture of the ICT systems </w:t>
      </w:r>
      <w:r w:rsidR="00D66B88">
        <w:rPr>
          <w:rFonts w:asciiTheme="minorHAnsi" w:hAnsiTheme="minorHAnsi" w:cstheme="minorHAnsi"/>
          <w:color w:val="000000"/>
          <w:sz w:val="22"/>
        </w:rPr>
        <w:t>will</w:t>
      </w:r>
      <w:r w:rsidRPr="00562939">
        <w:rPr>
          <w:rFonts w:asciiTheme="minorHAnsi" w:hAnsiTheme="minorHAnsi" w:cstheme="minorHAnsi"/>
          <w:color w:val="000000"/>
          <w:sz w:val="22"/>
        </w:rPr>
        <w:t xml:space="preserve"> offer high availability, minimum uptime of 98%. Disaster recovery and Business Continuity planning needs to be appropriately undertaken.</w:t>
      </w:r>
    </w:p>
    <w:p w14:paraId="5FC6F407" w14:textId="71754EBA" w:rsidR="00562939" w:rsidRPr="0056293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lastRenderedPageBreak/>
        <w:t xml:space="preserve">Adopt emerging technologies such as Business Intelligence (BI), Artificial Intelligence (AI) and Machine Learning (ML) tools.  </w:t>
      </w:r>
    </w:p>
    <w:p w14:paraId="25BBC8B1" w14:textId="60D7CEAD" w:rsidR="00562939" w:rsidRPr="00622EE9" w:rsidRDefault="00562939" w:rsidP="009136E5">
      <w:pPr>
        <w:pStyle w:val="NormalWeb"/>
        <w:numPr>
          <w:ilvl w:val="2"/>
          <w:numId w:val="85"/>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Strong data management and harmonization designs, with vision for a national health data warehouse</w:t>
      </w:r>
    </w:p>
    <w:p w14:paraId="7AEA0BCB" w14:textId="77777777" w:rsidR="00562939" w:rsidRPr="00562939" w:rsidRDefault="00562939" w:rsidP="009136E5">
      <w:pPr>
        <w:pStyle w:val="ListParagraph"/>
        <w:numPr>
          <w:ilvl w:val="3"/>
          <w:numId w:val="75"/>
        </w:numPr>
        <w:ind w:left="1260" w:hanging="720"/>
        <w:jc w:val="both"/>
        <w:rPr>
          <w:rFonts w:asciiTheme="minorHAnsi" w:hAnsiTheme="minorHAnsi" w:cstheme="minorHAnsi"/>
          <w:b/>
          <w:color w:val="000000"/>
          <w:sz w:val="22"/>
        </w:rPr>
      </w:pPr>
      <w:r w:rsidRPr="00562939">
        <w:rPr>
          <w:rFonts w:asciiTheme="minorHAnsi" w:hAnsiTheme="minorHAnsi" w:cstheme="minorHAnsi"/>
          <w:b/>
          <w:color w:val="000000"/>
          <w:sz w:val="22"/>
        </w:rPr>
        <w:t>Focus Area 3:  Introduce greater automation portfolio and innovation</w:t>
      </w:r>
    </w:p>
    <w:p w14:paraId="7FD36BB2" w14:textId="0A5FC575" w:rsidR="00562939" w:rsidRPr="00562939" w:rsidRDefault="00562939" w:rsidP="009136E5">
      <w:pPr>
        <w:pStyle w:val="NormalWeb"/>
        <w:numPr>
          <w:ilvl w:val="2"/>
          <w:numId w:val="59"/>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 xml:space="preserve">Today, the ICT Systems of NTEP are in various stages of maturity of implementation/ uptake across the country and are not yet comprehensive in terms of the functional coverage. There is a necessity to enrich the existing modules further, to achieve greater automation. A few examples are, strengthen the DR TB Patient management functions, ability to generate prints of Treatment Cards, Test Request forms and Test Reports, generation of newer task lists for staff for improved patient management, build insightful and actionable dashboards for users across the hierarchy.  </w:t>
      </w:r>
    </w:p>
    <w:p w14:paraId="6CD77CBA" w14:textId="1726E290" w:rsidR="00562939" w:rsidRPr="00562939" w:rsidRDefault="00562939" w:rsidP="009136E5">
      <w:pPr>
        <w:pStyle w:val="NormalWeb"/>
        <w:numPr>
          <w:ilvl w:val="2"/>
          <w:numId w:val="59"/>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Improvements are also necessary to increase the user friendliness of the systems by simplification of the User Interface and workflows to make the systems more intuitive. This will also reduce the training needs significantly. For example, the DBT Approval screens may be improved to provide more information to users to enable easier search, simplify the process of review and approval.</w:t>
      </w:r>
    </w:p>
    <w:p w14:paraId="21D8EF85" w14:textId="49CE659C" w:rsidR="00562939" w:rsidRPr="00562939" w:rsidRDefault="00562939" w:rsidP="009136E5">
      <w:pPr>
        <w:pStyle w:val="NormalWeb"/>
        <w:numPr>
          <w:ilvl w:val="2"/>
          <w:numId w:val="59"/>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The systems should be able keep pace and cater to NTEP’s new intervention areas such as LTBI or revised protocols in the existing areas of functioning such as diagnosis.</w:t>
      </w:r>
    </w:p>
    <w:p w14:paraId="1A699636" w14:textId="0E1CED76" w:rsidR="00562939" w:rsidRPr="00562939" w:rsidRDefault="00562939" w:rsidP="009136E5">
      <w:pPr>
        <w:pStyle w:val="NormalWeb"/>
        <w:numPr>
          <w:ilvl w:val="2"/>
          <w:numId w:val="59"/>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Improved integration between internal systems of NTEP (such as building two way integration between Nikshay Aushadhi and Nikshay)</w:t>
      </w:r>
    </w:p>
    <w:p w14:paraId="5FB467BD" w14:textId="06CE8EE7" w:rsidR="00562939" w:rsidRPr="00562939" w:rsidRDefault="00562939" w:rsidP="009136E5">
      <w:pPr>
        <w:pStyle w:val="NormalWeb"/>
        <w:numPr>
          <w:ilvl w:val="2"/>
          <w:numId w:val="59"/>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Integration with National systems such as Aadhar which would aid in beneficiary authentication.</w:t>
      </w:r>
    </w:p>
    <w:p w14:paraId="43BFD600" w14:textId="3FABA33F" w:rsidR="00562939" w:rsidRPr="00622EE9" w:rsidRDefault="00562939" w:rsidP="009136E5">
      <w:pPr>
        <w:pStyle w:val="NormalWeb"/>
        <w:numPr>
          <w:ilvl w:val="2"/>
          <w:numId w:val="59"/>
        </w:numPr>
        <w:jc w:val="both"/>
        <w:textAlignment w:val="baseline"/>
        <w:rPr>
          <w:rFonts w:asciiTheme="minorHAnsi" w:hAnsiTheme="minorHAnsi" w:cstheme="minorHAnsi"/>
          <w:color w:val="000000"/>
          <w:sz w:val="22"/>
        </w:rPr>
      </w:pPr>
      <w:r w:rsidRPr="00562939">
        <w:rPr>
          <w:rFonts w:asciiTheme="minorHAnsi" w:hAnsiTheme="minorHAnsi" w:cstheme="minorHAnsi"/>
          <w:color w:val="000000"/>
          <w:sz w:val="22"/>
        </w:rPr>
        <w:t>Integration with information systems built by MoHFW under other programs such as Ayushman Bharat. This would not only reduce duplicate data entry/ workload of the healthcare staff who are implementing multiple health programs on ground but also help create longitudinal health records for individuals.</w:t>
      </w:r>
    </w:p>
    <w:p w14:paraId="31818C00" w14:textId="7D540D6E" w:rsidR="00562939" w:rsidRPr="0059222B" w:rsidRDefault="00B67994" w:rsidP="009136E5">
      <w:pPr>
        <w:pStyle w:val="ListParagraph"/>
        <w:numPr>
          <w:ilvl w:val="3"/>
          <w:numId w:val="75"/>
        </w:numPr>
        <w:ind w:left="1260" w:hanging="720"/>
        <w:jc w:val="both"/>
        <w:rPr>
          <w:rFonts w:asciiTheme="minorHAnsi" w:hAnsiTheme="minorHAnsi" w:cstheme="minorHAnsi"/>
          <w:b/>
          <w:color w:val="000000"/>
          <w:sz w:val="22"/>
        </w:rPr>
      </w:pPr>
      <w:r w:rsidRPr="0059222B">
        <w:rPr>
          <w:rFonts w:asciiTheme="minorHAnsi" w:hAnsiTheme="minorHAnsi" w:cstheme="minorHAnsi"/>
          <w:b/>
          <w:color w:val="000000"/>
          <w:sz w:val="22"/>
        </w:rPr>
        <w:t>Focus Area 4: Alignment with the National Digital Health Blueprint</w:t>
      </w:r>
    </w:p>
    <w:p w14:paraId="1EC4B791" w14:textId="77777777" w:rsidR="006E447A" w:rsidRDefault="006E447A" w:rsidP="009136E5">
      <w:pPr>
        <w:pStyle w:val="NormalWeb"/>
        <w:numPr>
          <w:ilvl w:val="2"/>
          <w:numId w:val="122"/>
        </w:numPr>
        <w:jc w:val="both"/>
        <w:textAlignment w:val="baseline"/>
        <w:rPr>
          <w:rFonts w:asciiTheme="minorHAnsi" w:hAnsiTheme="minorHAnsi" w:cstheme="minorHAnsi"/>
          <w:color w:val="000000"/>
          <w:sz w:val="22"/>
        </w:rPr>
      </w:pPr>
      <w:r w:rsidRPr="006E447A">
        <w:rPr>
          <w:rFonts w:asciiTheme="minorHAnsi" w:hAnsiTheme="minorHAnsi" w:cstheme="minorHAnsi"/>
          <w:b/>
          <w:color w:val="000000"/>
          <w:sz w:val="22"/>
        </w:rPr>
        <w:t>Identification</w:t>
      </w:r>
      <w:r>
        <w:rPr>
          <w:rFonts w:asciiTheme="minorHAnsi" w:hAnsiTheme="minorHAnsi" w:cstheme="minorHAnsi"/>
          <w:color w:val="000000"/>
          <w:sz w:val="22"/>
        </w:rPr>
        <w:t xml:space="preserve">: </w:t>
      </w:r>
    </w:p>
    <w:p w14:paraId="31F189E9" w14:textId="2BE912D3" w:rsidR="006E447A" w:rsidRPr="006E447A" w:rsidRDefault="006E447A" w:rsidP="009136E5">
      <w:pPr>
        <w:pStyle w:val="NormalWeb"/>
        <w:numPr>
          <w:ilvl w:val="3"/>
          <w:numId w:val="123"/>
        </w:numPr>
        <w:jc w:val="both"/>
        <w:textAlignment w:val="baseline"/>
        <w:rPr>
          <w:rFonts w:asciiTheme="minorHAnsi" w:hAnsiTheme="minorHAnsi" w:cstheme="minorHAnsi"/>
          <w:color w:val="000000"/>
          <w:sz w:val="22"/>
        </w:rPr>
      </w:pPr>
      <w:r w:rsidRPr="006E447A">
        <w:rPr>
          <w:rFonts w:asciiTheme="minorHAnsi" w:hAnsiTheme="minorHAnsi" w:cstheme="minorHAnsi"/>
          <w:b/>
          <w:color w:val="000000"/>
          <w:sz w:val="22"/>
        </w:rPr>
        <w:t>Personal Health Identifier (PHI):</w:t>
      </w:r>
      <w:r w:rsidRPr="006E447A">
        <w:rPr>
          <w:rFonts w:asciiTheme="minorHAnsi" w:hAnsiTheme="minorHAnsi" w:cstheme="minorHAnsi"/>
          <w:color w:val="000000"/>
          <w:sz w:val="22"/>
        </w:rPr>
        <w:t xml:space="preserve">  </w:t>
      </w:r>
      <w:r w:rsidRPr="00BB03B3">
        <w:rPr>
          <w:rFonts w:asciiTheme="minorHAnsi" w:hAnsiTheme="minorHAnsi" w:cstheme="minorHAnsi"/>
          <w:color w:val="000000"/>
          <w:sz w:val="22"/>
        </w:rPr>
        <w:t>NTEP is in the process of developing Nikshay to enable Aadhar based identification of persons (patients, other</w:t>
      </w:r>
      <w:r>
        <w:rPr>
          <w:rFonts w:asciiTheme="minorHAnsi" w:hAnsiTheme="minorHAnsi" w:cstheme="minorHAnsi"/>
          <w:color w:val="000000"/>
          <w:sz w:val="22"/>
        </w:rPr>
        <w:t xml:space="preserve"> beneficiaries such as private providers</w:t>
      </w:r>
      <w:r w:rsidRPr="00BB03B3">
        <w:rPr>
          <w:rFonts w:asciiTheme="minorHAnsi" w:hAnsiTheme="minorHAnsi" w:cstheme="minorHAnsi"/>
          <w:color w:val="000000"/>
          <w:sz w:val="22"/>
        </w:rPr>
        <w:t>) and authentication for schemes (under section 7 of Aadhar Act)</w:t>
      </w:r>
    </w:p>
    <w:p w14:paraId="1A448D62" w14:textId="0B30122D" w:rsidR="006E447A" w:rsidRPr="006E447A" w:rsidRDefault="006E447A" w:rsidP="009136E5">
      <w:pPr>
        <w:pStyle w:val="NormalWeb"/>
        <w:numPr>
          <w:ilvl w:val="3"/>
          <w:numId w:val="123"/>
        </w:numPr>
        <w:jc w:val="both"/>
        <w:textAlignment w:val="baseline"/>
        <w:rPr>
          <w:rFonts w:asciiTheme="minorHAnsi" w:hAnsiTheme="minorHAnsi" w:cstheme="minorHAnsi"/>
          <w:color w:val="000000"/>
          <w:sz w:val="22"/>
        </w:rPr>
      </w:pPr>
      <w:r w:rsidRPr="006E447A">
        <w:rPr>
          <w:rFonts w:asciiTheme="minorHAnsi" w:hAnsiTheme="minorHAnsi" w:cstheme="minorHAnsi"/>
          <w:b/>
          <w:color w:val="000000"/>
          <w:sz w:val="22"/>
        </w:rPr>
        <w:t>Facility Registry:</w:t>
      </w:r>
      <w:r w:rsidRPr="00BB03B3">
        <w:rPr>
          <w:rFonts w:asciiTheme="minorHAnsi" w:hAnsiTheme="minorHAnsi" w:cstheme="minorHAnsi"/>
          <w:color w:val="000000"/>
          <w:sz w:val="22"/>
        </w:rPr>
        <w:t xml:space="preserve">  Presently, NTEP has common registries of health facilities built in Nikshay for those who provide TB care. As National Health Resources Repository (NHRR) is built, Nikshay would </w:t>
      </w:r>
      <w:r w:rsidR="00F51523" w:rsidRPr="00BB03B3">
        <w:rPr>
          <w:rFonts w:asciiTheme="minorHAnsi" w:hAnsiTheme="minorHAnsi" w:cstheme="minorHAnsi"/>
          <w:color w:val="000000"/>
          <w:sz w:val="22"/>
        </w:rPr>
        <w:t>utilize</w:t>
      </w:r>
      <w:r w:rsidRPr="00BB03B3">
        <w:rPr>
          <w:rFonts w:asciiTheme="minorHAnsi" w:hAnsiTheme="minorHAnsi" w:cstheme="minorHAnsi"/>
          <w:color w:val="000000"/>
          <w:sz w:val="22"/>
        </w:rPr>
        <w:t xml:space="preserve"> it, integrate and exchange data.</w:t>
      </w:r>
    </w:p>
    <w:p w14:paraId="52F0A4FE" w14:textId="4330642E" w:rsidR="006E447A" w:rsidRPr="006E447A" w:rsidRDefault="006E447A" w:rsidP="009136E5">
      <w:pPr>
        <w:pStyle w:val="NormalWeb"/>
        <w:numPr>
          <w:ilvl w:val="2"/>
          <w:numId w:val="122"/>
        </w:numPr>
        <w:jc w:val="both"/>
        <w:textAlignment w:val="baseline"/>
        <w:rPr>
          <w:rFonts w:asciiTheme="minorHAnsi" w:hAnsiTheme="minorHAnsi" w:cstheme="minorHAnsi"/>
          <w:color w:val="000000"/>
          <w:sz w:val="22"/>
        </w:rPr>
      </w:pPr>
      <w:r w:rsidRPr="006E447A">
        <w:rPr>
          <w:rFonts w:asciiTheme="minorHAnsi" w:hAnsiTheme="minorHAnsi" w:cstheme="minorHAnsi"/>
          <w:b/>
          <w:color w:val="000000"/>
          <w:sz w:val="22"/>
        </w:rPr>
        <w:t>Adoption of Minimum Viable Standards (MVS)</w:t>
      </w:r>
      <w:r>
        <w:rPr>
          <w:rFonts w:asciiTheme="minorHAnsi" w:hAnsiTheme="minorHAnsi" w:cstheme="minorHAnsi"/>
          <w:b/>
          <w:color w:val="000000"/>
          <w:sz w:val="22"/>
        </w:rPr>
        <w:t xml:space="preserve">: </w:t>
      </w:r>
      <w:r w:rsidRPr="00BB03B3">
        <w:rPr>
          <w:rFonts w:asciiTheme="minorHAnsi" w:hAnsiTheme="minorHAnsi" w:cstheme="minorHAnsi"/>
          <w:color w:val="000000"/>
          <w:sz w:val="22"/>
        </w:rPr>
        <w:t>NTEP would strengthen its ICT Landscape by incorporation of the MVS. The recommended Standards for,</w:t>
      </w:r>
    </w:p>
    <w:p w14:paraId="74F68D8B" w14:textId="77777777" w:rsidR="006E447A" w:rsidRPr="00BB03B3" w:rsidRDefault="006E447A" w:rsidP="009136E5">
      <w:pPr>
        <w:pStyle w:val="NormalWeb"/>
        <w:numPr>
          <w:ilvl w:val="3"/>
          <w:numId w:val="124"/>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Consent management, consent framework, Anonymizer</w:t>
      </w:r>
    </w:p>
    <w:p w14:paraId="31A11591" w14:textId="77777777" w:rsidR="006E447A" w:rsidRPr="00BB03B3" w:rsidRDefault="006E447A" w:rsidP="009136E5">
      <w:pPr>
        <w:pStyle w:val="NormalWeb"/>
        <w:numPr>
          <w:ilvl w:val="3"/>
          <w:numId w:val="124"/>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Technical interoperability defined by IndEA Framework,</w:t>
      </w:r>
    </w:p>
    <w:p w14:paraId="0BC53020" w14:textId="77777777" w:rsidR="006E447A" w:rsidRPr="00BB03B3" w:rsidRDefault="006E447A" w:rsidP="009136E5">
      <w:pPr>
        <w:pStyle w:val="NormalWeb"/>
        <w:numPr>
          <w:ilvl w:val="3"/>
          <w:numId w:val="124"/>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Semantic and syntactic (content) interoperability-Fast Healthcare Interoperability Resources (FHIR) R4 Specification</w:t>
      </w:r>
    </w:p>
    <w:p w14:paraId="26D3E3F0" w14:textId="77777777" w:rsidR="006E447A" w:rsidRPr="00BB03B3" w:rsidRDefault="006E447A" w:rsidP="009136E5">
      <w:pPr>
        <w:pStyle w:val="NormalWeb"/>
        <w:numPr>
          <w:ilvl w:val="2"/>
          <w:numId w:val="122"/>
        </w:numPr>
        <w:jc w:val="both"/>
        <w:textAlignment w:val="baseline"/>
        <w:rPr>
          <w:rFonts w:asciiTheme="minorHAnsi" w:hAnsiTheme="minorHAnsi" w:cstheme="minorHAnsi"/>
          <w:color w:val="000000"/>
          <w:sz w:val="22"/>
        </w:rPr>
      </w:pPr>
      <w:r w:rsidRPr="006E447A">
        <w:rPr>
          <w:rFonts w:asciiTheme="minorHAnsi" w:hAnsiTheme="minorHAnsi" w:cstheme="minorHAnsi"/>
          <w:b/>
          <w:color w:val="000000"/>
          <w:sz w:val="22"/>
        </w:rPr>
        <w:t>Privacy and Security</w:t>
      </w:r>
      <w:r w:rsidRPr="006E447A">
        <w:rPr>
          <w:rFonts w:asciiTheme="minorHAnsi" w:hAnsiTheme="minorHAnsi" w:cstheme="minorHAnsi"/>
          <w:color w:val="000000"/>
          <w:sz w:val="22"/>
        </w:rPr>
        <w:tab/>
      </w:r>
      <w:r w:rsidRPr="00BB03B3">
        <w:rPr>
          <w:rFonts w:asciiTheme="minorHAnsi" w:hAnsiTheme="minorHAnsi" w:cstheme="minorHAnsi"/>
          <w:color w:val="000000"/>
          <w:sz w:val="22"/>
        </w:rPr>
        <w:t>Security (Digital Certificate, TLS / SSL, SHA-256, AES-256)</w:t>
      </w:r>
    </w:p>
    <w:p w14:paraId="29DC3D63" w14:textId="77777777" w:rsidR="006E447A" w:rsidRPr="00BB03B3" w:rsidRDefault="006E447A" w:rsidP="009136E5">
      <w:pPr>
        <w:pStyle w:val="NormalWeb"/>
        <w:numPr>
          <w:ilvl w:val="3"/>
          <w:numId w:val="125"/>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Access Control (ISO 22600:2014 Health informatics-Privilege Management)</w:t>
      </w:r>
    </w:p>
    <w:p w14:paraId="2B0DC337" w14:textId="77777777" w:rsidR="006E447A" w:rsidRDefault="006E447A" w:rsidP="009136E5">
      <w:pPr>
        <w:pStyle w:val="NormalWeb"/>
        <w:numPr>
          <w:ilvl w:val="2"/>
          <w:numId w:val="122"/>
        </w:numPr>
        <w:jc w:val="both"/>
        <w:textAlignment w:val="baseline"/>
        <w:rPr>
          <w:rFonts w:asciiTheme="minorHAnsi" w:hAnsiTheme="minorHAnsi" w:cstheme="minorHAnsi"/>
          <w:color w:val="000000"/>
          <w:sz w:val="22"/>
        </w:rPr>
      </w:pPr>
      <w:r w:rsidRPr="006E447A">
        <w:rPr>
          <w:rFonts w:asciiTheme="minorHAnsi" w:hAnsiTheme="minorHAnsi" w:cstheme="minorHAnsi"/>
          <w:b/>
          <w:color w:val="000000"/>
          <w:sz w:val="22"/>
        </w:rPr>
        <w:t>Adoption of Standards</w:t>
      </w:r>
      <w:r w:rsidRPr="006E447A">
        <w:rPr>
          <w:rFonts w:asciiTheme="minorHAnsi" w:hAnsiTheme="minorHAnsi" w:cstheme="minorHAnsi"/>
          <w:color w:val="000000"/>
          <w:sz w:val="22"/>
        </w:rPr>
        <w:tab/>
      </w:r>
    </w:p>
    <w:p w14:paraId="012BD895" w14:textId="4A06E1B5" w:rsidR="006E447A" w:rsidRPr="00BB03B3" w:rsidRDefault="006E447A" w:rsidP="009136E5">
      <w:pPr>
        <w:pStyle w:val="NormalWeb"/>
        <w:numPr>
          <w:ilvl w:val="3"/>
          <w:numId w:val="126"/>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 xml:space="preserve">MDDS </w:t>
      </w:r>
      <w:r>
        <w:rPr>
          <w:rFonts w:asciiTheme="minorHAnsi" w:hAnsiTheme="minorHAnsi" w:cstheme="minorHAnsi"/>
          <w:color w:val="000000"/>
          <w:sz w:val="22"/>
        </w:rPr>
        <w:t>and</w:t>
      </w:r>
      <w:r w:rsidRPr="00BB03B3">
        <w:rPr>
          <w:rFonts w:asciiTheme="minorHAnsi" w:hAnsiTheme="minorHAnsi" w:cstheme="minorHAnsi"/>
          <w:color w:val="000000"/>
          <w:sz w:val="22"/>
        </w:rPr>
        <w:t xml:space="preserve"> EHR Standards for India 2016</w:t>
      </w:r>
    </w:p>
    <w:p w14:paraId="7A51DBAF" w14:textId="77777777" w:rsidR="006E447A" w:rsidRDefault="006E447A" w:rsidP="009136E5">
      <w:pPr>
        <w:pStyle w:val="NormalWeb"/>
        <w:numPr>
          <w:ilvl w:val="2"/>
          <w:numId w:val="122"/>
        </w:numPr>
        <w:jc w:val="both"/>
        <w:textAlignment w:val="baseline"/>
        <w:rPr>
          <w:rFonts w:asciiTheme="minorHAnsi" w:hAnsiTheme="minorHAnsi" w:cstheme="minorHAnsi"/>
          <w:color w:val="000000"/>
          <w:sz w:val="22"/>
        </w:rPr>
      </w:pPr>
      <w:r w:rsidRPr="006E447A">
        <w:rPr>
          <w:rFonts w:asciiTheme="minorHAnsi" w:hAnsiTheme="minorHAnsi" w:cstheme="minorHAnsi"/>
          <w:b/>
          <w:color w:val="000000"/>
          <w:sz w:val="22"/>
        </w:rPr>
        <w:t>Service Access/ Delivery</w:t>
      </w:r>
      <w:r w:rsidRPr="006E447A">
        <w:rPr>
          <w:rFonts w:asciiTheme="minorHAnsi" w:hAnsiTheme="minorHAnsi" w:cstheme="minorHAnsi"/>
          <w:color w:val="000000"/>
          <w:sz w:val="22"/>
        </w:rPr>
        <w:tab/>
      </w:r>
    </w:p>
    <w:p w14:paraId="0A2088E6" w14:textId="3165CE53" w:rsidR="006E447A" w:rsidRPr="00BB03B3" w:rsidRDefault="006E447A" w:rsidP="009136E5">
      <w:pPr>
        <w:pStyle w:val="NormalWeb"/>
        <w:numPr>
          <w:ilvl w:val="3"/>
          <w:numId w:val="127"/>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lastRenderedPageBreak/>
        <w:t>Omni channel access/ delivery -  web, mobile based Apps and Call Centres for citizens/ patients (for Education and information)</w:t>
      </w:r>
    </w:p>
    <w:p w14:paraId="1D309EF3" w14:textId="77777777" w:rsidR="006E447A" w:rsidRPr="00BB03B3" w:rsidRDefault="006E447A" w:rsidP="009136E5">
      <w:pPr>
        <w:pStyle w:val="NormalWeb"/>
        <w:numPr>
          <w:ilvl w:val="3"/>
          <w:numId w:val="127"/>
        </w:numPr>
        <w:jc w:val="both"/>
        <w:textAlignment w:val="baseline"/>
        <w:rPr>
          <w:rFonts w:asciiTheme="minorHAnsi" w:hAnsiTheme="minorHAnsi" w:cstheme="minorHAnsi"/>
          <w:color w:val="000000"/>
          <w:sz w:val="22"/>
        </w:rPr>
      </w:pPr>
      <w:r w:rsidRPr="00BB03B3">
        <w:rPr>
          <w:rFonts w:asciiTheme="minorHAnsi" w:hAnsiTheme="minorHAnsi" w:cstheme="minorHAnsi"/>
          <w:color w:val="000000"/>
          <w:sz w:val="22"/>
        </w:rPr>
        <w:t>Patient level ownership of data</w:t>
      </w:r>
    </w:p>
    <w:p w14:paraId="6D4E8284" w14:textId="4C7CF7E9" w:rsidR="006E447A" w:rsidRPr="006E447A" w:rsidRDefault="006E447A" w:rsidP="009136E5">
      <w:pPr>
        <w:pStyle w:val="NormalWeb"/>
        <w:numPr>
          <w:ilvl w:val="2"/>
          <w:numId w:val="122"/>
        </w:numPr>
        <w:jc w:val="both"/>
        <w:textAlignment w:val="baseline"/>
        <w:rPr>
          <w:rFonts w:asciiTheme="minorHAnsi" w:hAnsiTheme="minorHAnsi" w:cstheme="minorHAnsi"/>
          <w:color w:val="000000"/>
          <w:sz w:val="22"/>
        </w:rPr>
      </w:pPr>
      <w:r w:rsidRPr="006E447A">
        <w:rPr>
          <w:rFonts w:asciiTheme="minorHAnsi" w:hAnsiTheme="minorHAnsi" w:cstheme="minorHAnsi"/>
          <w:b/>
          <w:color w:val="000000"/>
          <w:sz w:val="22"/>
        </w:rPr>
        <w:t>Federated architecture</w:t>
      </w:r>
      <w:r>
        <w:rPr>
          <w:rFonts w:asciiTheme="minorHAnsi" w:hAnsiTheme="minorHAnsi" w:cstheme="minorHAnsi"/>
          <w:b/>
          <w:color w:val="000000"/>
          <w:sz w:val="22"/>
        </w:rPr>
        <w:t xml:space="preserve">: </w:t>
      </w:r>
      <w:r w:rsidRPr="00BB03B3">
        <w:rPr>
          <w:rFonts w:asciiTheme="minorHAnsi" w:hAnsiTheme="minorHAnsi" w:cstheme="minorHAnsi"/>
          <w:color w:val="000000"/>
          <w:sz w:val="22"/>
        </w:rPr>
        <w:t>Nationally required functional blocks are built and maintained centrally, and provided as a service to the states; these would be interoperable with regional, state-level and institution level platforms in such a way that these systems may function independently provided that they achieve minimum requirements.</w:t>
      </w:r>
    </w:p>
    <w:p w14:paraId="70266E5E" w14:textId="77777777" w:rsidR="00BB03B3" w:rsidRDefault="00BB03B3" w:rsidP="00BB03B3">
      <w:pPr>
        <w:spacing w:before="0" w:after="0"/>
        <w:rPr>
          <w:rFonts w:asciiTheme="minorHAnsi" w:hAnsiTheme="minorHAnsi" w:cstheme="minorHAnsi"/>
          <w:sz w:val="22"/>
        </w:rPr>
      </w:pPr>
    </w:p>
    <w:p w14:paraId="602C7BBB" w14:textId="77777777" w:rsidR="00061D34" w:rsidRDefault="00061D34" w:rsidP="00C129C4">
      <w:pPr>
        <w:spacing w:before="0" w:after="0"/>
        <w:jc w:val="both"/>
        <w:rPr>
          <w:rFonts w:ascii="Calibri" w:hAnsi="Calibri" w:cs="Calibri"/>
          <w:b/>
          <w:kern w:val="24"/>
          <w:sz w:val="22"/>
          <w:lang w:eastAsia="en-IN"/>
        </w:rPr>
      </w:pPr>
    </w:p>
    <w:p w14:paraId="2593949E" w14:textId="77777777" w:rsidR="00061D34" w:rsidRDefault="00061D34" w:rsidP="00C129C4">
      <w:pPr>
        <w:spacing w:before="0" w:after="0"/>
        <w:jc w:val="both"/>
        <w:rPr>
          <w:rFonts w:ascii="Calibri" w:hAnsi="Calibri" w:cs="Calibri"/>
          <w:b/>
          <w:kern w:val="24"/>
          <w:sz w:val="22"/>
          <w:lang w:eastAsia="en-IN"/>
        </w:rPr>
      </w:pPr>
    </w:p>
    <w:p w14:paraId="29B94984" w14:textId="77777777" w:rsidR="00061D34" w:rsidRDefault="00061D34" w:rsidP="00C129C4">
      <w:pPr>
        <w:spacing w:before="0" w:after="0"/>
        <w:jc w:val="both"/>
        <w:rPr>
          <w:rFonts w:ascii="Calibri" w:hAnsi="Calibri" w:cs="Calibri"/>
          <w:b/>
          <w:kern w:val="24"/>
          <w:sz w:val="22"/>
          <w:lang w:eastAsia="en-IN"/>
        </w:rPr>
      </w:pPr>
    </w:p>
    <w:p w14:paraId="444617CE" w14:textId="500C2548" w:rsidR="00061D34" w:rsidRDefault="00061D34">
      <w:pPr>
        <w:spacing w:before="0" w:after="0"/>
        <w:rPr>
          <w:rFonts w:ascii="Calibri" w:hAnsi="Calibri" w:cs="Calibri"/>
          <w:b/>
          <w:kern w:val="24"/>
          <w:sz w:val="22"/>
          <w:lang w:eastAsia="en-IN"/>
        </w:rPr>
      </w:pPr>
      <w:r>
        <w:rPr>
          <w:rFonts w:ascii="Calibri" w:hAnsi="Calibri" w:cs="Calibri"/>
          <w:b/>
          <w:kern w:val="24"/>
          <w:sz w:val="22"/>
          <w:lang w:eastAsia="en-IN"/>
        </w:rPr>
        <w:br w:type="page"/>
      </w:r>
    </w:p>
    <w:p w14:paraId="711FF1FD" w14:textId="3FFC95FE" w:rsidR="005B1311" w:rsidRDefault="00061D34" w:rsidP="00061D34">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D514CD">
        <w:rPr>
          <w:rFonts w:asciiTheme="minorHAnsi" w:hAnsiTheme="minorHAnsi" w:cstheme="minorHAnsi"/>
          <w:b/>
          <w:snapToGrid w:val="0"/>
          <w:color w:val="auto"/>
          <w:sz w:val="36"/>
        </w:rPr>
        <w:t>1</w:t>
      </w:r>
      <w:r w:rsidR="00BE594E">
        <w:rPr>
          <w:rFonts w:asciiTheme="minorHAnsi" w:hAnsiTheme="minorHAnsi" w:cstheme="minorHAnsi"/>
          <w:b/>
          <w:snapToGrid w:val="0"/>
          <w:color w:val="auto"/>
          <w:sz w:val="36"/>
        </w:rPr>
        <w:t>9</w:t>
      </w:r>
    </w:p>
    <w:p w14:paraId="4102A8A5" w14:textId="1E0C9A6F" w:rsidR="005B1311" w:rsidRPr="006B7923" w:rsidRDefault="005B1311" w:rsidP="005B1311">
      <w:pPr>
        <w:shd w:val="clear" w:color="auto" w:fill="17365D" w:themeFill="text2" w:themeFillShade="BF"/>
        <w:spacing w:before="0" w:after="0"/>
        <w:jc w:val="right"/>
        <w:rPr>
          <w:b/>
          <w:sz w:val="28"/>
        </w:rPr>
      </w:pPr>
      <w:r>
        <w:rPr>
          <w:b/>
          <w:sz w:val="28"/>
        </w:rPr>
        <w:t xml:space="preserve">NSP </w:t>
      </w:r>
      <w:r w:rsidRPr="006B7923">
        <w:rPr>
          <w:b/>
          <w:sz w:val="28"/>
        </w:rPr>
        <w:t>STRATEGIC AREA 1.1</w:t>
      </w:r>
      <w:r>
        <w:rPr>
          <w:b/>
          <w:sz w:val="28"/>
        </w:rPr>
        <w:t>2</w:t>
      </w:r>
    </w:p>
    <w:p w14:paraId="306D65A1" w14:textId="1B36301F" w:rsidR="00061D34" w:rsidRPr="00734B6A" w:rsidRDefault="00061D34" w:rsidP="00061D34">
      <w:pPr>
        <w:pStyle w:val="Heading1"/>
        <w:tabs>
          <w:tab w:val="num" w:pos="5670"/>
        </w:tabs>
        <w:ind w:left="2880" w:hanging="1800"/>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sidR="008D4EB2">
        <w:rPr>
          <w:rFonts w:asciiTheme="minorHAnsi" w:hAnsiTheme="minorHAnsi" w:cstheme="minorHAnsi"/>
          <w:b/>
          <w:snapToGrid w:val="0"/>
          <w:color w:val="auto"/>
        </w:rPr>
        <w:t>Technical assistance to NTEP</w:t>
      </w:r>
      <w:r>
        <w:rPr>
          <w:rFonts w:asciiTheme="minorHAnsi" w:hAnsiTheme="minorHAnsi" w:cstheme="minorHAnsi"/>
          <w:b/>
          <w:snapToGrid w:val="0"/>
          <w:color w:val="auto"/>
        </w:rPr>
        <w:t xml:space="preserve"> </w:t>
      </w:r>
    </w:p>
    <w:p w14:paraId="726DB1A3" w14:textId="6DDA867D" w:rsidR="0075389F" w:rsidRPr="00C45A90" w:rsidRDefault="00BE594E"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19</w:t>
      </w:r>
      <w:r w:rsidR="00213555">
        <w:rPr>
          <w:rFonts w:asciiTheme="minorHAnsi" w:hAnsiTheme="minorHAnsi" w:cstheme="minorHAnsi"/>
          <w:b/>
          <w:color w:val="C86A07" w:themeColor="accent2" w:themeShade="BF"/>
          <w:sz w:val="28"/>
          <w:lang w:val="en"/>
        </w:rPr>
        <w:t xml:space="preserve">.1 </w:t>
      </w:r>
      <w:r w:rsidR="0075389F" w:rsidRPr="00C45A90">
        <w:rPr>
          <w:rFonts w:asciiTheme="minorHAnsi" w:hAnsiTheme="minorHAnsi" w:cstheme="minorHAnsi"/>
          <w:b/>
          <w:color w:val="C86A07" w:themeColor="accent2" w:themeShade="BF"/>
          <w:sz w:val="28"/>
          <w:lang w:val="en"/>
        </w:rPr>
        <w:t>INTRODUCTION</w:t>
      </w:r>
    </w:p>
    <w:p w14:paraId="6D1EB520" w14:textId="0AE4BE7B" w:rsidR="00A618FA" w:rsidRDefault="00A618FA" w:rsidP="007A53B0">
      <w:pPr>
        <w:spacing w:before="0" w:after="0"/>
        <w:jc w:val="both"/>
        <w:rPr>
          <w:rFonts w:ascii="Calibri" w:hAnsi="Calibri" w:cs="Calibri"/>
          <w:kern w:val="24"/>
          <w:sz w:val="22"/>
          <w:lang w:eastAsia="en-IN"/>
        </w:rPr>
      </w:pPr>
      <w:r w:rsidRPr="00A618FA">
        <w:rPr>
          <w:rFonts w:ascii="Calibri" w:hAnsi="Calibri" w:cs="Calibri"/>
          <w:kern w:val="24"/>
          <w:sz w:val="22"/>
          <w:lang w:eastAsia="en-IN"/>
        </w:rPr>
        <w:t>India is enriched with technical assistance from a large pool of TB experts, is evident from the fact that more than 60% of the countries across the world at least once have been provided TA for Tuberculosis program by an Indian. NTEP has a large pool of vivid experts in respective thematic area of the programme. The Technical committees on various thematic areas at National level provide the policy and operational guidance to NTEP. The National TB program is also receiving TA through National Institutions-ICMR, NITRD, NIRT, NTI, NRLs; Medical colleges; WHO-NTEPTA Project; USAID partners including Karnataka Health Promotion Trust, World Health Partners, REACH, SHOPS+, Union; BMGF partners including CHAI, CHRI, FIND, Everwell, Gramener, FIND; Stop-TB-Partnership-GDF-TBREACH; TB Association of India; GCAT-parliamentarian forum; TA for empowering community through GCTA,SATB, GHS etc.; Niti Aayog; CDC; Wadhwani AI; TISS; IIPH; etc. Similarly, the GF funded projects like JEET project, Axshaya, and Saksham has been providing TA at various levels of program implementation. The World Bank project starting in 2019 envisages Technical Support Units at National and State level to provide TA.</w:t>
      </w:r>
    </w:p>
    <w:p w14:paraId="7CFF2720" w14:textId="70119219" w:rsidR="00061D34" w:rsidRPr="007A53B0" w:rsidRDefault="007A53B0" w:rsidP="007A53B0">
      <w:pPr>
        <w:spacing w:before="0" w:after="0"/>
        <w:jc w:val="both"/>
        <w:rPr>
          <w:rFonts w:ascii="Calibri" w:hAnsi="Calibri" w:cs="Calibri"/>
          <w:kern w:val="24"/>
          <w:sz w:val="22"/>
          <w:lang w:eastAsia="en-IN"/>
        </w:rPr>
      </w:pPr>
      <w:r w:rsidRPr="007A53B0">
        <w:rPr>
          <w:rFonts w:ascii="Calibri" w:hAnsi="Calibri" w:cs="Calibri"/>
          <w:kern w:val="24"/>
          <w:sz w:val="22"/>
          <w:lang w:eastAsia="en-IN"/>
        </w:rPr>
        <w:t>NSP 2017-25 envisag</w:t>
      </w:r>
      <w:r w:rsidR="00EA53D7">
        <w:rPr>
          <w:rFonts w:ascii="Calibri" w:hAnsi="Calibri" w:cs="Calibri"/>
          <w:kern w:val="24"/>
          <w:sz w:val="22"/>
          <w:lang w:eastAsia="en-IN"/>
        </w:rPr>
        <w:t xml:space="preserve">es to continue the scale up of </w:t>
      </w:r>
      <w:r w:rsidR="00B35587">
        <w:rPr>
          <w:rFonts w:ascii="Calibri" w:hAnsi="Calibri" w:cs="Calibri"/>
          <w:kern w:val="24"/>
          <w:sz w:val="22"/>
          <w:lang w:eastAsia="en-IN"/>
        </w:rPr>
        <w:t>TA</w:t>
      </w:r>
      <w:r w:rsidRPr="007A53B0">
        <w:rPr>
          <w:rFonts w:ascii="Calibri" w:hAnsi="Calibri" w:cs="Calibri"/>
          <w:kern w:val="24"/>
          <w:sz w:val="22"/>
          <w:lang w:eastAsia="en-IN"/>
        </w:rPr>
        <w:t xml:space="preserve"> to </w:t>
      </w:r>
      <w:r w:rsidR="0096187C">
        <w:rPr>
          <w:rFonts w:ascii="Calibri" w:hAnsi="Calibri" w:cs="Calibri"/>
          <w:kern w:val="24"/>
          <w:sz w:val="22"/>
          <w:lang w:eastAsia="en-IN"/>
        </w:rPr>
        <w:t>NTEP</w:t>
      </w:r>
      <w:r w:rsidRPr="007A53B0">
        <w:rPr>
          <w:rFonts w:ascii="Calibri" w:hAnsi="Calibri" w:cs="Calibri"/>
          <w:kern w:val="24"/>
          <w:sz w:val="22"/>
          <w:lang w:eastAsia="en-IN"/>
        </w:rPr>
        <w:t>. The WHO TSN assessment report recommendations have been implemented with expansion of the consultants network with additional recruitment (from 80 to 148 including 26 at CTD with 8 regional consultants), and transition of the funding support to domestic budget.  Existing NSP has also envisaged</w:t>
      </w:r>
      <w:r w:rsidR="00840F1C">
        <w:rPr>
          <w:rFonts w:ascii="Calibri" w:hAnsi="Calibri" w:cs="Calibri"/>
          <w:kern w:val="24"/>
          <w:sz w:val="22"/>
          <w:lang w:eastAsia="en-IN"/>
        </w:rPr>
        <w:t xml:space="preserve"> the scale up and expansion of </w:t>
      </w:r>
      <w:r w:rsidRPr="007A53B0">
        <w:rPr>
          <w:rFonts w:ascii="Calibri" w:hAnsi="Calibri" w:cs="Calibri"/>
          <w:kern w:val="24"/>
          <w:sz w:val="22"/>
          <w:lang w:eastAsia="en-IN"/>
        </w:rPr>
        <w:t xml:space="preserve">technical areas </w:t>
      </w:r>
      <w:r w:rsidR="00840F1C">
        <w:rPr>
          <w:rFonts w:ascii="Calibri" w:hAnsi="Calibri" w:cs="Calibri"/>
          <w:kern w:val="24"/>
          <w:sz w:val="22"/>
          <w:lang w:eastAsia="en-IN"/>
        </w:rPr>
        <w:t xml:space="preserve">to cover </w:t>
      </w:r>
      <w:r w:rsidRPr="007A53B0">
        <w:rPr>
          <w:rFonts w:ascii="Calibri" w:hAnsi="Calibri" w:cs="Calibri"/>
          <w:kern w:val="24"/>
          <w:sz w:val="22"/>
          <w:lang w:eastAsia="en-IN"/>
        </w:rPr>
        <w:t xml:space="preserve">priority </w:t>
      </w:r>
      <w:r w:rsidR="00840F1C">
        <w:rPr>
          <w:rFonts w:ascii="Calibri" w:hAnsi="Calibri" w:cs="Calibri"/>
          <w:kern w:val="24"/>
          <w:sz w:val="22"/>
          <w:lang w:eastAsia="en-IN"/>
        </w:rPr>
        <w:t xml:space="preserve">thematic </w:t>
      </w:r>
      <w:r w:rsidRPr="007A53B0">
        <w:rPr>
          <w:rFonts w:ascii="Calibri" w:hAnsi="Calibri" w:cs="Calibri"/>
          <w:kern w:val="24"/>
          <w:sz w:val="22"/>
          <w:lang w:eastAsia="en-IN"/>
        </w:rPr>
        <w:t xml:space="preserve">areas like private sector engagement, DRTB and TB surveillance with regional consultants in addition to the TA </w:t>
      </w:r>
      <w:r w:rsidR="00840F1C">
        <w:rPr>
          <w:rFonts w:ascii="Calibri" w:hAnsi="Calibri" w:cs="Calibri"/>
          <w:kern w:val="24"/>
          <w:sz w:val="22"/>
          <w:lang w:eastAsia="en-IN"/>
        </w:rPr>
        <w:t>provided by</w:t>
      </w:r>
      <w:r w:rsidRPr="007A53B0">
        <w:rPr>
          <w:rFonts w:ascii="Calibri" w:hAnsi="Calibri" w:cs="Calibri"/>
          <w:kern w:val="24"/>
          <w:sz w:val="22"/>
          <w:lang w:eastAsia="en-IN"/>
        </w:rPr>
        <w:t xml:space="preserve"> other development partners.</w:t>
      </w:r>
    </w:p>
    <w:p w14:paraId="73A393CD" w14:textId="3964AF93" w:rsidR="007137CC" w:rsidRPr="00C45A90" w:rsidRDefault="00213555" w:rsidP="007137CC">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9</w:t>
      </w:r>
      <w:r>
        <w:rPr>
          <w:rFonts w:asciiTheme="minorHAnsi" w:hAnsiTheme="minorHAnsi" w:cstheme="minorHAnsi"/>
          <w:b/>
          <w:color w:val="C86A07" w:themeColor="accent2" w:themeShade="BF"/>
          <w:sz w:val="28"/>
          <w:lang w:val="en"/>
        </w:rPr>
        <w:t xml:space="preserve">.2 </w:t>
      </w:r>
      <w:r w:rsidR="007137CC" w:rsidRPr="00C45A90">
        <w:rPr>
          <w:rFonts w:asciiTheme="minorHAnsi" w:hAnsiTheme="minorHAnsi" w:cstheme="minorHAnsi"/>
          <w:b/>
          <w:color w:val="C86A07" w:themeColor="accent2" w:themeShade="BF"/>
          <w:sz w:val="28"/>
          <w:lang w:val="en"/>
        </w:rPr>
        <w:t>CHALLENGES REMAIN</w:t>
      </w:r>
      <w:r w:rsidR="00EB1896" w:rsidRPr="00C45A90">
        <w:rPr>
          <w:rFonts w:asciiTheme="minorHAnsi" w:hAnsiTheme="minorHAnsi" w:cstheme="minorHAnsi"/>
          <w:b/>
          <w:color w:val="C86A07" w:themeColor="accent2" w:themeShade="BF"/>
          <w:sz w:val="28"/>
          <w:lang w:val="en"/>
        </w:rPr>
        <w:t xml:space="preserve"> </w:t>
      </w:r>
    </w:p>
    <w:p w14:paraId="6E68E1E1" w14:textId="3301D0A9" w:rsidR="007A53B0" w:rsidRPr="007A53B0" w:rsidRDefault="007A53B0" w:rsidP="009136E5">
      <w:pPr>
        <w:pStyle w:val="ListParagraph"/>
        <w:numPr>
          <w:ilvl w:val="0"/>
          <w:numId w:val="78"/>
        </w:numPr>
        <w:spacing w:before="0" w:after="0"/>
        <w:jc w:val="both"/>
        <w:rPr>
          <w:rFonts w:ascii="Calibri" w:hAnsi="Calibri" w:cs="Calibri"/>
          <w:kern w:val="24"/>
          <w:sz w:val="22"/>
          <w:lang w:eastAsia="en-IN"/>
        </w:rPr>
      </w:pPr>
      <w:r w:rsidRPr="007A53B0">
        <w:rPr>
          <w:rFonts w:ascii="Calibri" w:hAnsi="Calibri" w:cs="Calibri"/>
          <w:kern w:val="24"/>
          <w:sz w:val="22"/>
          <w:lang w:eastAsia="en-IN"/>
        </w:rPr>
        <w:t>Multiple partners providing TA with duplication of efforts</w:t>
      </w:r>
    </w:p>
    <w:p w14:paraId="48AE5492" w14:textId="4927675E" w:rsidR="007A53B0" w:rsidRPr="007A53B0" w:rsidRDefault="007A53B0" w:rsidP="009136E5">
      <w:pPr>
        <w:pStyle w:val="ListParagraph"/>
        <w:numPr>
          <w:ilvl w:val="0"/>
          <w:numId w:val="78"/>
        </w:numPr>
        <w:spacing w:before="0" w:after="0"/>
        <w:jc w:val="both"/>
        <w:rPr>
          <w:rFonts w:ascii="Calibri" w:hAnsi="Calibri" w:cs="Calibri"/>
          <w:kern w:val="24"/>
          <w:sz w:val="22"/>
          <w:lang w:eastAsia="en-IN"/>
        </w:rPr>
      </w:pPr>
      <w:r w:rsidRPr="007A53B0">
        <w:rPr>
          <w:rFonts w:ascii="Calibri" w:hAnsi="Calibri" w:cs="Calibri"/>
          <w:kern w:val="24"/>
          <w:sz w:val="22"/>
          <w:lang w:eastAsia="en-IN"/>
        </w:rPr>
        <w:t>Risk of thrust areas requiring TA being left out</w:t>
      </w:r>
    </w:p>
    <w:p w14:paraId="62EF4B2A" w14:textId="7E428788" w:rsidR="007A53B0" w:rsidRPr="007A53B0" w:rsidRDefault="000976C0" w:rsidP="009136E5">
      <w:pPr>
        <w:pStyle w:val="ListParagraph"/>
        <w:numPr>
          <w:ilvl w:val="0"/>
          <w:numId w:val="78"/>
        </w:numPr>
        <w:spacing w:before="0" w:after="0"/>
        <w:jc w:val="both"/>
        <w:rPr>
          <w:rFonts w:ascii="Calibri" w:hAnsi="Calibri" w:cs="Calibri"/>
          <w:kern w:val="24"/>
          <w:sz w:val="22"/>
          <w:lang w:eastAsia="en-IN"/>
        </w:rPr>
      </w:pPr>
      <w:r>
        <w:rPr>
          <w:rFonts w:ascii="Calibri" w:hAnsi="Calibri" w:cs="Calibri"/>
          <w:kern w:val="24"/>
          <w:sz w:val="22"/>
          <w:lang w:eastAsia="en-IN"/>
        </w:rPr>
        <w:t>Lack of e</w:t>
      </w:r>
      <w:r w:rsidR="007A53B0" w:rsidRPr="007A53B0">
        <w:rPr>
          <w:rFonts w:ascii="Calibri" w:hAnsi="Calibri" w:cs="Calibri"/>
          <w:kern w:val="24"/>
          <w:sz w:val="22"/>
          <w:lang w:eastAsia="en-IN"/>
        </w:rPr>
        <w:t>valuation of the TA provided, prioritization of areas and rationalizing efforts by the various partners.</w:t>
      </w:r>
    </w:p>
    <w:p w14:paraId="1DB08AD7" w14:textId="38F13FD9" w:rsidR="00EB1896" w:rsidRPr="007A53B0" w:rsidRDefault="000976C0" w:rsidP="009136E5">
      <w:pPr>
        <w:pStyle w:val="ListParagraph"/>
        <w:numPr>
          <w:ilvl w:val="0"/>
          <w:numId w:val="78"/>
        </w:numPr>
        <w:spacing w:before="0" w:after="0"/>
        <w:jc w:val="both"/>
        <w:rPr>
          <w:rFonts w:ascii="Calibri" w:hAnsi="Calibri" w:cs="Calibri"/>
          <w:kern w:val="24"/>
          <w:sz w:val="22"/>
          <w:lang w:eastAsia="en-IN"/>
        </w:rPr>
      </w:pPr>
      <w:r>
        <w:rPr>
          <w:rFonts w:ascii="Calibri" w:hAnsi="Calibri" w:cs="Calibri"/>
          <w:kern w:val="24"/>
          <w:sz w:val="22"/>
          <w:lang w:eastAsia="en-IN"/>
        </w:rPr>
        <w:t>TA for e</w:t>
      </w:r>
      <w:r w:rsidR="007A53B0" w:rsidRPr="007A53B0">
        <w:rPr>
          <w:rFonts w:ascii="Calibri" w:hAnsi="Calibri" w:cs="Calibri"/>
          <w:kern w:val="24"/>
          <w:sz w:val="22"/>
          <w:lang w:eastAsia="en-IN"/>
        </w:rPr>
        <w:t xml:space="preserve">merging areas of programme interventions with newer strategies </w:t>
      </w:r>
      <w:r>
        <w:rPr>
          <w:rFonts w:ascii="Calibri" w:hAnsi="Calibri" w:cs="Calibri"/>
          <w:kern w:val="24"/>
          <w:sz w:val="22"/>
          <w:lang w:eastAsia="en-IN"/>
        </w:rPr>
        <w:t>remains underdeveloped.</w:t>
      </w:r>
      <w:r w:rsidR="007A53B0" w:rsidRPr="007A53B0">
        <w:rPr>
          <w:rFonts w:ascii="Calibri" w:hAnsi="Calibri" w:cs="Calibri"/>
          <w:kern w:val="24"/>
          <w:sz w:val="22"/>
          <w:lang w:eastAsia="en-IN"/>
        </w:rPr>
        <w:t xml:space="preserve"> </w:t>
      </w:r>
    </w:p>
    <w:p w14:paraId="4A9B1897" w14:textId="2E0C2CA9" w:rsidR="00EB1896" w:rsidRPr="00C45A90" w:rsidRDefault="00213555" w:rsidP="00EB1896">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1</w:t>
      </w:r>
      <w:r w:rsidR="00BE594E">
        <w:rPr>
          <w:rFonts w:asciiTheme="minorHAnsi" w:hAnsiTheme="minorHAnsi" w:cstheme="minorHAnsi"/>
          <w:b/>
          <w:color w:val="C86A07" w:themeColor="accent2" w:themeShade="BF"/>
          <w:sz w:val="28"/>
          <w:lang w:val="en"/>
        </w:rPr>
        <w:t>9</w:t>
      </w:r>
      <w:r>
        <w:rPr>
          <w:rFonts w:asciiTheme="minorHAnsi" w:hAnsiTheme="minorHAnsi" w:cstheme="minorHAnsi"/>
          <w:b/>
          <w:color w:val="C86A07" w:themeColor="accent2" w:themeShade="BF"/>
          <w:sz w:val="28"/>
          <w:lang w:val="en"/>
        </w:rPr>
        <w:t xml:space="preserve">.3 </w:t>
      </w:r>
      <w:r w:rsidR="00EB1896" w:rsidRPr="00C45A90">
        <w:rPr>
          <w:rFonts w:asciiTheme="minorHAnsi" w:hAnsiTheme="minorHAnsi" w:cstheme="minorHAnsi"/>
          <w:b/>
          <w:color w:val="C86A07" w:themeColor="accent2" w:themeShade="BF"/>
          <w:sz w:val="28"/>
          <w:lang w:val="en"/>
        </w:rPr>
        <w:t>THE WAY FORWARD</w:t>
      </w:r>
      <w:r w:rsidR="00F101DE">
        <w:rPr>
          <w:rFonts w:asciiTheme="minorHAnsi" w:hAnsiTheme="minorHAnsi" w:cstheme="minorHAnsi"/>
          <w:b/>
          <w:color w:val="C86A07" w:themeColor="accent2" w:themeShade="BF"/>
          <w:sz w:val="28"/>
          <w:lang w:val="en"/>
        </w:rPr>
        <w:t xml:space="preserve"> (partners TA)</w:t>
      </w:r>
    </w:p>
    <w:p w14:paraId="411DBFA4" w14:textId="77777777" w:rsidR="006039E4" w:rsidRPr="006039E4" w:rsidRDefault="006039E4" w:rsidP="009136E5">
      <w:pPr>
        <w:pStyle w:val="ListParagraph"/>
        <w:numPr>
          <w:ilvl w:val="1"/>
          <w:numId w:val="75"/>
        </w:numPr>
        <w:spacing w:before="0" w:after="0"/>
        <w:jc w:val="both"/>
        <w:rPr>
          <w:rFonts w:ascii="Calibri" w:hAnsi="Calibri" w:cs="Calibri"/>
          <w:vanish/>
          <w:kern w:val="24"/>
          <w:sz w:val="22"/>
          <w:lang w:eastAsia="en-IN"/>
        </w:rPr>
      </w:pPr>
    </w:p>
    <w:p w14:paraId="3AEAE0D1" w14:textId="77777777" w:rsidR="006039E4" w:rsidRPr="006039E4" w:rsidRDefault="006039E4" w:rsidP="009136E5">
      <w:pPr>
        <w:pStyle w:val="ListParagraph"/>
        <w:numPr>
          <w:ilvl w:val="2"/>
          <w:numId w:val="75"/>
        </w:numPr>
        <w:spacing w:before="0" w:after="0"/>
        <w:ind w:left="504"/>
        <w:jc w:val="both"/>
        <w:rPr>
          <w:rFonts w:ascii="Calibri" w:hAnsi="Calibri" w:cs="Calibri"/>
          <w:b/>
          <w:kern w:val="24"/>
          <w:sz w:val="22"/>
          <w:lang w:eastAsia="en-IN"/>
        </w:rPr>
      </w:pPr>
      <w:r w:rsidRPr="006039E4">
        <w:rPr>
          <w:rFonts w:ascii="Calibri" w:hAnsi="Calibri" w:cs="Calibri"/>
          <w:b/>
          <w:kern w:val="24"/>
          <w:sz w:val="22"/>
          <w:lang w:eastAsia="en-IN"/>
        </w:rPr>
        <w:t xml:space="preserve">Strengthen the TSN and make TA responsive to the emerging TB landscape in India. </w:t>
      </w:r>
    </w:p>
    <w:p w14:paraId="050C06F5" w14:textId="5FBF7775" w:rsidR="007A53B0" w:rsidRPr="007A53B0" w:rsidRDefault="00927688" w:rsidP="009136E5">
      <w:pPr>
        <w:pStyle w:val="ListParagraph"/>
        <w:numPr>
          <w:ilvl w:val="3"/>
          <w:numId w:val="75"/>
        </w:numPr>
        <w:spacing w:before="0" w:after="0"/>
        <w:jc w:val="both"/>
        <w:rPr>
          <w:rFonts w:ascii="Calibri" w:hAnsi="Calibri" w:cs="Calibri"/>
          <w:kern w:val="24"/>
          <w:sz w:val="22"/>
          <w:lang w:eastAsia="en-IN"/>
        </w:rPr>
      </w:pPr>
      <w:r>
        <w:rPr>
          <w:rFonts w:ascii="Calibri" w:hAnsi="Calibri" w:cs="Calibri"/>
          <w:kern w:val="24"/>
          <w:sz w:val="22"/>
          <w:lang w:eastAsia="en-IN"/>
        </w:rPr>
        <w:t>Increase the</w:t>
      </w:r>
      <w:r w:rsidRPr="007A53B0">
        <w:rPr>
          <w:rFonts w:ascii="Calibri" w:hAnsi="Calibri" w:cs="Calibri"/>
          <w:kern w:val="24"/>
          <w:sz w:val="22"/>
          <w:lang w:eastAsia="en-IN"/>
        </w:rPr>
        <w:t xml:space="preserve"> present number of </w:t>
      </w:r>
      <w:r>
        <w:rPr>
          <w:rFonts w:ascii="Calibri" w:hAnsi="Calibri" w:cs="Calibri"/>
          <w:kern w:val="24"/>
          <w:sz w:val="22"/>
          <w:lang w:eastAsia="en-IN"/>
        </w:rPr>
        <w:t>TA</w:t>
      </w:r>
      <w:r w:rsidRPr="007A53B0">
        <w:rPr>
          <w:rFonts w:ascii="Calibri" w:hAnsi="Calibri" w:cs="Calibri"/>
          <w:kern w:val="24"/>
          <w:sz w:val="22"/>
          <w:lang w:eastAsia="en-IN"/>
        </w:rPr>
        <w:t xml:space="preserve"> from WHO TSN </w:t>
      </w:r>
      <w:r>
        <w:rPr>
          <w:rFonts w:ascii="Calibri" w:hAnsi="Calibri" w:cs="Calibri"/>
          <w:kern w:val="24"/>
          <w:sz w:val="22"/>
          <w:lang w:eastAsia="en-IN"/>
        </w:rPr>
        <w:t>c</w:t>
      </w:r>
      <w:r w:rsidR="007A53B0" w:rsidRPr="007A53B0">
        <w:rPr>
          <w:rFonts w:ascii="Calibri" w:hAnsi="Calibri" w:cs="Calibri"/>
          <w:kern w:val="24"/>
          <w:sz w:val="22"/>
          <w:lang w:eastAsia="en-IN"/>
        </w:rPr>
        <w:t xml:space="preserve">onsidering the magnitude of the operations to End TB in India </w:t>
      </w:r>
    </w:p>
    <w:p w14:paraId="67547C19" w14:textId="7CB34255" w:rsidR="007A53B0" w:rsidRDefault="00D61101" w:rsidP="009136E5">
      <w:pPr>
        <w:pStyle w:val="ListParagraph"/>
        <w:numPr>
          <w:ilvl w:val="3"/>
          <w:numId w:val="75"/>
        </w:numPr>
        <w:spacing w:before="0" w:after="0"/>
        <w:jc w:val="both"/>
        <w:rPr>
          <w:rFonts w:ascii="Calibri" w:hAnsi="Calibri" w:cs="Calibri"/>
          <w:kern w:val="24"/>
          <w:sz w:val="22"/>
          <w:lang w:eastAsia="en-IN"/>
        </w:rPr>
      </w:pPr>
      <w:r>
        <w:rPr>
          <w:rFonts w:ascii="Calibri" w:hAnsi="Calibri" w:cs="Calibri"/>
          <w:kern w:val="24"/>
          <w:sz w:val="22"/>
          <w:lang w:eastAsia="en-IN"/>
        </w:rPr>
        <w:t>E</w:t>
      </w:r>
      <w:r w:rsidR="007A53B0" w:rsidRPr="007A53B0">
        <w:rPr>
          <w:rFonts w:ascii="Calibri" w:hAnsi="Calibri" w:cs="Calibri"/>
          <w:kern w:val="24"/>
          <w:sz w:val="22"/>
          <w:lang w:eastAsia="en-IN"/>
        </w:rPr>
        <w:t>quip</w:t>
      </w:r>
      <w:r>
        <w:rPr>
          <w:rFonts w:ascii="Calibri" w:hAnsi="Calibri" w:cs="Calibri"/>
          <w:kern w:val="24"/>
          <w:sz w:val="22"/>
          <w:lang w:eastAsia="en-IN"/>
        </w:rPr>
        <w:t xml:space="preserve"> the</w:t>
      </w:r>
      <w:r w:rsidRPr="007A53B0">
        <w:rPr>
          <w:rFonts w:ascii="Calibri" w:hAnsi="Calibri" w:cs="Calibri"/>
          <w:kern w:val="24"/>
          <w:sz w:val="22"/>
          <w:lang w:eastAsia="en-IN"/>
        </w:rPr>
        <w:t xml:space="preserve"> existing WHO-</w:t>
      </w:r>
      <w:r w:rsidR="0096187C">
        <w:rPr>
          <w:rFonts w:ascii="Calibri" w:hAnsi="Calibri" w:cs="Calibri"/>
          <w:kern w:val="24"/>
          <w:sz w:val="22"/>
          <w:lang w:eastAsia="en-IN"/>
        </w:rPr>
        <w:t>NTEP</w:t>
      </w:r>
      <w:r w:rsidRPr="007A53B0">
        <w:rPr>
          <w:rFonts w:ascii="Calibri" w:hAnsi="Calibri" w:cs="Calibri"/>
          <w:kern w:val="24"/>
          <w:sz w:val="22"/>
          <w:lang w:eastAsia="en-IN"/>
        </w:rPr>
        <w:t xml:space="preserve"> TSN </w:t>
      </w:r>
      <w:r w:rsidR="007A53B0" w:rsidRPr="007A53B0">
        <w:rPr>
          <w:rFonts w:ascii="Calibri" w:hAnsi="Calibri" w:cs="Calibri"/>
          <w:kern w:val="24"/>
          <w:sz w:val="22"/>
          <w:lang w:eastAsia="en-IN"/>
        </w:rPr>
        <w:t>with additional capacity to address some of the emerging themes such as Epi intelligence, Prevention, Urban TB, Tribal TB, Lab network services etc. as listed above.</w:t>
      </w:r>
      <w:r w:rsidR="006039E4">
        <w:rPr>
          <w:rFonts w:ascii="Calibri" w:hAnsi="Calibri" w:cs="Calibri"/>
          <w:kern w:val="24"/>
          <w:sz w:val="22"/>
          <w:lang w:eastAsia="en-IN"/>
        </w:rPr>
        <w:t xml:space="preserve"> </w:t>
      </w:r>
    </w:p>
    <w:p w14:paraId="0404A7CD" w14:textId="77777777" w:rsidR="006039E4" w:rsidRPr="00622EE9" w:rsidRDefault="006039E4" w:rsidP="009136E5">
      <w:pPr>
        <w:pStyle w:val="ListParagraph"/>
        <w:numPr>
          <w:ilvl w:val="3"/>
          <w:numId w:val="75"/>
        </w:numPr>
        <w:spacing w:before="0" w:after="0"/>
        <w:jc w:val="both"/>
        <w:rPr>
          <w:rFonts w:ascii="Calibri" w:hAnsi="Calibri" w:cs="Calibri"/>
          <w:kern w:val="24"/>
          <w:sz w:val="22"/>
          <w:lang w:eastAsia="en-IN"/>
        </w:rPr>
      </w:pPr>
      <w:r w:rsidRPr="00622EE9">
        <w:rPr>
          <w:rFonts w:ascii="Calibri" w:hAnsi="Calibri" w:cs="Calibri"/>
          <w:kern w:val="24"/>
          <w:sz w:val="22"/>
          <w:lang w:eastAsia="en-IN"/>
        </w:rPr>
        <w:lastRenderedPageBreak/>
        <w:t>WHO is already providing TA across the large spectrum of programme priorities under agreement with GOI through its rich WHO-TSN of consultants. Its scope can be expanded to identifying areas of TA, prioritizing, routing TA provided by other experts/partners in those areas, evaluating and in rationalizing   their efforts. This network is aptly suited to take on the additional responsibility owing to its widespread presence across the country, its involvement and familiarity with the program.</w:t>
      </w:r>
    </w:p>
    <w:p w14:paraId="41A60CC2" w14:textId="21DC62D7" w:rsidR="006039E4" w:rsidRPr="007A53B0" w:rsidRDefault="000976C0" w:rsidP="009136E5">
      <w:pPr>
        <w:pStyle w:val="ListParagraph"/>
        <w:numPr>
          <w:ilvl w:val="3"/>
          <w:numId w:val="75"/>
        </w:numPr>
        <w:spacing w:before="0" w:after="0"/>
        <w:jc w:val="both"/>
        <w:rPr>
          <w:rFonts w:ascii="Calibri" w:hAnsi="Calibri" w:cs="Calibri"/>
          <w:kern w:val="24"/>
          <w:sz w:val="22"/>
          <w:lang w:eastAsia="en-IN"/>
        </w:rPr>
      </w:pPr>
      <w:r>
        <w:rPr>
          <w:rFonts w:ascii="Calibri" w:hAnsi="Calibri" w:cs="Calibri"/>
          <w:kern w:val="24"/>
          <w:sz w:val="22"/>
          <w:lang w:eastAsia="en-IN"/>
        </w:rPr>
        <w:t>Empower</w:t>
      </w:r>
      <w:r w:rsidR="006039E4" w:rsidRPr="007A53B0">
        <w:rPr>
          <w:rFonts w:ascii="Calibri" w:hAnsi="Calibri" w:cs="Calibri"/>
          <w:kern w:val="24"/>
          <w:sz w:val="22"/>
          <w:lang w:eastAsia="en-IN"/>
        </w:rPr>
        <w:t xml:space="preserve"> the WHO-TSN with enhanced capa</w:t>
      </w:r>
      <w:r>
        <w:rPr>
          <w:rFonts w:ascii="Calibri" w:hAnsi="Calibri" w:cs="Calibri"/>
          <w:kern w:val="24"/>
          <w:sz w:val="22"/>
          <w:lang w:eastAsia="en-IN"/>
        </w:rPr>
        <w:t>cities and resources and ensure</w:t>
      </w:r>
      <w:r w:rsidR="006039E4" w:rsidRPr="007A53B0">
        <w:rPr>
          <w:rFonts w:ascii="Calibri" w:hAnsi="Calibri" w:cs="Calibri"/>
          <w:kern w:val="24"/>
          <w:sz w:val="22"/>
          <w:lang w:eastAsia="en-IN"/>
        </w:rPr>
        <w:t xml:space="preserve"> retention of h</w:t>
      </w:r>
      <w:r>
        <w:rPr>
          <w:rFonts w:ascii="Calibri" w:hAnsi="Calibri" w:cs="Calibri"/>
          <w:kern w:val="24"/>
          <w:sz w:val="22"/>
          <w:lang w:eastAsia="en-IN"/>
        </w:rPr>
        <w:t>igh quality TA in the programme</w:t>
      </w:r>
      <w:r w:rsidR="006039E4" w:rsidRPr="007A53B0">
        <w:rPr>
          <w:rFonts w:ascii="Calibri" w:hAnsi="Calibri" w:cs="Calibri"/>
          <w:kern w:val="24"/>
          <w:sz w:val="22"/>
          <w:lang w:eastAsia="en-IN"/>
        </w:rPr>
        <w:t>.</w:t>
      </w:r>
    </w:p>
    <w:p w14:paraId="3CEFBE7B" w14:textId="77777777" w:rsidR="00A618FA" w:rsidRPr="003A490F" w:rsidRDefault="00A618FA" w:rsidP="009136E5">
      <w:pPr>
        <w:pStyle w:val="ListParagraph"/>
        <w:numPr>
          <w:ilvl w:val="3"/>
          <w:numId w:val="75"/>
        </w:numPr>
        <w:spacing w:before="0"/>
        <w:contextualSpacing w:val="0"/>
        <w:jc w:val="both"/>
        <w:rPr>
          <w:rFonts w:ascii="Calibri" w:hAnsi="Calibri" w:cs="Calibri"/>
          <w:kern w:val="24"/>
          <w:sz w:val="22"/>
          <w:lang w:val="x-none" w:eastAsia="en-IN"/>
        </w:rPr>
      </w:pPr>
      <w:r>
        <w:rPr>
          <w:rFonts w:ascii="Calibri" w:hAnsi="Calibri" w:cs="Calibri"/>
          <w:kern w:val="24"/>
          <w:sz w:val="22"/>
          <w:lang w:eastAsia="en-IN"/>
        </w:rPr>
        <w:t>Provide</w:t>
      </w:r>
      <w:r w:rsidRPr="007A53B0">
        <w:rPr>
          <w:rFonts w:ascii="Calibri" w:hAnsi="Calibri" w:cs="Calibri"/>
          <w:kern w:val="24"/>
          <w:sz w:val="22"/>
          <w:lang w:eastAsia="en-IN"/>
        </w:rPr>
        <w:t xml:space="preserve"> the WHO Brand to the WHO-TSN even as the human resources and financial functions of the TSN maybe both supported by WHO and GoI.</w:t>
      </w:r>
    </w:p>
    <w:p w14:paraId="546B5A6F" w14:textId="77777777" w:rsidR="00A618FA" w:rsidRPr="003A490F" w:rsidRDefault="00A618FA" w:rsidP="009136E5">
      <w:pPr>
        <w:pStyle w:val="ListParagraph"/>
        <w:numPr>
          <w:ilvl w:val="3"/>
          <w:numId w:val="75"/>
        </w:numPr>
        <w:spacing w:before="0"/>
        <w:contextualSpacing w:val="0"/>
        <w:jc w:val="both"/>
        <w:rPr>
          <w:rFonts w:ascii="Calibri" w:hAnsi="Calibri" w:cs="Calibri"/>
          <w:kern w:val="24"/>
          <w:sz w:val="22"/>
          <w:lang w:val="x-none" w:eastAsia="en-IN"/>
        </w:rPr>
      </w:pPr>
      <w:r>
        <w:rPr>
          <w:rFonts w:ascii="Calibri" w:hAnsi="Calibri" w:cs="Calibri"/>
          <w:kern w:val="24"/>
          <w:sz w:val="22"/>
          <w:lang w:val="en-IN" w:eastAsia="en-IN"/>
        </w:rPr>
        <w:t xml:space="preserve">Synchronization, value addition and de-duplication of TA by different partners </w:t>
      </w:r>
    </w:p>
    <w:p w14:paraId="357947CA" w14:textId="77777777" w:rsidR="00A618FA" w:rsidRDefault="00A618FA" w:rsidP="009136E5">
      <w:pPr>
        <w:pStyle w:val="ListParagraph"/>
        <w:numPr>
          <w:ilvl w:val="3"/>
          <w:numId w:val="75"/>
        </w:numPr>
        <w:spacing w:before="0"/>
        <w:contextualSpacing w:val="0"/>
        <w:jc w:val="both"/>
        <w:rPr>
          <w:rFonts w:ascii="Calibri" w:hAnsi="Calibri" w:cs="Calibri"/>
          <w:kern w:val="24"/>
          <w:sz w:val="22"/>
          <w:lang w:eastAsia="en-IN"/>
        </w:rPr>
      </w:pPr>
      <w:r>
        <w:rPr>
          <w:rFonts w:ascii="Calibri" w:hAnsi="Calibri" w:cs="Calibri"/>
          <w:kern w:val="24"/>
          <w:sz w:val="22"/>
          <w:lang w:val="en-IN" w:eastAsia="en-IN"/>
        </w:rPr>
        <w:t xml:space="preserve">Development &amp; utilization of better technologies and IT platforms for TA    </w:t>
      </w:r>
    </w:p>
    <w:p w14:paraId="2F29AE37" w14:textId="4BC656B4" w:rsidR="007A53B0" w:rsidRPr="007A53B0" w:rsidRDefault="006039E4" w:rsidP="009136E5">
      <w:pPr>
        <w:pStyle w:val="ListParagraph"/>
        <w:numPr>
          <w:ilvl w:val="2"/>
          <w:numId w:val="75"/>
        </w:numPr>
        <w:spacing w:before="0"/>
        <w:ind w:left="504"/>
        <w:contextualSpacing w:val="0"/>
        <w:jc w:val="both"/>
        <w:rPr>
          <w:rFonts w:ascii="Calibri" w:hAnsi="Calibri" w:cs="Calibri"/>
          <w:kern w:val="24"/>
          <w:sz w:val="22"/>
          <w:lang w:eastAsia="en-IN"/>
        </w:rPr>
      </w:pPr>
      <w:r w:rsidRPr="006039E4">
        <w:rPr>
          <w:rFonts w:ascii="Calibri" w:hAnsi="Calibri" w:cs="Calibri"/>
          <w:b/>
          <w:kern w:val="24"/>
          <w:sz w:val="22"/>
          <w:lang w:eastAsia="en-IN"/>
        </w:rPr>
        <w:t xml:space="preserve">Extend </w:t>
      </w:r>
      <w:r w:rsidR="007A53B0" w:rsidRPr="006039E4">
        <w:rPr>
          <w:rFonts w:ascii="Calibri" w:hAnsi="Calibri" w:cs="Calibri"/>
          <w:b/>
          <w:kern w:val="24"/>
          <w:sz w:val="22"/>
          <w:lang w:eastAsia="en-IN"/>
        </w:rPr>
        <w:t>TA to other ministries</w:t>
      </w:r>
      <w:r w:rsidR="007A53B0" w:rsidRPr="007A53B0">
        <w:rPr>
          <w:rFonts w:ascii="Calibri" w:hAnsi="Calibri" w:cs="Calibri"/>
          <w:kern w:val="24"/>
          <w:sz w:val="22"/>
          <w:lang w:eastAsia="en-IN"/>
        </w:rPr>
        <w:t xml:space="preserve"> which address the contribution of social determinants of tuberculosis but needs intervention beyond NTEP/CTD</w:t>
      </w:r>
      <w:r w:rsidR="000976C0">
        <w:rPr>
          <w:rStyle w:val="FootnoteReference"/>
          <w:rFonts w:cs="Calibri"/>
          <w:kern w:val="24"/>
          <w:lang w:eastAsia="en-IN"/>
        </w:rPr>
        <w:footnoteReference w:id="29"/>
      </w:r>
      <w:r w:rsidR="007A53B0" w:rsidRPr="007A53B0">
        <w:rPr>
          <w:rFonts w:ascii="Calibri" w:hAnsi="Calibri" w:cs="Calibri"/>
          <w:kern w:val="24"/>
          <w:sz w:val="22"/>
          <w:lang w:eastAsia="en-IN"/>
        </w:rPr>
        <w:t>.</w:t>
      </w:r>
    </w:p>
    <w:p w14:paraId="6D0D335E" w14:textId="48BBF786" w:rsidR="007A53B0" w:rsidRPr="007A53B0" w:rsidRDefault="00D61101" w:rsidP="009136E5">
      <w:pPr>
        <w:pStyle w:val="ListParagraph"/>
        <w:numPr>
          <w:ilvl w:val="2"/>
          <w:numId w:val="75"/>
        </w:numPr>
        <w:spacing w:before="0"/>
        <w:ind w:left="504"/>
        <w:contextualSpacing w:val="0"/>
        <w:jc w:val="both"/>
        <w:rPr>
          <w:rFonts w:ascii="Calibri" w:hAnsi="Calibri" w:cs="Calibri"/>
          <w:kern w:val="24"/>
          <w:sz w:val="22"/>
          <w:lang w:eastAsia="en-IN"/>
        </w:rPr>
      </w:pPr>
      <w:r w:rsidRPr="006039E4">
        <w:rPr>
          <w:rFonts w:ascii="Calibri" w:hAnsi="Calibri" w:cs="Calibri"/>
          <w:b/>
          <w:kern w:val="24"/>
          <w:sz w:val="22"/>
          <w:lang w:eastAsia="en-IN"/>
        </w:rPr>
        <w:t>Expedite the establishment of the planned TSU’s</w:t>
      </w:r>
      <w:r w:rsidRPr="007A53B0">
        <w:rPr>
          <w:rFonts w:ascii="Calibri" w:hAnsi="Calibri" w:cs="Calibri"/>
          <w:kern w:val="24"/>
          <w:sz w:val="22"/>
          <w:lang w:eastAsia="en-IN"/>
        </w:rPr>
        <w:t xml:space="preserve"> with special focus on private sector provider engagement and contracting at National and State level</w:t>
      </w:r>
      <w:r>
        <w:rPr>
          <w:rFonts w:ascii="Calibri" w:hAnsi="Calibri" w:cs="Calibri"/>
          <w:kern w:val="24"/>
          <w:sz w:val="22"/>
          <w:lang w:eastAsia="en-IN"/>
        </w:rPr>
        <w:t>, as</w:t>
      </w:r>
      <w:r w:rsidR="007A53B0" w:rsidRPr="007A53B0">
        <w:rPr>
          <w:rFonts w:ascii="Calibri" w:hAnsi="Calibri" w:cs="Calibri"/>
          <w:kern w:val="24"/>
          <w:sz w:val="22"/>
          <w:lang w:eastAsia="en-IN"/>
        </w:rPr>
        <w:t xml:space="preserve"> per the World Bank supported project and</w:t>
      </w:r>
      <w:r>
        <w:rPr>
          <w:rFonts w:ascii="Calibri" w:hAnsi="Calibri" w:cs="Calibri"/>
          <w:kern w:val="24"/>
          <w:sz w:val="22"/>
          <w:lang w:eastAsia="en-IN"/>
        </w:rPr>
        <w:t xml:space="preserve"> expand their </w:t>
      </w:r>
      <w:r w:rsidR="007A53B0" w:rsidRPr="007A53B0">
        <w:rPr>
          <w:rFonts w:ascii="Calibri" w:hAnsi="Calibri" w:cs="Calibri"/>
          <w:kern w:val="24"/>
          <w:sz w:val="22"/>
          <w:lang w:eastAsia="en-IN"/>
        </w:rPr>
        <w:t xml:space="preserve">scope to other </w:t>
      </w:r>
      <w:r w:rsidR="00B35587">
        <w:rPr>
          <w:rFonts w:ascii="Calibri" w:hAnsi="Calibri" w:cs="Calibri"/>
          <w:kern w:val="24"/>
          <w:sz w:val="22"/>
          <w:lang w:eastAsia="en-IN"/>
        </w:rPr>
        <w:t>TA</w:t>
      </w:r>
      <w:r w:rsidR="007A53B0" w:rsidRPr="007A53B0">
        <w:rPr>
          <w:rFonts w:ascii="Calibri" w:hAnsi="Calibri" w:cs="Calibri"/>
          <w:kern w:val="24"/>
          <w:sz w:val="22"/>
          <w:lang w:eastAsia="en-IN"/>
        </w:rPr>
        <w:t xml:space="preserve"> needs not covered by WHO-</w:t>
      </w:r>
      <w:r w:rsidR="0096187C">
        <w:rPr>
          <w:rFonts w:ascii="Calibri" w:hAnsi="Calibri" w:cs="Calibri"/>
          <w:kern w:val="24"/>
          <w:sz w:val="22"/>
          <w:lang w:eastAsia="en-IN"/>
        </w:rPr>
        <w:t>NTEP</w:t>
      </w:r>
      <w:r w:rsidR="007A53B0" w:rsidRPr="007A53B0">
        <w:rPr>
          <w:rFonts w:ascii="Calibri" w:hAnsi="Calibri" w:cs="Calibri"/>
          <w:kern w:val="24"/>
          <w:sz w:val="22"/>
          <w:lang w:eastAsia="en-IN"/>
        </w:rPr>
        <w:t xml:space="preserve"> TSN such community mobilization, DBT,</w:t>
      </w:r>
      <w:r w:rsidR="0059222B">
        <w:rPr>
          <w:rFonts w:ascii="Calibri" w:hAnsi="Calibri" w:cs="Calibri"/>
          <w:kern w:val="24"/>
          <w:sz w:val="22"/>
          <w:lang w:eastAsia="en-IN"/>
        </w:rPr>
        <w:t xml:space="preserve"> </w:t>
      </w:r>
      <w:r w:rsidR="0059222B">
        <w:rPr>
          <w:rFonts w:ascii="Calibri" w:hAnsi="Calibri" w:cs="Calibri"/>
          <w:color w:val="000000"/>
          <w:sz w:val="22"/>
        </w:rPr>
        <w:t xml:space="preserve">health financing/economics of TB control, human resources for health, health systems performance and efficiency analysis, </w:t>
      </w:r>
      <w:r w:rsidR="007A53B0" w:rsidRPr="007A53B0">
        <w:rPr>
          <w:rFonts w:ascii="Calibri" w:hAnsi="Calibri" w:cs="Calibri"/>
          <w:kern w:val="24"/>
          <w:sz w:val="22"/>
          <w:lang w:eastAsia="en-IN"/>
        </w:rPr>
        <w:t>multi-sectoral engagement etc.</w:t>
      </w:r>
    </w:p>
    <w:p w14:paraId="2E78909D" w14:textId="44E50D26" w:rsidR="007A53B0" w:rsidRPr="007A53B0" w:rsidRDefault="006039E4" w:rsidP="009136E5">
      <w:pPr>
        <w:pStyle w:val="ListParagraph"/>
        <w:numPr>
          <w:ilvl w:val="2"/>
          <w:numId w:val="75"/>
        </w:numPr>
        <w:spacing w:before="0"/>
        <w:ind w:left="504"/>
        <w:contextualSpacing w:val="0"/>
        <w:jc w:val="both"/>
        <w:rPr>
          <w:rFonts w:ascii="Calibri" w:hAnsi="Calibri" w:cs="Calibri"/>
          <w:kern w:val="24"/>
          <w:sz w:val="22"/>
          <w:lang w:eastAsia="en-IN"/>
        </w:rPr>
      </w:pPr>
      <w:r w:rsidRPr="006039E4">
        <w:rPr>
          <w:rFonts w:ascii="Calibri" w:hAnsi="Calibri" w:cs="Calibri"/>
          <w:b/>
          <w:kern w:val="24"/>
          <w:sz w:val="22"/>
          <w:lang w:eastAsia="en-IN"/>
        </w:rPr>
        <w:t xml:space="preserve">Create a </w:t>
      </w:r>
      <w:r w:rsidR="007A53B0" w:rsidRPr="006039E4">
        <w:rPr>
          <w:rFonts w:ascii="Calibri" w:hAnsi="Calibri" w:cs="Calibri"/>
          <w:b/>
          <w:kern w:val="24"/>
          <w:sz w:val="22"/>
          <w:lang w:eastAsia="en-IN"/>
        </w:rPr>
        <w:t xml:space="preserve">platform/mechanism to enlist and provide information on the available </w:t>
      </w:r>
      <w:r w:rsidR="00D61101" w:rsidRPr="006039E4">
        <w:rPr>
          <w:rFonts w:ascii="Calibri" w:hAnsi="Calibri" w:cs="Calibri"/>
          <w:b/>
          <w:kern w:val="24"/>
          <w:sz w:val="22"/>
          <w:lang w:eastAsia="en-IN"/>
        </w:rPr>
        <w:t>TA</w:t>
      </w:r>
      <w:r w:rsidR="007A53B0" w:rsidRPr="006039E4">
        <w:rPr>
          <w:rFonts w:ascii="Calibri" w:hAnsi="Calibri" w:cs="Calibri"/>
          <w:b/>
          <w:kern w:val="24"/>
          <w:sz w:val="22"/>
          <w:lang w:eastAsia="en-IN"/>
        </w:rPr>
        <w:t xml:space="preserve"> experts</w:t>
      </w:r>
      <w:r w:rsidR="007A53B0" w:rsidRPr="007A53B0">
        <w:rPr>
          <w:rFonts w:ascii="Calibri" w:hAnsi="Calibri" w:cs="Calibri"/>
          <w:kern w:val="24"/>
          <w:sz w:val="22"/>
          <w:lang w:eastAsia="en-IN"/>
        </w:rPr>
        <w:t xml:space="preserve"> (a pool of short term consultants of various international and national experts) </w:t>
      </w:r>
      <w:r w:rsidR="00D61101">
        <w:rPr>
          <w:rFonts w:ascii="Calibri" w:hAnsi="Calibri" w:cs="Calibri"/>
          <w:kern w:val="24"/>
          <w:sz w:val="22"/>
          <w:lang w:eastAsia="en-IN"/>
        </w:rPr>
        <w:t xml:space="preserve">which the </w:t>
      </w:r>
      <w:r w:rsidR="007A53B0" w:rsidRPr="007A53B0">
        <w:rPr>
          <w:rFonts w:ascii="Calibri" w:hAnsi="Calibri" w:cs="Calibri"/>
          <w:kern w:val="24"/>
          <w:sz w:val="22"/>
          <w:lang w:eastAsia="en-IN"/>
        </w:rPr>
        <w:t xml:space="preserve">program can </w:t>
      </w:r>
      <w:r w:rsidR="00D61101">
        <w:rPr>
          <w:rFonts w:ascii="Calibri" w:hAnsi="Calibri" w:cs="Calibri"/>
          <w:kern w:val="24"/>
          <w:sz w:val="22"/>
          <w:lang w:eastAsia="en-IN"/>
        </w:rPr>
        <w:t>utilize</w:t>
      </w:r>
      <w:r w:rsidR="007A53B0" w:rsidRPr="007A53B0">
        <w:rPr>
          <w:rFonts w:ascii="Calibri" w:hAnsi="Calibri" w:cs="Calibri"/>
          <w:kern w:val="24"/>
          <w:sz w:val="22"/>
          <w:lang w:eastAsia="en-IN"/>
        </w:rPr>
        <w:t xml:space="preserve"> to have quick and timely access to specialized </w:t>
      </w:r>
      <w:r w:rsidR="00D61101">
        <w:rPr>
          <w:rFonts w:ascii="Calibri" w:hAnsi="Calibri" w:cs="Calibri"/>
          <w:kern w:val="24"/>
          <w:sz w:val="22"/>
          <w:lang w:eastAsia="en-IN"/>
        </w:rPr>
        <w:t>TA wherever and whenever required</w:t>
      </w:r>
      <w:r w:rsidR="007A53B0" w:rsidRPr="007A53B0">
        <w:rPr>
          <w:rFonts w:ascii="Calibri" w:hAnsi="Calibri" w:cs="Calibri"/>
          <w:kern w:val="24"/>
          <w:sz w:val="22"/>
          <w:lang w:eastAsia="en-IN"/>
        </w:rPr>
        <w:t>. Partners providing support for TA to the programme may facilitate this process.</w:t>
      </w:r>
    </w:p>
    <w:p w14:paraId="203DC5C8" w14:textId="25596E27" w:rsidR="007A53B0" w:rsidRPr="00622EE9" w:rsidRDefault="007A53B0" w:rsidP="009136E5">
      <w:pPr>
        <w:pStyle w:val="ListParagraph"/>
        <w:numPr>
          <w:ilvl w:val="2"/>
          <w:numId w:val="75"/>
        </w:numPr>
        <w:spacing w:before="0"/>
        <w:ind w:left="504"/>
        <w:contextualSpacing w:val="0"/>
        <w:jc w:val="both"/>
        <w:rPr>
          <w:rFonts w:ascii="Calibri" w:hAnsi="Calibri" w:cs="Calibri"/>
          <w:kern w:val="24"/>
          <w:sz w:val="22"/>
          <w:lang w:eastAsia="en-IN"/>
        </w:rPr>
      </w:pPr>
      <w:r w:rsidRPr="00622EE9">
        <w:rPr>
          <w:rFonts w:ascii="Calibri" w:hAnsi="Calibri" w:cs="Calibri"/>
          <w:kern w:val="24"/>
          <w:sz w:val="22"/>
          <w:lang w:eastAsia="en-IN"/>
        </w:rPr>
        <w:t>All partner organizations assisting the programme with TA in specialized areas like the T</w:t>
      </w:r>
      <w:r w:rsidR="000976C0" w:rsidRPr="00622EE9">
        <w:rPr>
          <w:rFonts w:ascii="Calibri" w:hAnsi="Calibri" w:cs="Calibri"/>
          <w:kern w:val="24"/>
          <w:sz w:val="22"/>
          <w:lang w:eastAsia="en-IN"/>
        </w:rPr>
        <w:t>SUs, l</w:t>
      </w:r>
      <w:r w:rsidR="003D52EF" w:rsidRPr="00622EE9">
        <w:rPr>
          <w:rFonts w:ascii="Calibri" w:hAnsi="Calibri" w:cs="Calibri"/>
          <w:kern w:val="24"/>
          <w:sz w:val="22"/>
          <w:lang w:eastAsia="en-IN"/>
        </w:rPr>
        <w:t>aboratory strengthening,</w:t>
      </w:r>
      <w:r w:rsidR="0059222B">
        <w:rPr>
          <w:rFonts w:ascii="Calibri" w:hAnsi="Calibri" w:cs="Calibri"/>
          <w:kern w:val="24"/>
          <w:sz w:val="22"/>
          <w:lang w:eastAsia="en-IN"/>
        </w:rPr>
        <w:t xml:space="preserve"> </w:t>
      </w:r>
      <w:r w:rsidR="0059222B">
        <w:rPr>
          <w:rFonts w:ascii="Calibri" w:hAnsi="Calibri" w:cs="Calibri"/>
          <w:color w:val="000000"/>
          <w:sz w:val="22"/>
        </w:rPr>
        <w:t>health financing/ economics of TB control,</w:t>
      </w:r>
      <w:r w:rsidR="003D52EF" w:rsidRPr="00622EE9">
        <w:rPr>
          <w:rFonts w:ascii="Calibri" w:hAnsi="Calibri" w:cs="Calibri"/>
          <w:kern w:val="24"/>
          <w:sz w:val="22"/>
          <w:lang w:eastAsia="en-IN"/>
        </w:rPr>
        <w:t xml:space="preserve"> d</w:t>
      </w:r>
      <w:r w:rsidRPr="00622EE9">
        <w:rPr>
          <w:rFonts w:ascii="Calibri" w:hAnsi="Calibri" w:cs="Calibri"/>
          <w:kern w:val="24"/>
          <w:sz w:val="22"/>
          <w:lang w:eastAsia="en-IN"/>
        </w:rPr>
        <w:t xml:space="preserve">igital health, other </w:t>
      </w:r>
      <w:r w:rsidR="00D61101" w:rsidRPr="00622EE9">
        <w:rPr>
          <w:rFonts w:ascii="Calibri" w:hAnsi="Calibri" w:cs="Calibri"/>
          <w:kern w:val="24"/>
          <w:sz w:val="22"/>
          <w:lang w:eastAsia="en-IN"/>
        </w:rPr>
        <w:t>ministries etc.</w:t>
      </w:r>
      <w:r w:rsidRPr="00622EE9">
        <w:rPr>
          <w:rFonts w:ascii="Calibri" w:hAnsi="Calibri" w:cs="Calibri"/>
          <w:kern w:val="24"/>
          <w:sz w:val="22"/>
          <w:lang w:eastAsia="en-IN"/>
        </w:rPr>
        <w:t xml:space="preserve"> may be under one umbrella </w:t>
      </w:r>
      <w:r w:rsidR="00D61101" w:rsidRPr="00622EE9">
        <w:rPr>
          <w:rFonts w:ascii="Calibri" w:hAnsi="Calibri" w:cs="Calibri"/>
          <w:kern w:val="24"/>
          <w:sz w:val="22"/>
          <w:lang w:eastAsia="en-IN"/>
        </w:rPr>
        <w:t>of GOI</w:t>
      </w:r>
      <w:r w:rsidRPr="00622EE9">
        <w:rPr>
          <w:rFonts w:ascii="Calibri" w:hAnsi="Calibri" w:cs="Calibri"/>
          <w:kern w:val="24"/>
          <w:sz w:val="22"/>
          <w:lang w:eastAsia="en-IN"/>
        </w:rPr>
        <w:t xml:space="preserve"> supported WHO-TSN </w:t>
      </w:r>
      <w:r w:rsidR="00D61101" w:rsidRPr="00622EE9">
        <w:rPr>
          <w:rFonts w:ascii="Calibri" w:hAnsi="Calibri" w:cs="Calibri"/>
          <w:kern w:val="24"/>
          <w:sz w:val="22"/>
          <w:lang w:eastAsia="en-IN"/>
        </w:rPr>
        <w:t>consultants</w:t>
      </w:r>
      <w:r w:rsidRPr="00622EE9">
        <w:rPr>
          <w:rFonts w:ascii="Calibri" w:hAnsi="Calibri" w:cs="Calibri"/>
          <w:kern w:val="24"/>
          <w:sz w:val="22"/>
          <w:lang w:eastAsia="en-IN"/>
        </w:rPr>
        <w:t xml:space="preserve"> network. This will bring in accountability in prioritization starting from the subnational level, coordination </w:t>
      </w:r>
    </w:p>
    <w:p w14:paraId="6ACEF768" w14:textId="293F0C13" w:rsidR="006039E4" w:rsidRPr="007A53B0" w:rsidRDefault="003D65A8" w:rsidP="009136E5">
      <w:pPr>
        <w:pStyle w:val="ListParagraph"/>
        <w:numPr>
          <w:ilvl w:val="2"/>
          <w:numId w:val="75"/>
        </w:numPr>
        <w:spacing w:before="0"/>
        <w:ind w:left="504"/>
        <w:contextualSpacing w:val="0"/>
        <w:jc w:val="both"/>
        <w:rPr>
          <w:rFonts w:ascii="Calibri" w:hAnsi="Calibri" w:cs="Calibri"/>
          <w:kern w:val="24"/>
          <w:sz w:val="22"/>
          <w:lang w:eastAsia="en-IN"/>
        </w:rPr>
      </w:pPr>
      <w:r>
        <w:rPr>
          <w:rFonts w:ascii="Calibri" w:hAnsi="Calibri" w:cs="Calibri"/>
          <w:kern w:val="24"/>
          <w:sz w:val="22"/>
          <w:lang w:eastAsia="en-IN"/>
        </w:rPr>
        <w:t>Provide p</w:t>
      </w:r>
      <w:r w:rsidR="006039E4" w:rsidRPr="007A53B0">
        <w:rPr>
          <w:rFonts w:ascii="Calibri" w:hAnsi="Calibri" w:cs="Calibri"/>
          <w:kern w:val="24"/>
          <w:sz w:val="22"/>
          <w:lang w:eastAsia="en-IN"/>
        </w:rPr>
        <w:t xml:space="preserve">rogram units at central level </w:t>
      </w:r>
      <w:r>
        <w:rPr>
          <w:rFonts w:ascii="Calibri" w:hAnsi="Calibri" w:cs="Calibri"/>
          <w:kern w:val="24"/>
          <w:sz w:val="22"/>
          <w:lang w:eastAsia="en-IN"/>
        </w:rPr>
        <w:t>with</w:t>
      </w:r>
      <w:r w:rsidR="006039E4" w:rsidRPr="007A53B0">
        <w:rPr>
          <w:rFonts w:ascii="Calibri" w:hAnsi="Calibri" w:cs="Calibri"/>
          <w:kern w:val="24"/>
          <w:sz w:val="22"/>
          <w:lang w:eastAsia="en-IN"/>
        </w:rPr>
        <w:t xml:space="preserve"> additional infrastructural support (e.g. </w:t>
      </w:r>
      <w:r>
        <w:rPr>
          <w:rFonts w:ascii="Calibri" w:hAnsi="Calibri" w:cs="Calibri"/>
          <w:kern w:val="24"/>
          <w:sz w:val="22"/>
          <w:lang w:eastAsia="en-IN"/>
        </w:rPr>
        <w:t>space, communication tools, m</w:t>
      </w:r>
      <w:r w:rsidR="006039E4" w:rsidRPr="007A53B0">
        <w:rPr>
          <w:rFonts w:ascii="Calibri" w:hAnsi="Calibri" w:cs="Calibri"/>
          <w:kern w:val="24"/>
          <w:sz w:val="22"/>
          <w:lang w:eastAsia="en-IN"/>
        </w:rPr>
        <w:t>anagement support) to accommodate the expanded network.</w:t>
      </w:r>
    </w:p>
    <w:p w14:paraId="36D40708" w14:textId="63275138" w:rsidR="008D4EB2" w:rsidRDefault="008D4EB2">
      <w:pPr>
        <w:spacing w:before="0" w:after="0"/>
        <w:rPr>
          <w:rFonts w:ascii="Calibri" w:hAnsi="Calibri" w:cs="Calibri"/>
          <w:b/>
          <w:kern w:val="24"/>
          <w:sz w:val="22"/>
          <w:lang w:eastAsia="en-IN"/>
        </w:rPr>
      </w:pPr>
    </w:p>
    <w:p w14:paraId="3961B56E" w14:textId="77777777" w:rsidR="003D52EF" w:rsidRDefault="003D52EF">
      <w:pPr>
        <w:spacing w:before="0" w:after="0"/>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460FD341" w14:textId="2CA1C7DD" w:rsidR="005B1311" w:rsidRDefault="008D4EB2" w:rsidP="008D4EB2">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BE594E">
        <w:rPr>
          <w:rFonts w:asciiTheme="minorHAnsi" w:hAnsiTheme="minorHAnsi" w:cstheme="minorHAnsi"/>
          <w:b/>
          <w:snapToGrid w:val="0"/>
          <w:color w:val="auto"/>
          <w:sz w:val="36"/>
        </w:rPr>
        <w:t>20</w:t>
      </w:r>
    </w:p>
    <w:p w14:paraId="2012788B" w14:textId="5B98A5C8" w:rsidR="008D4EB2" w:rsidRPr="005B1311" w:rsidRDefault="005B1311" w:rsidP="005B1311">
      <w:pPr>
        <w:shd w:val="clear" w:color="auto" w:fill="17365D" w:themeFill="text2" w:themeFillShade="BF"/>
        <w:spacing w:before="0" w:after="0"/>
        <w:jc w:val="right"/>
        <w:rPr>
          <w:b/>
          <w:sz w:val="28"/>
        </w:rPr>
      </w:pPr>
      <w:r>
        <w:rPr>
          <w:b/>
          <w:sz w:val="28"/>
        </w:rPr>
        <w:t xml:space="preserve">NSP </w:t>
      </w:r>
      <w:r w:rsidRPr="006B7923">
        <w:rPr>
          <w:b/>
          <w:sz w:val="28"/>
        </w:rPr>
        <w:t>STRATEGIC AREA 1.1</w:t>
      </w:r>
      <w:r>
        <w:rPr>
          <w:b/>
          <w:sz w:val="28"/>
        </w:rPr>
        <w:t>3</w:t>
      </w:r>
      <w:r w:rsidR="008D4EB2" w:rsidRPr="00734B6A">
        <w:rPr>
          <w:rFonts w:asciiTheme="minorHAnsi" w:hAnsiTheme="minorHAnsi" w:cstheme="minorHAnsi"/>
          <w:b/>
          <w:snapToGrid w:val="0"/>
          <w:sz w:val="36"/>
        </w:rPr>
        <w:t xml:space="preserve"> </w:t>
      </w:r>
    </w:p>
    <w:p w14:paraId="7FA736F9" w14:textId="4AF3A265" w:rsidR="008D4EB2" w:rsidRPr="00734B6A" w:rsidRDefault="008D4EB2" w:rsidP="00150B60">
      <w:pPr>
        <w:pStyle w:val="Heading1"/>
        <w:tabs>
          <w:tab w:val="num" w:pos="5670"/>
        </w:tabs>
        <w:ind w:left="1080" w:hanging="720"/>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sidR="005903E6">
        <w:rPr>
          <w:rFonts w:asciiTheme="minorHAnsi" w:hAnsiTheme="minorHAnsi" w:cstheme="minorHAnsi"/>
          <w:b/>
          <w:snapToGrid w:val="0"/>
          <w:color w:val="auto"/>
        </w:rPr>
        <w:t>ADDRESSING</w:t>
      </w:r>
      <w:r w:rsidRPr="008D4EB2">
        <w:rPr>
          <w:rFonts w:asciiTheme="minorHAnsi" w:hAnsiTheme="minorHAnsi" w:cstheme="minorHAnsi"/>
          <w:b/>
          <w:snapToGrid w:val="0"/>
          <w:color w:val="auto"/>
        </w:rPr>
        <w:t xml:space="preserve"> human rig</w:t>
      </w:r>
      <w:r w:rsidR="00150B60">
        <w:rPr>
          <w:rFonts w:asciiTheme="minorHAnsi" w:hAnsiTheme="minorHAnsi" w:cstheme="minorHAnsi"/>
          <w:b/>
          <w:snapToGrid w:val="0"/>
          <w:color w:val="auto"/>
        </w:rPr>
        <w:t>hts and gender related barriers</w:t>
      </w:r>
    </w:p>
    <w:p w14:paraId="7544AB0E" w14:textId="5A867099" w:rsidR="0075389F" w:rsidRPr="00C45A90" w:rsidRDefault="00BE594E"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20</w:t>
      </w:r>
      <w:r w:rsidR="00213555">
        <w:rPr>
          <w:rFonts w:asciiTheme="minorHAnsi" w:hAnsiTheme="minorHAnsi" w:cstheme="minorHAnsi"/>
          <w:b/>
          <w:color w:val="C86A07" w:themeColor="accent2" w:themeShade="BF"/>
          <w:sz w:val="28"/>
          <w:lang w:val="en"/>
        </w:rPr>
        <w:t xml:space="preserve">.1 </w:t>
      </w:r>
      <w:r w:rsidR="0075389F" w:rsidRPr="00C45A90">
        <w:rPr>
          <w:rFonts w:asciiTheme="minorHAnsi" w:hAnsiTheme="minorHAnsi" w:cstheme="minorHAnsi"/>
          <w:b/>
          <w:color w:val="C86A07" w:themeColor="accent2" w:themeShade="BF"/>
          <w:sz w:val="28"/>
          <w:lang w:val="en"/>
        </w:rPr>
        <w:t>INTRODUCTION</w:t>
      </w:r>
    </w:p>
    <w:p w14:paraId="4425AFA6" w14:textId="7ECB5C33" w:rsidR="0097766E" w:rsidRPr="0097766E" w:rsidRDefault="0097766E" w:rsidP="0097766E">
      <w:pPr>
        <w:jc w:val="both"/>
        <w:rPr>
          <w:rFonts w:asciiTheme="minorHAnsi" w:hAnsiTheme="minorHAnsi"/>
          <w:sz w:val="22"/>
        </w:rPr>
      </w:pPr>
      <w:r w:rsidRPr="0097766E">
        <w:rPr>
          <w:rFonts w:asciiTheme="minorHAnsi" w:hAnsiTheme="minorHAnsi"/>
          <w:sz w:val="22"/>
        </w:rPr>
        <w:t>In India, the Directive Principle of State Policy under the Article 47 of the Constitution of India considers that it is the primary duty of the State to improve public health, securing of justice, human condition of works, extension of sickness, old age, disablement and maternity benefits. Under this Article, the State is expected to raise the level of nutrition and standard of living of its people and improvement of public health among its primary duties. Providing adequate medical facilities for the people is an obligation undertaken by the government in a welfare state. The government discharges this obligation by providing medical care to the persons seeking care.</w:t>
      </w:r>
      <w:r>
        <w:rPr>
          <w:rFonts w:asciiTheme="minorHAnsi" w:hAnsiTheme="minorHAnsi"/>
          <w:sz w:val="22"/>
        </w:rPr>
        <w:t xml:space="preserve"> </w:t>
      </w:r>
      <w:r w:rsidRPr="0097766E">
        <w:rPr>
          <w:rFonts w:asciiTheme="minorHAnsi" w:hAnsiTheme="minorHAnsi"/>
          <w:sz w:val="22"/>
        </w:rPr>
        <w:t>India is a signatory to key international treaties and movements advocating for, and protecting human rights (The International Covenant on Economic, Social and Cultural Rights (ICESCR) in 1979, the UN Convention on the Rights of Children in 1992 and the Co</w:t>
      </w:r>
      <w:r>
        <w:rPr>
          <w:rFonts w:asciiTheme="minorHAnsi" w:hAnsiTheme="minorHAnsi"/>
          <w:sz w:val="22"/>
        </w:rPr>
        <w:t>nvention on the Elimination of all f</w:t>
      </w:r>
      <w:r w:rsidRPr="0097766E">
        <w:rPr>
          <w:rFonts w:asciiTheme="minorHAnsi" w:hAnsiTheme="minorHAnsi"/>
          <w:sz w:val="22"/>
        </w:rPr>
        <w:t>orms of Discrimination against Women in 1993, and the Convention on the</w:t>
      </w:r>
      <w:r>
        <w:rPr>
          <w:rFonts w:asciiTheme="minorHAnsi" w:hAnsiTheme="minorHAnsi"/>
          <w:sz w:val="22"/>
        </w:rPr>
        <w:t xml:space="preserve"> </w:t>
      </w:r>
      <w:r w:rsidRPr="0097766E">
        <w:rPr>
          <w:rFonts w:asciiTheme="minorHAnsi" w:hAnsiTheme="minorHAnsi"/>
          <w:sz w:val="22"/>
        </w:rPr>
        <w:t>Rights of the Disabled in 2007).</w:t>
      </w:r>
    </w:p>
    <w:p w14:paraId="02453450" w14:textId="0C2CC579" w:rsidR="00E75D4E" w:rsidRDefault="0097766E" w:rsidP="00F61853">
      <w:pPr>
        <w:jc w:val="both"/>
        <w:rPr>
          <w:rFonts w:asciiTheme="minorHAnsi" w:hAnsiTheme="minorHAnsi"/>
          <w:sz w:val="22"/>
        </w:rPr>
      </w:pPr>
      <w:r>
        <w:rPr>
          <w:rFonts w:asciiTheme="minorHAnsi" w:hAnsiTheme="minorHAnsi"/>
          <w:sz w:val="22"/>
        </w:rPr>
        <w:t>The country</w:t>
      </w:r>
      <w:r w:rsidR="00C766F2">
        <w:rPr>
          <w:rFonts w:asciiTheme="minorHAnsi" w:hAnsiTheme="minorHAnsi"/>
          <w:sz w:val="22"/>
        </w:rPr>
        <w:t xml:space="preserve"> is committed to a response</w:t>
      </w:r>
      <w:r w:rsidR="00B5231D">
        <w:rPr>
          <w:rFonts w:asciiTheme="minorHAnsi" w:hAnsiTheme="minorHAnsi"/>
          <w:sz w:val="22"/>
        </w:rPr>
        <w:t xml:space="preserve"> against TB</w:t>
      </w:r>
      <w:r w:rsidR="00C766F2">
        <w:rPr>
          <w:rFonts w:asciiTheme="minorHAnsi" w:hAnsiTheme="minorHAnsi"/>
          <w:sz w:val="22"/>
        </w:rPr>
        <w:t xml:space="preserve"> that is people centered, rights-based and gender sensitive. </w:t>
      </w:r>
      <w:r w:rsidR="0029540B" w:rsidRPr="0029540B">
        <w:rPr>
          <w:rFonts w:asciiTheme="minorHAnsi" w:hAnsiTheme="minorHAnsi"/>
          <w:sz w:val="22"/>
        </w:rPr>
        <w:t xml:space="preserve">Theoretically, an airborne disease such as TB should pose an equal biological risk to everyone, irrespective of </w:t>
      </w:r>
      <w:r w:rsidR="00C766F2">
        <w:rPr>
          <w:rFonts w:asciiTheme="minorHAnsi" w:hAnsiTheme="minorHAnsi"/>
          <w:sz w:val="22"/>
        </w:rPr>
        <w:t xml:space="preserve">who they are, where they live or work, or their </w:t>
      </w:r>
      <w:r w:rsidR="0029540B" w:rsidRPr="0029540B">
        <w:rPr>
          <w:rFonts w:asciiTheme="minorHAnsi" w:hAnsiTheme="minorHAnsi"/>
          <w:sz w:val="22"/>
        </w:rPr>
        <w:t xml:space="preserve">gender. </w:t>
      </w:r>
      <w:r w:rsidR="00C766F2">
        <w:rPr>
          <w:rFonts w:asciiTheme="minorHAnsi" w:hAnsiTheme="minorHAnsi"/>
          <w:sz w:val="22"/>
        </w:rPr>
        <w:t>However, a</w:t>
      </w:r>
      <w:r w:rsidR="00E75D4E" w:rsidRPr="00E75D4E">
        <w:rPr>
          <w:rFonts w:asciiTheme="minorHAnsi" w:hAnsiTheme="minorHAnsi"/>
          <w:sz w:val="22"/>
          <w:lang w:val="en-IN"/>
        </w:rPr>
        <w:t xml:space="preserve"> higher proportion of the 2</w:t>
      </w:r>
      <w:r w:rsidR="00E35042">
        <w:rPr>
          <w:rFonts w:asciiTheme="minorHAnsi" w:hAnsiTheme="minorHAnsi"/>
          <w:sz w:val="22"/>
          <w:lang w:val="en-IN"/>
        </w:rPr>
        <w:t>.</w:t>
      </w:r>
      <w:r w:rsidR="00463A05">
        <w:rPr>
          <w:rFonts w:asciiTheme="minorHAnsi" w:hAnsiTheme="minorHAnsi"/>
          <w:sz w:val="22"/>
          <w:lang w:val="en-IN"/>
        </w:rPr>
        <w:t>69</w:t>
      </w:r>
      <w:r w:rsidR="00E75D4E" w:rsidRPr="00E75D4E">
        <w:rPr>
          <w:rFonts w:asciiTheme="minorHAnsi" w:hAnsiTheme="minorHAnsi"/>
          <w:sz w:val="22"/>
          <w:lang w:val="en-IN"/>
        </w:rPr>
        <w:t xml:space="preserve"> </w:t>
      </w:r>
      <w:r w:rsidR="00E35042">
        <w:rPr>
          <w:rFonts w:asciiTheme="minorHAnsi" w:hAnsiTheme="minorHAnsi"/>
          <w:sz w:val="22"/>
          <w:lang w:val="en-IN"/>
        </w:rPr>
        <w:t>million</w:t>
      </w:r>
      <w:r w:rsidR="00E75D4E">
        <w:rPr>
          <w:rFonts w:asciiTheme="minorHAnsi" w:hAnsiTheme="minorHAnsi"/>
          <w:sz w:val="22"/>
          <w:lang w:val="en-IN"/>
        </w:rPr>
        <w:t xml:space="preserve"> </w:t>
      </w:r>
      <w:r w:rsidR="00E75D4E" w:rsidRPr="00E75D4E">
        <w:rPr>
          <w:rFonts w:asciiTheme="minorHAnsi" w:hAnsiTheme="minorHAnsi"/>
          <w:sz w:val="22"/>
          <w:lang w:val="en-IN"/>
        </w:rPr>
        <w:t>diagnosed with TB in India are men and</w:t>
      </w:r>
      <w:r w:rsidR="00E75D4E">
        <w:rPr>
          <w:rFonts w:asciiTheme="minorHAnsi" w:hAnsiTheme="minorHAnsi"/>
          <w:sz w:val="22"/>
          <w:lang w:val="en-IN"/>
        </w:rPr>
        <w:t xml:space="preserve"> </w:t>
      </w:r>
      <w:r w:rsidR="00E75D4E" w:rsidRPr="00E75D4E">
        <w:rPr>
          <w:rFonts w:asciiTheme="minorHAnsi" w:hAnsiTheme="minorHAnsi"/>
          <w:sz w:val="22"/>
          <w:lang w:val="en-IN"/>
        </w:rPr>
        <w:t>the ratio is approximately 2:1 (Global TB</w:t>
      </w:r>
      <w:r w:rsidR="00E75D4E">
        <w:rPr>
          <w:rFonts w:asciiTheme="minorHAnsi" w:hAnsiTheme="minorHAnsi"/>
          <w:sz w:val="22"/>
          <w:lang w:val="en-IN"/>
        </w:rPr>
        <w:t xml:space="preserve"> </w:t>
      </w:r>
      <w:r w:rsidR="00E75D4E" w:rsidRPr="00E75D4E">
        <w:rPr>
          <w:rFonts w:asciiTheme="minorHAnsi" w:hAnsiTheme="minorHAnsi"/>
          <w:sz w:val="22"/>
          <w:lang w:val="en-IN"/>
        </w:rPr>
        <w:t>Report 201</w:t>
      </w:r>
      <w:r w:rsidR="00463A05">
        <w:rPr>
          <w:rFonts w:asciiTheme="minorHAnsi" w:hAnsiTheme="minorHAnsi"/>
          <w:sz w:val="22"/>
          <w:lang w:val="en-IN"/>
        </w:rPr>
        <w:t>9</w:t>
      </w:r>
      <w:r w:rsidR="00E75D4E" w:rsidRPr="00E75D4E">
        <w:rPr>
          <w:rFonts w:asciiTheme="minorHAnsi" w:hAnsiTheme="minorHAnsi"/>
          <w:sz w:val="22"/>
          <w:lang w:val="en-IN"/>
        </w:rPr>
        <w:t>) between men and women.</w:t>
      </w:r>
      <w:r w:rsidR="00E75D4E">
        <w:rPr>
          <w:rFonts w:asciiTheme="minorHAnsi" w:hAnsiTheme="minorHAnsi"/>
          <w:sz w:val="22"/>
          <w:lang w:val="en-IN"/>
        </w:rPr>
        <w:t xml:space="preserve"> Multiple studies in the country also highlight that m</w:t>
      </w:r>
      <w:r w:rsidR="00E75D4E" w:rsidRPr="00E75D4E">
        <w:rPr>
          <w:rFonts w:asciiTheme="minorHAnsi" w:hAnsiTheme="minorHAnsi"/>
          <w:sz w:val="22"/>
          <w:lang w:val="en-IN"/>
        </w:rPr>
        <w:t xml:space="preserve">ore men report microbiologically confirmed pulmonary TB and women are more likely to have clinically diagnosed pulmonary TB and extra-pulmonary forms of TB. </w:t>
      </w:r>
      <w:r w:rsidR="00E75D4E">
        <w:rPr>
          <w:rFonts w:asciiTheme="minorHAnsi" w:hAnsiTheme="minorHAnsi"/>
          <w:sz w:val="22"/>
        </w:rPr>
        <w:t xml:space="preserve"> </w:t>
      </w:r>
    </w:p>
    <w:p w14:paraId="3934686E" w14:textId="7C256D94" w:rsidR="00E75D4E" w:rsidRDefault="001F1FAA" w:rsidP="00F61853">
      <w:pPr>
        <w:jc w:val="both"/>
        <w:rPr>
          <w:rFonts w:asciiTheme="minorHAnsi" w:hAnsiTheme="minorHAnsi"/>
          <w:sz w:val="22"/>
        </w:rPr>
      </w:pPr>
      <w:r w:rsidRPr="00E75D4E">
        <w:rPr>
          <w:rFonts w:asciiTheme="minorHAnsi" w:hAnsiTheme="minorHAnsi"/>
          <w:sz w:val="22"/>
        </w:rPr>
        <w:t>A</w:t>
      </w:r>
      <w:r w:rsidR="0029540B" w:rsidRPr="0029540B">
        <w:rPr>
          <w:rFonts w:asciiTheme="minorHAnsi" w:hAnsiTheme="minorHAnsi"/>
          <w:sz w:val="22"/>
        </w:rPr>
        <w:t>lthough men in India experience higher incidence of TB, women are more socially vulnerable to the disease as they experience unique, gendered challenges such as stigma and social repercussions related to suffering from TB</w:t>
      </w:r>
      <w:r w:rsidR="00C766F2">
        <w:rPr>
          <w:rFonts w:asciiTheme="minorHAnsi" w:hAnsiTheme="minorHAnsi"/>
          <w:sz w:val="22"/>
        </w:rPr>
        <w:t xml:space="preserve"> as well as others related to power dynamics and economic independence</w:t>
      </w:r>
      <w:r w:rsidR="00C766F2" w:rsidRPr="0029540B">
        <w:rPr>
          <w:rFonts w:asciiTheme="minorHAnsi" w:hAnsiTheme="minorHAnsi"/>
          <w:sz w:val="22"/>
        </w:rPr>
        <w:t>.</w:t>
      </w:r>
      <w:r w:rsidR="0029540B" w:rsidRPr="0029540B">
        <w:rPr>
          <w:rFonts w:asciiTheme="minorHAnsi" w:hAnsiTheme="minorHAnsi"/>
          <w:sz w:val="22"/>
        </w:rPr>
        <w:t xml:space="preserve"> Additionally, TB is one of the predominant causes of death for women in low income countries, especially among women of reproductive age. TB specifically increases a woman’s health risks: women living with HIV are highly susceptible to developing active TB during pregnancy or soon after delivery, making TB a leading cause of death during pregnancy and delivery. TB may also cause infertility, further compounding the stigma faced by women living with TB. Such stigma may create economic barriers for women with TB and therefore</w:t>
      </w:r>
      <w:r w:rsidR="00B5231D">
        <w:rPr>
          <w:rFonts w:asciiTheme="minorHAnsi" w:hAnsiTheme="minorHAnsi"/>
          <w:sz w:val="22"/>
        </w:rPr>
        <w:t xml:space="preserve"> it may</w:t>
      </w:r>
      <w:r w:rsidR="0029540B" w:rsidRPr="0029540B">
        <w:rPr>
          <w:rFonts w:asciiTheme="minorHAnsi" w:hAnsiTheme="minorHAnsi"/>
          <w:sz w:val="22"/>
        </w:rPr>
        <w:t xml:space="preserve"> hinder </w:t>
      </w:r>
      <w:r w:rsidR="00B5231D">
        <w:rPr>
          <w:rFonts w:asciiTheme="minorHAnsi" w:hAnsiTheme="minorHAnsi"/>
          <w:sz w:val="22"/>
        </w:rPr>
        <w:t xml:space="preserve">the </w:t>
      </w:r>
      <w:r w:rsidR="0029540B" w:rsidRPr="0029540B">
        <w:rPr>
          <w:rFonts w:asciiTheme="minorHAnsi" w:hAnsiTheme="minorHAnsi"/>
          <w:sz w:val="22"/>
        </w:rPr>
        <w:t>woman’s ability to access treatment and care. TB and infertility stigma can also put women at a greater risk for experiencing gender-based violence.</w:t>
      </w:r>
      <w:r w:rsidR="00E75D4E">
        <w:rPr>
          <w:rFonts w:asciiTheme="minorHAnsi" w:hAnsiTheme="minorHAnsi"/>
          <w:sz w:val="22"/>
        </w:rPr>
        <w:t xml:space="preserve"> </w:t>
      </w:r>
      <w:r w:rsidR="00E75D4E" w:rsidRPr="00E75D4E">
        <w:rPr>
          <w:rFonts w:asciiTheme="minorHAnsi" w:hAnsiTheme="minorHAnsi"/>
          <w:sz w:val="22"/>
        </w:rPr>
        <w:t xml:space="preserve">Research </w:t>
      </w:r>
      <w:r w:rsidR="00E75D4E">
        <w:rPr>
          <w:rFonts w:asciiTheme="minorHAnsi" w:hAnsiTheme="minorHAnsi"/>
          <w:sz w:val="22"/>
        </w:rPr>
        <w:t xml:space="preserve">also </w:t>
      </w:r>
      <w:r w:rsidR="00F51523" w:rsidRPr="00E75D4E">
        <w:rPr>
          <w:rFonts w:asciiTheme="minorHAnsi" w:hAnsiTheme="minorHAnsi"/>
          <w:sz w:val="22"/>
        </w:rPr>
        <w:t>shows</w:t>
      </w:r>
      <w:r w:rsidR="00F51523">
        <w:rPr>
          <w:rFonts w:asciiTheme="minorHAnsi" w:hAnsiTheme="minorHAnsi"/>
          <w:sz w:val="22"/>
        </w:rPr>
        <w:t xml:space="preserve"> </w:t>
      </w:r>
      <w:r w:rsidR="00F51523" w:rsidRPr="00E75D4E">
        <w:rPr>
          <w:rFonts w:asciiTheme="minorHAnsi" w:hAnsiTheme="minorHAnsi"/>
          <w:sz w:val="22"/>
        </w:rPr>
        <w:t>that</w:t>
      </w:r>
      <w:r w:rsidR="00E75D4E" w:rsidRPr="00E75D4E">
        <w:rPr>
          <w:rFonts w:asciiTheme="minorHAnsi" w:hAnsiTheme="minorHAnsi"/>
          <w:sz w:val="22"/>
        </w:rPr>
        <w:t xml:space="preserve"> the prevalence of HIV-TB co-infection is higher among women and among transgender persons who live in overcrowded houses and consume alcohol. </w:t>
      </w:r>
    </w:p>
    <w:p w14:paraId="1F0472A6" w14:textId="07E2E5EA" w:rsidR="0029540B" w:rsidRDefault="00E75D4E" w:rsidP="00F61853">
      <w:pPr>
        <w:jc w:val="both"/>
        <w:rPr>
          <w:rFonts w:asciiTheme="minorHAnsi" w:hAnsiTheme="minorHAnsi"/>
          <w:sz w:val="22"/>
        </w:rPr>
      </w:pPr>
      <w:r w:rsidRPr="00E75D4E">
        <w:rPr>
          <w:rFonts w:asciiTheme="minorHAnsi" w:hAnsiTheme="minorHAnsi"/>
          <w:sz w:val="22"/>
        </w:rPr>
        <w:t>Traditionally, women tend</w:t>
      </w:r>
      <w:r>
        <w:rPr>
          <w:rFonts w:asciiTheme="minorHAnsi" w:hAnsiTheme="minorHAnsi"/>
          <w:sz w:val="22"/>
        </w:rPr>
        <w:t xml:space="preserve"> </w:t>
      </w:r>
      <w:r w:rsidRPr="00E75D4E">
        <w:rPr>
          <w:rFonts w:asciiTheme="minorHAnsi" w:hAnsiTheme="minorHAnsi"/>
          <w:sz w:val="22"/>
        </w:rPr>
        <w:t>to have better adherence and treat</w:t>
      </w:r>
      <w:r>
        <w:rPr>
          <w:rFonts w:asciiTheme="minorHAnsi" w:hAnsiTheme="minorHAnsi"/>
          <w:sz w:val="22"/>
        </w:rPr>
        <w:t xml:space="preserve">ment </w:t>
      </w:r>
      <w:r w:rsidRPr="00E75D4E">
        <w:rPr>
          <w:rFonts w:asciiTheme="minorHAnsi" w:hAnsiTheme="minorHAnsi"/>
          <w:sz w:val="22"/>
        </w:rPr>
        <w:t>outcomes a</w:t>
      </w:r>
      <w:r>
        <w:rPr>
          <w:rFonts w:asciiTheme="minorHAnsi" w:hAnsiTheme="minorHAnsi"/>
          <w:sz w:val="22"/>
        </w:rPr>
        <w:t xml:space="preserve">s compared to men. The pressure </w:t>
      </w:r>
      <w:r w:rsidRPr="00E75D4E">
        <w:rPr>
          <w:rFonts w:asciiTheme="minorHAnsi" w:hAnsiTheme="minorHAnsi"/>
          <w:sz w:val="22"/>
        </w:rPr>
        <w:t>to get back to</w:t>
      </w:r>
      <w:r>
        <w:rPr>
          <w:rFonts w:asciiTheme="minorHAnsi" w:hAnsiTheme="minorHAnsi"/>
          <w:sz w:val="22"/>
        </w:rPr>
        <w:t xml:space="preserve"> work and lifestyle habits such </w:t>
      </w:r>
      <w:r w:rsidRPr="00E75D4E">
        <w:rPr>
          <w:rFonts w:asciiTheme="minorHAnsi" w:hAnsiTheme="minorHAnsi"/>
          <w:sz w:val="22"/>
        </w:rPr>
        <w:t>as sm</w:t>
      </w:r>
      <w:r>
        <w:rPr>
          <w:rFonts w:asciiTheme="minorHAnsi" w:hAnsiTheme="minorHAnsi"/>
          <w:sz w:val="22"/>
        </w:rPr>
        <w:t xml:space="preserve">oking or consumption of alcohol </w:t>
      </w:r>
      <w:r w:rsidRPr="00E75D4E">
        <w:rPr>
          <w:rFonts w:asciiTheme="minorHAnsi" w:hAnsiTheme="minorHAnsi"/>
          <w:sz w:val="22"/>
        </w:rPr>
        <w:t xml:space="preserve">influence </w:t>
      </w:r>
      <w:r>
        <w:rPr>
          <w:rFonts w:asciiTheme="minorHAnsi" w:hAnsiTheme="minorHAnsi"/>
          <w:sz w:val="22"/>
        </w:rPr>
        <w:t xml:space="preserve">discontinuation of treatment in </w:t>
      </w:r>
      <w:r w:rsidRPr="00E75D4E">
        <w:rPr>
          <w:rFonts w:asciiTheme="minorHAnsi" w:hAnsiTheme="minorHAnsi"/>
          <w:sz w:val="22"/>
        </w:rPr>
        <w:t>men. Mig</w:t>
      </w:r>
      <w:r>
        <w:rPr>
          <w:rFonts w:asciiTheme="minorHAnsi" w:hAnsiTheme="minorHAnsi"/>
          <w:sz w:val="22"/>
        </w:rPr>
        <w:t xml:space="preserve">rant workers, mostly men, often </w:t>
      </w:r>
      <w:r w:rsidRPr="00E75D4E">
        <w:rPr>
          <w:rFonts w:asciiTheme="minorHAnsi" w:hAnsiTheme="minorHAnsi"/>
          <w:sz w:val="22"/>
        </w:rPr>
        <w:t xml:space="preserve">face difficulties in adherence to treatment </w:t>
      </w:r>
      <w:r>
        <w:rPr>
          <w:rFonts w:asciiTheme="minorHAnsi" w:hAnsiTheme="minorHAnsi"/>
          <w:sz w:val="22"/>
        </w:rPr>
        <w:t>in</w:t>
      </w:r>
      <w:r w:rsidR="00150B60">
        <w:rPr>
          <w:rFonts w:asciiTheme="minorHAnsi" w:hAnsiTheme="minorHAnsi"/>
          <w:sz w:val="22"/>
        </w:rPr>
        <w:t xml:space="preserve"> </w:t>
      </w:r>
      <w:r w:rsidRPr="00E75D4E">
        <w:rPr>
          <w:rFonts w:asciiTheme="minorHAnsi" w:hAnsiTheme="minorHAnsi"/>
          <w:sz w:val="22"/>
        </w:rPr>
        <w:t>the face o</w:t>
      </w:r>
      <w:r>
        <w:rPr>
          <w:rFonts w:asciiTheme="minorHAnsi" w:hAnsiTheme="minorHAnsi"/>
          <w:sz w:val="22"/>
        </w:rPr>
        <w:t xml:space="preserve">f extreme poverty and issues of </w:t>
      </w:r>
      <w:r w:rsidRPr="00E75D4E">
        <w:rPr>
          <w:rFonts w:asciiTheme="minorHAnsi" w:hAnsiTheme="minorHAnsi"/>
          <w:sz w:val="22"/>
        </w:rPr>
        <w:t>daily survival</w:t>
      </w:r>
      <w:r>
        <w:rPr>
          <w:rFonts w:asciiTheme="minorHAnsi" w:hAnsiTheme="minorHAnsi"/>
          <w:sz w:val="22"/>
        </w:rPr>
        <w:t xml:space="preserve">. </w:t>
      </w:r>
    </w:p>
    <w:p w14:paraId="4D7F5B8B" w14:textId="2DC232C4" w:rsidR="007E093C" w:rsidRPr="007E093C" w:rsidRDefault="007E093C" w:rsidP="007E093C">
      <w:pPr>
        <w:jc w:val="both"/>
        <w:rPr>
          <w:rFonts w:asciiTheme="minorHAnsi" w:hAnsiTheme="minorHAnsi"/>
          <w:sz w:val="22"/>
          <w:vertAlign w:val="superscript"/>
          <w:lang w:val="en-IN"/>
        </w:rPr>
      </w:pPr>
      <w:r w:rsidRPr="007E093C">
        <w:rPr>
          <w:rFonts w:asciiTheme="minorHAnsi" w:hAnsiTheme="minorHAnsi"/>
          <w:b/>
          <w:sz w:val="22"/>
        </w:rPr>
        <w:lastRenderedPageBreak/>
        <w:t>Stigma and TB care:</w:t>
      </w:r>
      <w:r>
        <w:rPr>
          <w:rFonts w:asciiTheme="minorHAnsi" w:hAnsiTheme="minorHAnsi"/>
          <w:sz w:val="22"/>
        </w:rPr>
        <w:t xml:space="preserve"> </w:t>
      </w:r>
      <w:r w:rsidRPr="007E093C">
        <w:rPr>
          <w:rFonts w:asciiTheme="minorHAnsi" w:hAnsiTheme="minorHAnsi"/>
          <w:sz w:val="22"/>
        </w:rPr>
        <w:t>Stigma is</w:t>
      </w:r>
      <w:r>
        <w:rPr>
          <w:rFonts w:asciiTheme="minorHAnsi" w:hAnsiTheme="minorHAnsi"/>
          <w:sz w:val="22"/>
        </w:rPr>
        <w:t xml:space="preserve"> an</w:t>
      </w:r>
      <w:r w:rsidRPr="007E093C">
        <w:rPr>
          <w:rFonts w:asciiTheme="minorHAnsi" w:hAnsiTheme="minorHAnsi"/>
          <w:sz w:val="22"/>
        </w:rPr>
        <w:t xml:space="preserve"> important social </w:t>
      </w:r>
      <w:r>
        <w:rPr>
          <w:rFonts w:asciiTheme="minorHAnsi" w:hAnsiTheme="minorHAnsi"/>
          <w:sz w:val="22"/>
        </w:rPr>
        <w:t>determinant of TB.</w:t>
      </w:r>
      <w:r w:rsidR="00150B60">
        <w:rPr>
          <w:rFonts w:asciiTheme="minorHAnsi" w:hAnsiTheme="minorHAnsi"/>
          <w:sz w:val="22"/>
        </w:rPr>
        <w:t xml:space="preserve"> Stigma and discrimination are </w:t>
      </w:r>
      <w:r w:rsidR="00150B60" w:rsidRPr="00E75D4E">
        <w:rPr>
          <w:rFonts w:asciiTheme="minorHAnsi" w:hAnsiTheme="minorHAnsi"/>
          <w:sz w:val="22"/>
        </w:rPr>
        <w:t>major impe</w:t>
      </w:r>
      <w:r w:rsidR="00150B60">
        <w:rPr>
          <w:rFonts w:asciiTheme="minorHAnsi" w:hAnsiTheme="minorHAnsi"/>
          <w:sz w:val="22"/>
        </w:rPr>
        <w:t xml:space="preserve">diments to treatment adherence, </w:t>
      </w:r>
      <w:r w:rsidR="00150B60" w:rsidRPr="00E75D4E">
        <w:rPr>
          <w:rFonts w:asciiTheme="minorHAnsi" w:hAnsiTheme="minorHAnsi"/>
          <w:sz w:val="22"/>
        </w:rPr>
        <w:t>main</w:t>
      </w:r>
      <w:r w:rsidR="00150B60">
        <w:rPr>
          <w:rFonts w:asciiTheme="minorHAnsi" w:hAnsiTheme="minorHAnsi"/>
          <w:sz w:val="22"/>
        </w:rPr>
        <w:t xml:space="preserve">ly among unmarried women, newly </w:t>
      </w:r>
      <w:r w:rsidR="00150B60" w:rsidRPr="00E75D4E">
        <w:rPr>
          <w:rFonts w:asciiTheme="minorHAnsi" w:hAnsiTheme="minorHAnsi"/>
          <w:sz w:val="22"/>
        </w:rPr>
        <w:t>married women and the elderly.</w:t>
      </w:r>
      <w:r w:rsidR="00150B60">
        <w:rPr>
          <w:rFonts w:asciiTheme="minorHAnsi" w:hAnsiTheme="minorHAnsi"/>
          <w:sz w:val="22"/>
        </w:rPr>
        <w:t xml:space="preserve"> </w:t>
      </w:r>
      <w:r w:rsidRPr="007E093C">
        <w:rPr>
          <w:rFonts w:asciiTheme="minorHAnsi" w:hAnsiTheme="minorHAnsi"/>
          <w:sz w:val="22"/>
        </w:rPr>
        <w:t xml:space="preserve">Access to care for HIV/AIDS, mental health, leprosy, TB and epilepsy </w:t>
      </w:r>
      <w:r>
        <w:rPr>
          <w:rFonts w:asciiTheme="minorHAnsi" w:hAnsiTheme="minorHAnsi"/>
          <w:sz w:val="22"/>
        </w:rPr>
        <w:t xml:space="preserve">are associated with stigma and the recent experiences related to COVID-19 pandemic response has </w:t>
      </w:r>
      <w:r w:rsidRPr="007E093C">
        <w:rPr>
          <w:rFonts w:asciiTheme="minorHAnsi" w:hAnsiTheme="minorHAnsi"/>
          <w:sz w:val="22"/>
        </w:rPr>
        <w:t>raised more concern</w:t>
      </w:r>
      <w:r>
        <w:rPr>
          <w:rStyle w:val="FootnoteReference"/>
        </w:rPr>
        <w:footnoteReference w:id="30"/>
      </w:r>
      <w:r w:rsidRPr="007E093C">
        <w:rPr>
          <w:rFonts w:asciiTheme="minorHAnsi" w:hAnsiTheme="minorHAnsi"/>
          <w:sz w:val="22"/>
        </w:rPr>
        <w:t xml:space="preserve">. </w:t>
      </w:r>
      <w:r w:rsidRPr="007E093C">
        <w:rPr>
          <w:rFonts w:asciiTheme="minorHAnsi" w:hAnsiTheme="minorHAnsi"/>
          <w:sz w:val="22"/>
          <w:lang w:val="en-IN"/>
        </w:rPr>
        <w:t xml:space="preserve">The institutional and community norms lead to stigmatization </w:t>
      </w:r>
      <w:r>
        <w:rPr>
          <w:rFonts w:asciiTheme="minorHAnsi" w:hAnsiTheme="minorHAnsi"/>
          <w:sz w:val="22"/>
          <w:lang w:val="en-IN"/>
        </w:rPr>
        <w:t xml:space="preserve">due to </w:t>
      </w:r>
      <w:r w:rsidRPr="007E093C">
        <w:rPr>
          <w:rFonts w:asciiTheme="minorHAnsi" w:hAnsiTheme="minorHAnsi"/>
          <w:sz w:val="22"/>
          <w:lang w:val="en-IN"/>
        </w:rPr>
        <w:t xml:space="preserve">TB </w:t>
      </w:r>
      <w:r>
        <w:rPr>
          <w:rFonts w:asciiTheme="minorHAnsi" w:hAnsiTheme="minorHAnsi"/>
          <w:sz w:val="22"/>
          <w:lang w:val="en-IN"/>
        </w:rPr>
        <w:t xml:space="preserve">and </w:t>
      </w:r>
      <w:r w:rsidRPr="007E093C">
        <w:rPr>
          <w:rFonts w:asciiTheme="minorHAnsi" w:hAnsiTheme="minorHAnsi"/>
          <w:sz w:val="22"/>
          <w:lang w:val="en-IN"/>
        </w:rPr>
        <w:t>are hindrance</w:t>
      </w:r>
      <w:r>
        <w:rPr>
          <w:rFonts w:asciiTheme="minorHAnsi" w:hAnsiTheme="minorHAnsi"/>
          <w:sz w:val="22"/>
          <w:lang w:val="en-IN"/>
        </w:rPr>
        <w:t xml:space="preserve"> </w:t>
      </w:r>
      <w:r w:rsidR="00B5231D">
        <w:rPr>
          <w:rFonts w:asciiTheme="minorHAnsi" w:hAnsiTheme="minorHAnsi"/>
          <w:sz w:val="22"/>
          <w:lang w:val="en-IN"/>
        </w:rPr>
        <w:t xml:space="preserve">to </w:t>
      </w:r>
      <w:r>
        <w:rPr>
          <w:rFonts w:asciiTheme="minorHAnsi" w:hAnsiTheme="minorHAnsi"/>
          <w:sz w:val="22"/>
          <w:lang w:val="en-IN"/>
        </w:rPr>
        <w:t xml:space="preserve">TB elimination efforts. </w:t>
      </w:r>
      <w:r w:rsidRPr="00D03061">
        <w:rPr>
          <w:rFonts w:asciiTheme="minorHAnsi" w:hAnsiTheme="minorHAnsi"/>
          <w:sz w:val="22"/>
        </w:rPr>
        <w:t>In a study in India, it has been found that perceived stigma among the patients is an important barrier for early diagnosis, initial</w:t>
      </w:r>
      <w:r w:rsidR="00B5231D">
        <w:rPr>
          <w:rFonts w:asciiTheme="minorHAnsi" w:hAnsiTheme="minorHAnsi"/>
          <w:sz w:val="22"/>
        </w:rPr>
        <w:t xml:space="preserve"> patient</w:t>
      </w:r>
      <w:r w:rsidRPr="00D03061">
        <w:rPr>
          <w:rFonts w:asciiTheme="minorHAnsi" w:hAnsiTheme="minorHAnsi"/>
          <w:sz w:val="22"/>
        </w:rPr>
        <w:t xml:space="preserve"> lost to follow up and adherence to treatment.</w:t>
      </w:r>
      <w:r>
        <w:rPr>
          <w:rStyle w:val="FootnoteReference"/>
        </w:rPr>
        <w:footnoteReference w:id="31"/>
      </w:r>
      <w:r>
        <w:rPr>
          <w:rFonts w:asciiTheme="minorHAnsi" w:hAnsiTheme="minorHAnsi"/>
          <w:sz w:val="22"/>
        </w:rPr>
        <w:t xml:space="preserve"> </w:t>
      </w:r>
      <w:r>
        <w:rPr>
          <w:rStyle w:val="FootnoteReference"/>
        </w:rPr>
        <w:footnoteReference w:id="32"/>
      </w:r>
      <w:r>
        <w:rPr>
          <w:rFonts w:asciiTheme="minorHAnsi" w:hAnsiTheme="minorHAnsi"/>
          <w:sz w:val="22"/>
        </w:rPr>
        <w:t xml:space="preserve"> Lessons learnt from the </w:t>
      </w:r>
      <w:r w:rsidRPr="007E093C">
        <w:rPr>
          <w:rFonts w:asciiTheme="minorHAnsi" w:hAnsiTheme="minorHAnsi"/>
          <w:sz w:val="22"/>
          <w:lang w:val="en-IN"/>
        </w:rPr>
        <w:t xml:space="preserve">National AIDS Control &amp; Prevention Program (NACP) in India, </w:t>
      </w:r>
      <w:r>
        <w:rPr>
          <w:rFonts w:asciiTheme="minorHAnsi" w:hAnsiTheme="minorHAnsi"/>
          <w:sz w:val="22"/>
          <w:lang w:val="en-IN"/>
        </w:rPr>
        <w:t>provides</w:t>
      </w:r>
      <w:r w:rsidRPr="007E093C">
        <w:rPr>
          <w:rFonts w:asciiTheme="minorHAnsi" w:hAnsiTheme="minorHAnsi"/>
          <w:sz w:val="22"/>
          <w:lang w:val="en-IN"/>
        </w:rPr>
        <w:t xml:space="preserve"> examples</w:t>
      </w:r>
      <w:r>
        <w:rPr>
          <w:rFonts w:asciiTheme="minorHAnsi" w:hAnsiTheme="minorHAnsi"/>
          <w:sz w:val="22"/>
          <w:lang w:val="en-IN"/>
        </w:rPr>
        <w:t xml:space="preserve"> on </w:t>
      </w:r>
      <w:r w:rsidRPr="007E093C">
        <w:rPr>
          <w:rFonts w:asciiTheme="minorHAnsi" w:hAnsiTheme="minorHAnsi"/>
          <w:sz w:val="22"/>
          <w:lang w:val="en-IN"/>
        </w:rPr>
        <w:t>how to handle stigma attached to AIDS, for example maintaining confidentiality, safety network of PLHIV etc.</w:t>
      </w:r>
      <w:r>
        <w:rPr>
          <w:rFonts w:asciiTheme="minorHAnsi" w:hAnsiTheme="minorHAnsi"/>
          <w:sz w:val="22"/>
          <w:lang w:val="en-IN"/>
        </w:rPr>
        <w:t xml:space="preserve"> </w:t>
      </w:r>
      <w:r w:rsidRPr="007E093C">
        <w:rPr>
          <w:rFonts w:asciiTheme="minorHAnsi" w:hAnsiTheme="minorHAnsi"/>
          <w:sz w:val="22"/>
          <w:lang w:val="en-IN"/>
        </w:rPr>
        <w:t>In National TB Elimination Program (NTEP), out of 26 set of standards, there are 6 inclusion standards.</w:t>
      </w:r>
      <w:r w:rsidR="007762D7">
        <w:rPr>
          <w:rStyle w:val="FootnoteReference"/>
          <w:lang w:val="en-IN"/>
        </w:rPr>
        <w:footnoteReference w:id="33"/>
      </w:r>
      <w:r w:rsidRPr="007E093C">
        <w:rPr>
          <w:rFonts w:asciiTheme="minorHAnsi" w:hAnsiTheme="minorHAnsi"/>
          <w:sz w:val="22"/>
          <w:lang w:val="en-IN"/>
        </w:rPr>
        <w:t xml:space="preserve"> </w:t>
      </w:r>
      <w:r w:rsidRPr="007E093C">
        <w:rPr>
          <w:rFonts w:asciiTheme="minorHAnsi" w:hAnsiTheme="minorHAnsi"/>
          <w:sz w:val="22"/>
          <w:vertAlign w:val="superscript"/>
          <w:lang w:val="en-IN"/>
        </w:rPr>
        <w:t xml:space="preserve"> </w:t>
      </w:r>
      <w:r w:rsidR="007762D7">
        <w:rPr>
          <w:rFonts w:asciiTheme="minorHAnsi" w:hAnsiTheme="minorHAnsi"/>
          <w:sz w:val="22"/>
          <w:lang w:val="en-IN"/>
        </w:rPr>
        <w:t xml:space="preserve">To make the NTEP more inclusive, </w:t>
      </w:r>
      <w:r w:rsidRPr="007E093C">
        <w:rPr>
          <w:rFonts w:asciiTheme="minorHAnsi" w:hAnsiTheme="minorHAnsi"/>
          <w:sz w:val="22"/>
          <w:lang w:val="en-IN"/>
        </w:rPr>
        <w:t xml:space="preserve">stigma reduction interventions will </w:t>
      </w:r>
      <w:r w:rsidR="007762D7">
        <w:rPr>
          <w:rFonts w:asciiTheme="minorHAnsi" w:hAnsiTheme="minorHAnsi"/>
          <w:sz w:val="22"/>
          <w:lang w:val="en-IN"/>
        </w:rPr>
        <w:t>address</w:t>
      </w:r>
      <w:r w:rsidRPr="007E093C">
        <w:rPr>
          <w:rFonts w:asciiTheme="minorHAnsi" w:hAnsiTheme="minorHAnsi"/>
          <w:sz w:val="22"/>
          <w:lang w:val="en-IN"/>
        </w:rPr>
        <w:t xml:space="preserve"> delay in access and non-adherence to care. </w:t>
      </w:r>
    </w:p>
    <w:p w14:paraId="45F2936D" w14:textId="211B218B" w:rsidR="00C766F2" w:rsidRPr="00C766F2" w:rsidRDefault="007E093C" w:rsidP="009B2375">
      <w:pPr>
        <w:jc w:val="both"/>
        <w:rPr>
          <w:rFonts w:asciiTheme="minorHAnsi" w:hAnsiTheme="minorHAnsi" w:cstheme="minorHAnsi"/>
          <w:sz w:val="22"/>
          <w:lang w:val="en-IN"/>
        </w:rPr>
      </w:pPr>
      <w:r w:rsidRPr="00C766F2">
        <w:rPr>
          <w:rFonts w:asciiTheme="minorHAnsi" w:hAnsiTheme="minorHAnsi" w:cstheme="minorHAnsi"/>
          <w:sz w:val="22"/>
          <w:lang w:val="en-IN"/>
        </w:rPr>
        <w:t>TB care is gradually moving to patient-centred approaches that emphasise community engagement, patient counselling, technology integration, adherence promotion, counselling</w:t>
      </w:r>
      <w:r w:rsidR="007762D7" w:rsidRPr="00C766F2">
        <w:rPr>
          <w:rFonts w:asciiTheme="minorHAnsi" w:hAnsiTheme="minorHAnsi" w:cstheme="minorHAnsi"/>
          <w:sz w:val="22"/>
          <w:lang w:val="en-IN"/>
        </w:rPr>
        <w:t xml:space="preserve">; all of which </w:t>
      </w:r>
      <w:r w:rsidRPr="00C766F2">
        <w:rPr>
          <w:rFonts w:asciiTheme="minorHAnsi" w:hAnsiTheme="minorHAnsi" w:cstheme="minorHAnsi"/>
          <w:sz w:val="22"/>
          <w:lang w:val="en-IN"/>
        </w:rPr>
        <w:t>adds value to stigma reduction efforts. TB survivors are raising awareness about TB that affirms the dignity of people with TB that may be insufficient.</w:t>
      </w:r>
      <w:r w:rsidR="007762D7" w:rsidRPr="00C766F2">
        <w:rPr>
          <w:rStyle w:val="FootnoteReference"/>
          <w:rFonts w:asciiTheme="minorHAnsi" w:hAnsiTheme="minorHAnsi" w:cstheme="minorHAnsi"/>
          <w:sz w:val="22"/>
          <w:szCs w:val="22"/>
          <w:lang w:val="en-IN"/>
        </w:rPr>
        <w:footnoteReference w:id="34"/>
      </w:r>
      <w:r w:rsidR="007762D7" w:rsidRPr="00C766F2">
        <w:rPr>
          <w:rFonts w:asciiTheme="minorHAnsi" w:hAnsiTheme="minorHAnsi" w:cstheme="minorHAnsi"/>
          <w:sz w:val="22"/>
          <w:lang w:val="en-IN"/>
        </w:rPr>
        <w:t xml:space="preserve"> </w:t>
      </w:r>
      <w:r w:rsidR="007762D7" w:rsidRPr="00C766F2">
        <w:rPr>
          <w:rStyle w:val="FootnoteReference"/>
          <w:rFonts w:asciiTheme="minorHAnsi" w:hAnsiTheme="minorHAnsi" w:cstheme="minorHAnsi"/>
          <w:sz w:val="22"/>
          <w:szCs w:val="22"/>
          <w:lang w:val="en-IN"/>
        </w:rPr>
        <w:footnoteReference w:id="35"/>
      </w:r>
      <w:r w:rsidR="007762D7" w:rsidRPr="00C766F2">
        <w:rPr>
          <w:rFonts w:asciiTheme="minorHAnsi" w:hAnsiTheme="minorHAnsi" w:cstheme="minorHAnsi"/>
          <w:sz w:val="22"/>
          <w:lang w:val="en-IN"/>
        </w:rPr>
        <w:t xml:space="preserve"> </w:t>
      </w:r>
      <w:r w:rsidR="007762D7" w:rsidRPr="00C766F2">
        <w:rPr>
          <w:rStyle w:val="FootnoteReference"/>
          <w:rFonts w:asciiTheme="minorHAnsi" w:hAnsiTheme="minorHAnsi" w:cstheme="minorHAnsi"/>
          <w:sz w:val="22"/>
          <w:szCs w:val="22"/>
          <w:lang w:val="en-IN"/>
        </w:rPr>
        <w:footnoteReference w:id="36"/>
      </w:r>
      <w:r w:rsidRPr="00C766F2">
        <w:rPr>
          <w:rFonts w:asciiTheme="minorHAnsi" w:hAnsiTheme="minorHAnsi" w:cstheme="minorHAnsi"/>
          <w:sz w:val="22"/>
          <w:vertAlign w:val="superscript"/>
          <w:lang w:val="en-IN"/>
        </w:rPr>
        <w:t xml:space="preserve"> </w:t>
      </w:r>
      <w:r w:rsidRPr="00C766F2">
        <w:rPr>
          <w:rFonts w:asciiTheme="minorHAnsi" w:hAnsiTheme="minorHAnsi" w:cstheme="minorHAnsi"/>
          <w:sz w:val="22"/>
          <w:lang w:val="en-IN"/>
        </w:rPr>
        <w:t xml:space="preserve">The TB community needs social activism through </w:t>
      </w:r>
      <w:r w:rsidR="00F51523" w:rsidRPr="00C766F2">
        <w:rPr>
          <w:rFonts w:asciiTheme="minorHAnsi" w:hAnsiTheme="minorHAnsi" w:cstheme="minorHAnsi"/>
          <w:sz w:val="22"/>
          <w:lang w:val="en-IN"/>
        </w:rPr>
        <w:t>survivor’s</w:t>
      </w:r>
      <w:r w:rsidRPr="00C766F2">
        <w:rPr>
          <w:rFonts w:asciiTheme="minorHAnsi" w:hAnsiTheme="minorHAnsi" w:cstheme="minorHAnsi"/>
          <w:sz w:val="22"/>
          <w:lang w:val="en-IN"/>
        </w:rPr>
        <w:t xml:space="preserve"> network, structural integration into system and through local in</w:t>
      </w:r>
      <w:r w:rsidR="005B28D4">
        <w:rPr>
          <w:rFonts w:asciiTheme="minorHAnsi" w:hAnsiTheme="minorHAnsi" w:cstheme="minorHAnsi"/>
          <w:sz w:val="22"/>
          <w:lang w:val="en-IN"/>
        </w:rPr>
        <w:t>formal community structures. These</w:t>
      </w:r>
      <w:r w:rsidRPr="00C766F2">
        <w:rPr>
          <w:rFonts w:asciiTheme="minorHAnsi" w:hAnsiTheme="minorHAnsi" w:cstheme="minorHAnsi"/>
          <w:sz w:val="22"/>
          <w:lang w:val="en-IN"/>
        </w:rPr>
        <w:t xml:space="preserve"> collective efforts and friendliness of health system can make a more enabling environment where </w:t>
      </w:r>
      <w:r w:rsidR="00F41853" w:rsidRPr="00C766F2">
        <w:rPr>
          <w:rFonts w:asciiTheme="minorHAnsi" w:hAnsiTheme="minorHAnsi" w:cstheme="minorHAnsi"/>
          <w:sz w:val="22"/>
          <w:lang w:val="en-IN"/>
        </w:rPr>
        <w:t>TB affected people</w:t>
      </w:r>
      <w:r w:rsidRPr="00C766F2">
        <w:rPr>
          <w:rFonts w:asciiTheme="minorHAnsi" w:hAnsiTheme="minorHAnsi" w:cstheme="minorHAnsi"/>
          <w:sz w:val="22"/>
          <w:lang w:val="en-IN"/>
        </w:rPr>
        <w:t xml:space="preserve"> live in a stigma free </w:t>
      </w:r>
      <w:r w:rsidR="005B28D4">
        <w:rPr>
          <w:rFonts w:asciiTheme="minorHAnsi" w:hAnsiTheme="minorHAnsi" w:cstheme="minorHAnsi"/>
          <w:sz w:val="22"/>
          <w:lang w:val="en-IN"/>
        </w:rPr>
        <w:t>environment</w:t>
      </w:r>
      <w:r w:rsidR="007762D7" w:rsidRPr="00C766F2">
        <w:rPr>
          <w:rStyle w:val="FootnoteReference"/>
          <w:rFonts w:asciiTheme="minorHAnsi" w:hAnsiTheme="minorHAnsi" w:cstheme="minorHAnsi"/>
          <w:sz w:val="22"/>
          <w:szCs w:val="22"/>
          <w:lang w:val="en-IN"/>
        </w:rPr>
        <w:footnoteReference w:id="37"/>
      </w:r>
      <w:r w:rsidRPr="00C766F2">
        <w:rPr>
          <w:rFonts w:asciiTheme="minorHAnsi" w:hAnsiTheme="minorHAnsi" w:cstheme="minorHAnsi"/>
          <w:sz w:val="22"/>
          <w:lang w:val="en-IN"/>
        </w:rPr>
        <w:t xml:space="preserve">. </w:t>
      </w:r>
      <w:r w:rsidRPr="00C766F2">
        <w:rPr>
          <w:rFonts w:asciiTheme="minorHAnsi" w:hAnsiTheme="minorHAnsi" w:cstheme="minorHAnsi"/>
          <w:sz w:val="22"/>
          <w:vertAlign w:val="superscript"/>
          <w:lang w:val="en-IN"/>
        </w:rPr>
        <w:t xml:space="preserve"> </w:t>
      </w:r>
    </w:p>
    <w:p w14:paraId="779FE483" w14:textId="44C9D87E" w:rsidR="00C766F2" w:rsidRPr="00C766F2" w:rsidRDefault="00C766F2" w:rsidP="009B2375">
      <w:pPr>
        <w:jc w:val="both"/>
        <w:rPr>
          <w:rFonts w:asciiTheme="minorHAnsi" w:hAnsiTheme="minorHAnsi" w:cstheme="minorHAnsi"/>
          <w:sz w:val="22"/>
        </w:rPr>
      </w:pPr>
      <w:r w:rsidRPr="00C766F2">
        <w:rPr>
          <w:rFonts w:asciiTheme="minorHAnsi" w:hAnsiTheme="minorHAnsi" w:cstheme="minorHAnsi"/>
          <w:sz w:val="22"/>
        </w:rPr>
        <w:t xml:space="preserve">Stigma and discrimination in the context of TB is not restricted along gender lines and an area that requires more attention for women, men, transgender people, and also among TB key populations such as those who live in urban slums or migrants. Stigma and discrimination can materialize in the home, the community, the workplace and in health care settings and this is a barrier to finding and missing people with TB. TB stigma must be recorded and measured in each of these contexts, and targeted interventions developed and implemented in response. Further challenges include those of privacy and confidentiality, as well as the ability to access services due to remoteness, operating hours etc. A rights based and gender sensitive TB response TB survivors and civil society have an important role in this aspect of the TB response. </w:t>
      </w:r>
    </w:p>
    <w:p w14:paraId="6D569F06" w14:textId="060E8F66" w:rsidR="009B2375" w:rsidRPr="00C45A90" w:rsidRDefault="00BE594E" w:rsidP="009B2375">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20</w:t>
      </w:r>
      <w:r w:rsidR="00213555">
        <w:rPr>
          <w:rFonts w:asciiTheme="minorHAnsi" w:hAnsiTheme="minorHAnsi" w:cstheme="minorHAnsi"/>
          <w:b/>
          <w:color w:val="C86A07" w:themeColor="accent2" w:themeShade="BF"/>
          <w:sz w:val="28"/>
          <w:lang w:val="en"/>
        </w:rPr>
        <w:t xml:space="preserve">.2 </w:t>
      </w:r>
      <w:r w:rsidR="009B2375" w:rsidRPr="00C45A90">
        <w:rPr>
          <w:rFonts w:asciiTheme="minorHAnsi" w:hAnsiTheme="minorHAnsi" w:cstheme="minorHAnsi"/>
          <w:b/>
          <w:color w:val="C86A07" w:themeColor="accent2" w:themeShade="BF"/>
          <w:sz w:val="28"/>
          <w:lang w:val="en"/>
        </w:rPr>
        <w:t>THE PROGRESS SO FAR</w:t>
      </w:r>
    </w:p>
    <w:p w14:paraId="54BD6E99" w14:textId="1BE5B4AA" w:rsidR="00FF25C2" w:rsidRDefault="001C1E66" w:rsidP="00EB401B">
      <w:pPr>
        <w:spacing w:before="0" w:after="0"/>
        <w:jc w:val="both"/>
        <w:rPr>
          <w:rFonts w:asciiTheme="minorHAnsi" w:hAnsiTheme="minorHAnsi"/>
          <w:sz w:val="22"/>
        </w:rPr>
      </w:pPr>
      <w:r w:rsidRPr="000A05C6">
        <w:rPr>
          <w:rFonts w:ascii="Calibri" w:hAnsi="Calibri" w:cs="Calibri"/>
          <w:kern w:val="24"/>
          <w:sz w:val="22"/>
          <w:lang w:eastAsia="en-IN"/>
        </w:rPr>
        <w:t>The tuberculosis (TB) response needs a paradigm shift – to becom</w:t>
      </w:r>
      <w:r w:rsidR="00E75D4E" w:rsidRPr="000A05C6">
        <w:rPr>
          <w:rFonts w:ascii="Calibri" w:hAnsi="Calibri" w:cs="Calibri"/>
          <w:kern w:val="24"/>
          <w:sz w:val="22"/>
          <w:lang w:eastAsia="en-IN"/>
        </w:rPr>
        <w:t xml:space="preserve">e people and community </w:t>
      </w:r>
      <w:r w:rsidRPr="000A05C6">
        <w:rPr>
          <w:rFonts w:ascii="Calibri" w:hAnsi="Calibri" w:cs="Calibri"/>
          <w:kern w:val="24"/>
          <w:sz w:val="22"/>
          <w:lang w:eastAsia="en-IN"/>
        </w:rPr>
        <w:t>centered, gender sensitive and human rights based.</w:t>
      </w:r>
      <w:r w:rsidR="00AC2890" w:rsidRPr="000A05C6">
        <w:rPr>
          <w:rFonts w:ascii="Calibri" w:hAnsi="Calibri" w:cs="Calibri"/>
          <w:kern w:val="24"/>
          <w:sz w:val="22"/>
          <w:lang w:eastAsia="en-IN"/>
        </w:rPr>
        <w:t xml:space="preserve"> In line with the National Strategic Plan for TB for 2017-2025</w:t>
      </w:r>
      <w:r w:rsidR="00784E63" w:rsidRPr="000A05C6">
        <w:rPr>
          <w:rFonts w:ascii="Calibri" w:hAnsi="Calibri" w:cs="Calibri"/>
          <w:kern w:val="24"/>
          <w:sz w:val="22"/>
          <w:lang w:eastAsia="en-IN"/>
        </w:rPr>
        <w:t>, a</w:t>
      </w:r>
      <w:r w:rsidR="00AC2890" w:rsidRPr="00AC2890">
        <w:rPr>
          <w:rFonts w:ascii="Calibri" w:hAnsi="Calibri" w:cs="Calibri"/>
          <w:b/>
          <w:kern w:val="24"/>
          <w:sz w:val="22"/>
          <w:lang w:eastAsia="en-IN"/>
        </w:rPr>
        <w:t xml:space="preserve"> </w:t>
      </w:r>
      <w:r w:rsidR="00EB401B">
        <w:rPr>
          <w:rFonts w:ascii="Calibri" w:hAnsi="Calibri" w:cs="Calibri"/>
          <w:b/>
          <w:kern w:val="24"/>
          <w:sz w:val="22"/>
          <w:lang w:eastAsia="en-IN"/>
        </w:rPr>
        <w:t>“</w:t>
      </w:r>
      <w:r w:rsidR="00784E63" w:rsidRPr="00784E63">
        <w:rPr>
          <w:rFonts w:ascii="Calibri" w:hAnsi="Calibri" w:cs="Calibri"/>
          <w:b/>
          <w:bCs/>
          <w:kern w:val="24"/>
          <w:sz w:val="22"/>
          <w:lang w:val="en-IN" w:eastAsia="en-IN"/>
        </w:rPr>
        <w:t>National Framework for a Gender-Responsive Approach to TB</w:t>
      </w:r>
      <w:r w:rsidR="00EB401B">
        <w:rPr>
          <w:rFonts w:ascii="Calibri" w:hAnsi="Calibri" w:cs="Calibri"/>
          <w:b/>
          <w:bCs/>
          <w:kern w:val="24"/>
          <w:sz w:val="22"/>
          <w:lang w:val="en-IN" w:eastAsia="en-IN"/>
        </w:rPr>
        <w:t>”</w:t>
      </w:r>
      <w:r w:rsidR="00EB401B">
        <w:rPr>
          <w:rStyle w:val="FootnoteReference"/>
          <w:rFonts w:cs="Calibri"/>
          <w:b/>
          <w:bCs/>
          <w:kern w:val="24"/>
          <w:lang w:val="en-IN" w:eastAsia="en-IN"/>
        </w:rPr>
        <w:footnoteReference w:id="38"/>
      </w:r>
      <w:r w:rsidR="00784E63">
        <w:rPr>
          <w:rFonts w:ascii="Calibri" w:hAnsi="Calibri" w:cs="Calibri"/>
          <w:b/>
          <w:bCs/>
          <w:kern w:val="24"/>
          <w:sz w:val="22"/>
          <w:lang w:val="en-IN" w:eastAsia="en-IN"/>
        </w:rPr>
        <w:t xml:space="preserve"> </w:t>
      </w:r>
      <w:r w:rsidR="00784E63" w:rsidRPr="000A05C6">
        <w:rPr>
          <w:rFonts w:ascii="Calibri" w:hAnsi="Calibri" w:cs="Calibri"/>
          <w:bCs/>
          <w:kern w:val="24"/>
          <w:sz w:val="22"/>
          <w:lang w:val="en-IN" w:eastAsia="en-IN"/>
        </w:rPr>
        <w:t xml:space="preserve">has been </w:t>
      </w:r>
      <w:r w:rsidR="00EB401B" w:rsidRPr="000A05C6">
        <w:rPr>
          <w:rFonts w:ascii="Calibri" w:hAnsi="Calibri" w:cs="Calibri"/>
          <w:bCs/>
          <w:kern w:val="24"/>
          <w:sz w:val="22"/>
          <w:lang w:val="en-IN" w:eastAsia="en-IN"/>
        </w:rPr>
        <w:t>developed and adopted by the Government of India</w:t>
      </w:r>
      <w:r w:rsidR="00AC2890" w:rsidRPr="000A05C6">
        <w:rPr>
          <w:rFonts w:ascii="Calibri" w:hAnsi="Calibri" w:cs="Calibri"/>
          <w:kern w:val="24"/>
          <w:sz w:val="22"/>
          <w:lang w:eastAsia="en-IN"/>
        </w:rPr>
        <w:t>.</w:t>
      </w:r>
      <w:r w:rsidR="00EB401B" w:rsidRPr="000A05C6">
        <w:rPr>
          <w:rFonts w:ascii="Calibri" w:hAnsi="Calibri" w:cs="Calibri"/>
          <w:kern w:val="24"/>
          <w:sz w:val="22"/>
          <w:lang w:eastAsia="en-IN"/>
        </w:rPr>
        <w:t xml:space="preserve"> This framework draws on the findings of the first ever Assessment of Gender and Tuberculosis in India in 2018</w:t>
      </w:r>
      <w:r w:rsidR="00DE3E6A" w:rsidRPr="000A05C6">
        <w:rPr>
          <w:rFonts w:ascii="Calibri" w:hAnsi="Calibri" w:cs="Calibri"/>
          <w:kern w:val="24"/>
          <w:sz w:val="22"/>
          <w:lang w:eastAsia="en-IN"/>
        </w:rPr>
        <w:t xml:space="preserve"> and aims to</w:t>
      </w:r>
      <w:r w:rsidR="00DE3E6A">
        <w:rPr>
          <w:rFonts w:asciiTheme="minorHAnsi" w:hAnsiTheme="minorHAnsi"/>
          <w:sz w:val="22"/>
        </w:rPr>
        <w:t xml:space="preserve"> 1) </w:t>
      </w:r>
      <w:r w:rsidR="00EB401B" w:rsidRPr="00EB401B">
        <w:rPr>
          <w:rFonts w:asciiTheme="minorHAnsi" w:hAnsiTheme="minorHAnsi"/>
          <w:sz w:val="22"/>
        </w:rPr>
        <w:t xml:space="preserve">Outline the influences and impact of gender on the TB burden and response, based on available literature and data; </w:t>
      </w:r>
      <w:r w:rsidR="00DE3E6A">
        <w:rPr>
          <w:rFonts w:asciiTheme="minorHAnsi" w:hAnsiTheme="minorHAnsi"/>
          <w:sz w:val="22"/>
        </w:rPr>
        <w:t xml:space="preserve">2) </w:t>
      </w:r>
      <w:r w:rsidR="00EB401B" w:rsidRPr="00EB401B">
        <w:rPr>
          <w:rFonts w:asciiTheme="minorHAnsi" w:hAnsiTheme="minorHAnsi"/>
          <w:sz w:val="22"/>
        </w:rPr>
        <w:t xml:space="preserve">Define </w:t>
      </w:r>
      <w:r w:rsidR="00EB401B" w:rsidRPr="00EB401B">
        <w:rPr>
          <w:rFonts w:asciiTheme="minorHAnsi" w:hAnsiTheme="minorHAnsi"/>
          <w:sz w:val="22"/>
        </w:rPr>
        <w:lastRenderedPageBreak/>
        <w:t xml:space="preserve">actions which would help move towards a gender-responsive approach; </w:t>
      </w:r>
      <w:r w:rsidR="00DE3E6A">
        <w:rPr>
          <w:rFonts w:asciiTheme="minorHAnsi" w:hAnsiTheme="minorHAnsi"/>
          <w:sz w:val="22"/>
        </w:rPr>
        <w:t xml:space="preserve">and 3) </w:t>
      </w:r>
      <w:r w:rsidR="00EB401B" w:rsidRPr="00EB401B">
        <w:rPr>
          <w:rFonts w:asciiTheme="minorHAnsi" w:hAnsiTheme="minorHAnsi"/>
          <w:sz w:val="22"/>
        </w:rPr>
        <w:t>Provide guidance to implement these actions.</w:t>
      </w:r>
      <w:r w:rsidR="00FF25C2">
        <w:rPr>
          <w:rFonts w:asciiTheme="minorHAnsi" w:hAnsiTheme="minorHAnsi"/>
          <w:sz w:val="22"/>
        </w:rPr>
        <w:t xml:space="preserve"> </w:t>
      </w:r>
      <w:r w:rsidR="009B2375">
        <w:rPr>
          <w:rFonts w:asciiTheme="minorHAnsi" w:hAnsiTheme="minorHAnsi"/>
          <w:sz w:val="22"/>
        </w:rPr>
        <w:t xml:space="preserve">The need for gender responsive programme cuts across all the pillars of the NSP. </w:t>
      </w:r>
    </w:p>
    <w:p w14:paraId="0CE1ECA2" w14:textId="71577D37" w:rsidR="007D39BA" w:rsidRPr="007D39BA" w:rsidRDefault="00852BA1" w:rsidP="00EB401B">
      <w:pPr>
        <w:spacing w:before="0" w:after="0"/>
        <w:jc w:val="both"/>
        <w:rPr>
          <w:rFonts w:asciiTheme="minorHAnsi" w:hAnsiTheme="minorHAnsi"/>
          <w:b/>
          <w:sz w:val="18"/>
        </w:rPr>
      </w:pPr>
      <w:r>
        <w:rPr>
          <w:rFonts w:asciiTheme="minorHAnsi" w:hAnsiTheme="minorHAnsi"/>
          <w:b/>
          <w:sz w:val="18"/>
        </w:rPr>
        <w:t>Figure 3</w:t>
      </w:r>
      <w:r w:rsidR="007D39BA" w:rsidRPr="007D39BA">
        <w:rPr>
          <w:rFonts w:asciiTheme="minorHAnsi" w:hAnsiTheme="minorHAnsi"/>
          <w:b/>
          <w:sz w:val="18"/>
        </w:rPr>
        <w:t>5:</w:t>
      </w:r>
      <w:r w:rsidR="00691BB1">
        <w:rPr>
          <w:rFonts w:asciiTheme="minorHAnsi" w:hAnsiTheme="minorHAnsi"/>
          <w:b/>
          <w:sz w:val="18"/>
        </w:rPr>
        <w:t xml:space="preserve"> National Framework for a gender responsive approach </w:t>
      </w:r>
      <w:r w:rsidR="00F51523">
        <w:rPr>
          <w:rFonts w:asciiTheme="minorHAnsi" w:hAnsiTheme="minorHAnsi"/>
          <w:b/>
          <w:sz w:val="18"/>
        </w:rPr>
        <w:t>to</w:t>
      </w:r>
      <w:r w:rsidR="00691BB1">
        <w:rPr>
          <w:rFonts w:asciiTheme="minorHAnsi" w:hAnsiTheme="minorHAnsi"/>
          <w:b/>
          <w:sz w:val="18"/>
        </w:rPr>
        <w:t xml:space="preserve"> TB in India</w:t>
      </w:r>
    </w:p>
    <w:p w14:paraId="0A592DC8" w14:textId="415AAC60" w:rsidR="00137688" w:rsidRPr="00137688" w:rsidRDefault="00FF25C2" w:rsidP="00784E63">
      <w:pPr>
        <w:spacing w:before="0" w:after="0"/>
        <w:jc w:val="both"/>
        <w:rPr>
          <w:rFonts w:asciiTheme="minorHAnsi" w:hAnsiTheme="minorHAnsi"/>
          <w:sz w:val="22"/>
        </w:rPr>
      </w:pPr>
      <w:r>
        <w:rPr>
          <w:noProof/>
          <w:lang w:val="en-IN" w:eastAsia="en-IN"/>
        </w:rPr>
        <w:drawing>
          <wp:inline distT="0" distB="0" distL="0" distR="0" wp14:anchorId="21357B10" wp14:editId="03EBC53C">
            <wp:extent cx="5743575" cy="3028950"/>
            <wp:effectExtent l="0" t="0" r="9525" b="0"/>
            <wp:docPr id="45" name="Picture 4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0"/>
                    <a:srcRect l="921" t="2394" r="1058" b="2659"/>
                    <a:stretch/>
                  </pic:blipFill>
                  <pic:spPr bwMode="auto">
                    <a:xfrm>
                      <a:off x="0" y="0"/>
                      <a:ext cx="5743742" cy="3029038"/>
                    </a:xfrm>
                    <a:prstGeom prst="rect">
                      <a:avLst/>
                    </a:prstGeom>
                    <a:ln>
                      <a:noFill/>
                    </a:ln>
                    <a:extLst>
                      <a:ext uri="{53640926-AAD7-44D8-BBD7-CCE9431645EC}">
                        <a14:shadowObscured xmlns:a14="http://schemas.microsoft.com/office/drawing/2010/main"/>
                      </a:ext>
                    </a:extLst>
                  </pic:spPr>
                </pic:pic>
              </a:graphicData>
            </a:graphic>
          </wp:inline>
        </w:drawing>
      </w:r>
    </w:p>
    <w:p w14:paraId="14AB2EC7" w14:textId="285A4341" w:rsidR="007137CC" w:rsidRPr="00C45A90" w:rsidRDefault="00BE594E" w:rsidP="007137CC">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20</w:t>
      </w:r>
      <w:r w:rsidR="00213555">
        <w:rPr>
          <w:rFonts w:asciiTheme="minorHAnsi" w:hAnsiTheme="minorHAnsi" w:cstheme="minorHAnsi"/>
          <w:b/>
          <w:color w:val="C86A07" w:themeColor="accent2" w:themeShade="BF"/>
          <w:sz w:val="28"/>
          <w:lang w:val="en"/>
        </w:rPr>
        <w:t xml:space="preserve">.3 </w:t>
      </w:r>
      <w:r w:rsidR="007137CC" w:rsidRPr="00C45A90">
        <w:rPr>
          <w:rFonts w:asciiTheme="minorHAnsi" w:hAnsiTheme="minorHAnsi" w:cstheme="minorHAnsi"/>
          <w:b/>
          <w:color w:val="C86A07" w:themeColor="accent2" w:themeShade="BF"/>
          <w:sz w:val="28"/>
          <w:lang w:val="en"/>
        </w:rPr>
        <w:t>CHALLENGES REMAIN</w:t>
      </w:r>
    </w:p>
    <w:p w14:paraId="19E01834" w14:textId="7885FADD" w:rsidR="00E35042" w:rsidRPr="00E35042" w:rsidRDefault="00E35042" w:rsidP="009136E5">
      <w:pPr>
        <w:pStyle w:val="ListParagraph"/>
        <w:numPr>
          <w:ilvl w:val="0"/>
          <w:numId w:val="102"/>
        </w:numPr>
        <w:spacing w:before="0" w:after="0"/>
        <w:ind w:left="360"/>
        <w:jc w:val="both"/>
        <w:rPr>
          <w:rFonts w:ascii="Calibri" w:hAnsi="Calibri" w:cs="Calibri"/>
          <w:kern w:val="24"/>
          <w:sz w:val="22"/>
          <w:lang w:eastAsia="en-IN"/>
        </w:rPr>
      </w:pPr>
      <w:r w:rsidRPr="00E35042">
        <w:rPr>
          <w:rFonts w:ascii="Calibri" w:hAnsi="Calibri" w:cs="Calibri"/>
          <w:kern w:val="24"/>
          <w:sz w:val="22"/>
          <w:lang w:eastAsia="en-IN"/>
        </w:rPr>
        <w:t>Gendered roles, responsibilities and expected behaviors place women, men and transgender persons at increased risk for TB. Women are especially constrained by social norms which prevent prioritizing of their nutrition, health and well-being</w:t>
      </w:r>
    </w:p>
    <w:p w14:paraId="450D3398" w14:textId="08374D6D" w:rsidR="00E35042" w:rsidRPr="00E35042" w:rsidRDefault="00E35042" w:rsidP="009136E5">
      <w:pPr>
        <w:pStyle w:val="ListParagraph"/>
        <w:numPr>
          <w:ilvl w:val="0"/>
          <w:numId w:val="102"/>
        </w:numPr>
        <w:spacing w:before="0" w:after="0"/>
        <w:ind w:left="360"/>
        <w:jc w:val="both"/>
        <w:rPr>
          <w:rFonts w:ascii="Calibri" w:hAnsi="Calibri" w:cs="Calibri"/>
          <w:kern w:val="24"/>
          <w:sz w:val="22"/>
          <w:lang w:eastAsia="en-IN"/>
        </w:rPr>
      </w:pPr>
      <w:r w:rsidRPr="00E35042">
        <w:rPr>
          <w:rFonts w:ascii="Calibri" w:hAnsi="Calibri" w:cs="Calibri"/>
          <w:kern w:val="24"/>
          <w:sz w:val="22"/>
          <w:lang w:eastAsia="en-IN"/>
        </w:rPr>
        <w:t>Socio-economic and psycho-social impact of TB - high costs of diagnosis and treatment, expenditure on unnecessary tests and supplements, disruption in work and schooling, and stigma, harassment and rejection faced by those affected by TB, especially among women</w:t>
      </w:r>
    </w:p>
    <w:p w14:paraId="31079934" w14:textId="49116534" w:rsidR="00DB4CE2" w:rsidRDefault="00E35042" w:rsidP="009136E5">
      <w:pPr>
        <w:pStyle w:val="ListParagraph"/>
        <w:numPr>
          <w:ilvl w:val="0"/>
          <w:numId w:val="102"/>
        </w:numPr>
        <w:spacing w:before="0" w:after="0"/>
        <w:ind w:left="360"/>
        <w:jc w:val="both"/>
        <w:rPr>
          <w:rFonts w:ascii="Calibri" w:hAnsi="Calibri" w:cs="Calibri"/>
          <w:kern w:val="24"/>
          <w:sz w:val="22"/>
          <w:lang w:eastAsia="en-IN"/>
        </w:rPr>
      </w:pPr>
      <w:r w:rsidRPr="00E35042">
        <w:rPr>
          <w:rFonts w:ascii="Calibri" w:hAnsi="Calibri" w:cs="Calibri"/>
          <w:kern w:val="24"/>
          <w:sz w:val="22"/>
          <w:lang w:eastAsia="en-IN"/>
        </w:rPr>
        <w:t>Gendered health system resulting in gender inequities and barriers to provision of effective services</w:t>
      </w:r>
      <w:r w:rsidR="007E1755">
        <w:rPr>
          <w:rFonts w:ascii="Calibri" w:hAnsi="Calibri" w:cs="Calibri"/>
          <w:kern w:val="24"/>
          <w:sz w:val="22"/>
          <w:lang w:eastAsia="en-IN"/>
        </w:rPr>
        <w:t>.</w:t>
      </w:r>
      <w:r w:rsidR="00C766F2">
        <w:rPr>
          <w:rFonts w:ascii="Calibri" w:hAnsi="Calibri" w:cs="Calibri"/>
          <w:kern w:val="24"/>
          <w:sz w:val="22"/>
          <w:lang w:eastAsia="en-IN"/>
        </w:rPr>
        <w:t xml:space="preserve"> </w:t>
      </w:r>
    </w:p>
    <w:p w14:paraId="3B646A69" w14:textId="77777777" w:rsidR="00C766F2" w:rsidRPr="00515DC1" w:rsidRDefault="00C766F2" w:rsidP="009136E5">
      <w:pPr>
        <w:pStyle w:val="ListParagraph"/>
        <w:numPr>
          <w:ilvl w:val="0"/>
          <w:numId w:val="102"/>
        </w:numPr>
        <w:spacing w:before="0" w:after="0"/>
        <w:ind w:left="360"/>
        <w:jc w:val="both"/>
        <w:rPr>
          <w:rFonts w:ascii="Calibri" w:hAnsi="Calibri" w:cs="Calibri"/>
          <w:kern w:val="24"/>
          <w:sz w:val="22"/>
          <w:lang w:eastAsia="en-IN"/>
        </w:rPr>
      </w:pPr>
      <w:r w:rsidRPr="00515DC1">
        <w:rPr>
          <w:rFonts w:ascii="Calibri" w:hAnsi="Calibri" w:cs="Calibri"/>
          <w:kern w:val="24"/>
          <w:sz w:val="22"/>
          <w:lang w:eastAsia="en-IN"/>
        </w:rPr>
        <w:t xml:space="preserve">While a Gender Sensitive Framework that has been developed, a costed action plan </w:t>
      </w:r>
      <w:r>
        <w:rPr>
          <w:rFonts w:ascii="Calibri" w:hAnsi="Calibri" w:cs="Calibri"/>
          <w:kern w:val="24"/>
          <w:sz w:val="22"/>
          <w:lang w:eastAsia="en-IN"/>
        </w:rPr>
        <w:t xml:space="preserve">to overcome barriers to accessing services and </w:t>
      </w:r>
      <w:r w:rsidRPr="00515DC1">
        <w:rPr>
          <w:rFonts w:ascii="Calibri" w:hAnsi="Calibri" w:cs="Calibri"/>
          <w:kern w:val="24"/>
          <w:sz w:val="22"/>
          <w:lang w:eastAsia="en-IN"/>
        </w:rPr>
        <w:t xml:space="preserve">responding to the recommendations of the TB Legal Environment Assessment has not yet commenced. </w:t>
      </w:r>
    </w:p>
    <w:p w14:paraId="7C790067" w14:textId="0844AC47" w:rsidR="00C766F2" w:rsidRPr="00C766F2" w:rsidRDefault="00C766F2" w:rsidP="009136E5">
      <w:pPr>
        <w:pStyle w:val="ListParagraph"/>
        <w:numPr>
          <w:ilvl w:val="0"/>
          <w:numId w:val="102"/>
        </w:numPr>
        <w:spacing w:before="0" w:after="0"/>
        <w:ind w:left="360"/>
        <w:jc w:val="both"/>
        <w:rPr>
          <w:rFonts w:ascii="Calibri" w:hAnsi="Calibri" w:cs="Calibri"/>
          <w:kern w:val="24"/>
          <w:sz w:val="22"/>
          <w:lang w:eastAsia="en-IN"/>
        </w:rPr>
      </w:pPr>
      <w:r>
        <w:rPr>
          <w:rFonts w:ascii="Calibri" w:hAnsi="Calibri" w:cs="Calibri"/>
          <w:kern w:val="24"/>
          <w:sz w:val="22"/>
          <w:lang w:eastAsia="en-IN"/>
        </w:rPr>
        <w:t xml:space="preserve">Among many TB stakeholders, but particularly TB survivors and civil society, there is a need for further sensitization and capacity building pertaining to TB, rights and gender. </w:t>
      </w:r>
    </w:p>
    <w:p w14:paraId="03E83A46" w14:textId="6DED93E1" w:rsidR="009B2375" w:rsidRPr="00C45A90" w:rsidRDefault="00BE594E"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20</w:t>
      </w:r>
      <w:r w:rsidR="00213555">
        <w:rPr>
          <w:rFonts w:asciiTheme="minorHAnsi" w:hAnsiTheme="minorHAnsi" w:cstheme="minorHAnsi"/>
          <w:b/>
          <w:color w:val="C86A07" w:themeColor="accent2" w:themeShade="BF"/>
          <w:sz w:val="28"/>
          <w:lang w:val="en"/>
        </w:rPr>
        <w:t xml:space="preserve">.4 </w:t>
      </w:r>
      <w:r w:rsidR="009B2375" w:rsidRPr="00C45A90">
        <w:rPr>
          <w:rFonts w:asciiTheme="minorHAnsi" w:hAnsiTheme="minorHAnsi" w:cstheme="minorHAnsi"/>
          <w:b/>
          <w:color w:val="C86A07" w:themeColor="accent2" w:themeShade="BF"/>
          <w:sz w:val="28"/>
          <w:lang w:val="en"/>
        </w:rPr>
        <w:t xml:space="preserve">THE WAY FORWARD / Activities) </w:t>
      </w:r>
    </w:p>
    <w:p w14:paraId="593A5D1A" w14:textId="77777777" w:rsidR="004C00C0" w:rsidRDefault="004C00C0" w:rsidP="00BB5AAB">
      <w:pPr>
        <w:spacing w:before="0" w:after="0"/>
        <w:jc w:val="both"/>
        <w:rPr>
          <w:rFonts w:asciiTheme="minorHAnsi" w:hAnsiTheme="minorHAnsi" w:cstheme="minorHAnsi"/>
          <w:b/>
          <w:sz w:val="22"/>
        </w:rPr>
      </w:pPr>
      <w:r>
        <w:rPr>
          <w:rFonts w:asciiTheme="minorHAnsi" w:hAnsiTheme="minorHAnsi" w:cstheme="minorHAnsi"/>
          <w:b/>
          <w:sz w:val="22"/>
        </w:rPr>
        <w:t>At its core the NTEP has crafted strategies that envisages to:</w:t>
      </w:r>
    </w:p>
    <w:p w14:paraId="397CBB64" w14:textId="624CF00B" w:rsidR="004C00C0" w:rsidRPr="00BB5AAB" w:rsidRDefault="004C00C0" w:rsidP="009136E5">
      <w:pPr>
        <w:pStyle w:val="ListParagraph"/>
        <w:numPr>
          <w:ilvl w:val="0"/>
          <w:numId w:val="79"/>
        </w:numPr>
        <w:spacing w:before="0"/>
        <w:jc w:val="both"/>
        <w:rPr>
          <w:rFonts w:asciiTheme="minorHAnsi" w:hAnsiTheme="minorHAnsi" w:cstheme="minorHAnsi"/>
          <w:sz w:val="22"/>
        </w:rPr>
      </w:pPr>
      <w:r w:rsidRPr="00BB5AAB">
        <w:rPr>
          <w:rFonts w:asciiTheme="minorHAnsi" w:hAnsiTheme="minorHAnsi" w:cstheme="minorHAnsi"/>
          <w:sz w:val="22"/>
        </w:rPr>
        <w:t xml:space="preserve">Scale up services and interventions that reduce </w:t>
      </w:r>
      <w:r w:rsidR="00C766F2">
        <w:rPr>
          <w:rFonts w:asciiTheme="minorHAnsi" w:hAnsiTheme="minorHAnsi" w:cstheme="minorHAnsi"/>
          <w:sz w:val="22"/>
        </w:rPr>
        <w:t xml:space="preserve">human rights, stigma  and </w:t>
      </w:r>
      <w:r w:rsidRPr="00BB5AAB">
        <w:rPr>
          <w:rFonts w:asciiTheme="minorHAnsi" w:hAnsiTheme="minorHAnsi" w:cstheme="minorHAnsi"/>
          <w:sz w:val="22"/>
        </w:rPr>
        <w:t xml:space="preserve">gender-related </w:t>
      </w:r>
      <w:r w:rsidR="00C766F2">
        <w:rPr>
          <w:rFonts w:asciiTheme="minorHAnsi" w:hAnsiTheme="minorHAnsi" w:cstheme="minorHAnsi"/>
          <w:sz w:val="22"/>
        </w:rPr>
        <w:t>barriers</w:t>
      </w:r>
      <w:r w:rsidRPr="00BB5AAB">
        <w:rPr>
          <w:rFonts w:asciiTheme="minorHAnsi" w:hAnsiTheme="minorHAnsi" w:cstheme="minorHAnsi"/>
          <w:sz w:val="22"/>
        </w:rPr>
        <w:t xml:space="preserve"> and vulnerabilities to TB infection</w:t>
      </w:r>
      <w:r w:rsidR="005903E6">
        <w:rPr>
          <w:rFonts w:asciiTheme="minorHAnsi" w:hAnsiTheme="minorHAnsi" w:cstheme="minorHAnsi"/>
          <w:sz w:val="22"/>
        </w:rPr>
        <w:t>/disease</w:t>
      </w:r>
      <w:r w:rsidRPr="00BB5AAB">
        <w:rPr>
          <w:rFonts w:asciiTheme="minorHAnsi" w:hAnsiTheme="minorHAnsi" w:cstheme="minorHAnsi"/>
          <w:sz w:val="22"/>
        </w:rPr>
        <w:t>;</w:t>
      </w:r>
    </w:p>
    <w:p w14:paraId="012DB1D7" w14:textId="30DA7F35" w:rsidR="004C00C0" w:rsidRPr="00BB5AAB" w:rsidRDefault="004C00C0" w:rsidP="009136E5">
      <w:pPr>
        <w:pStyle w:val="ListParagraph"/>
        <w:numPr>
          <w:ilvl w:val="0"/>
          <w:numId w:val="79"/>
        </w:numPr>
        <w:spacing w:before="0"/>
        <w:jc w:val="both"/>
        <w:rPr>
          <w:rFonts w:asciiTheme="minorHAnsi" w:hAnsiTheme="minorHAnsi" w:cstheme="minorHAnsi"/>
          <w:sz w:val="22"/>
        </w:rPr>
      </w:pPr>
      <w:r w:rsidRPr="00BB5AAB">
        <w:rPr>
          <w:rFonts w:asciiTheme="minorHAnsi" w:hAnsiTheme="minorHAnsi" w:cstheme="minorHAnsi"/>
          <w:sz w:val="22"/>
        </w:rPr>
        <w:t>decrease the burden of disease for those most at risk;</w:t>
      </w:r>
    </w:p>
    <w:p w14:paraId="510C35A9" w14:textId="49D6E624" w:rsidR="004C00C0" w:rsidRPr="00BB5AAB" w:rsidRDefault="004C00C0" w:rsidP="009136E5">
      <w:pPr>
        <w:pStyle w:val="ListParagraph"/>
        <w:numPr>
          <w:ilvl w:val="0"/>
          <w:numId w:val="79"/>
        </w:numPr>
        <w:spacing w:before="0"/>
        <w:jc w:val="both"/>
        <w:rPr>
          <w:rFonts w:asciiTheme="minorHAnsi" w:hAnsiTheme="minorHAnsi" w:cstheme="minorHAnsi"/>
          <w:sz w:val="22"/>
        </w:rPr>
      </w:pPr>
      <w:r w:rsidRPr="00BB5AAB">
        <w:rPr>
          <w:rFonts w:asciiTheme="minorHAnsi" w:hAnsiTheme="minorHAnsi" w:cstheme="minorHAnsi"/>
          <w:sz w:val="22"/>
        </w:rPr>
        <w:t xml:space="preserve">mitigate the impact of </w:t>
      </w:r>
      <w:r w:rsidR="00BB5AAB" w:rsidRPr="00BB5AAB">
        <w:rPr>
          <w:rFonts w:asciiTheme="minorHAnsi" w:hAnsiTheme="minorHAnsi" w:cstheme="minorHAnsi"/>
          <w:sz w:val="22"/>
        </w:rPr>
        <w:t>TB</w:t>
      </w:r>
      <w:r w:rsidRPr="00BB5AAB">
        <w:rPr>
          <w:rFonts w:asciiTheme="minorHAnsi" w:hAnsiTheme="minorHAnsi" w:cstheme="minorHAnsi"/>
          <w:sz w:val="22"/>
        </w:rPr>
        <w:t>, and</w:t>
      </w:r>
    </w:p>
    <w:p w14:paraId="67CC3190" w14:textId="742FD902" w:rsidR="004C00C0" w:rsidRDefault="004C00C0" w:rsidP="009136E5">
      <w:pPr>
        <w:pStyle w:val="ListParagraph"/>
        <w:numPr>
          <w:ilvl w:val="0"/>
          <w:numId w:val="79"/>
        </w:numPr>
        <w:spacing w:before="0"/>
        <w:jc w:val="both"/>
        <w:rPr>
          <w:rFonts w:asciiTheme="minorHAnsi" w:hAnsiTheme="minorHAnsi" w:cstheme="minorHAnsi"/>
          <w:sz w:val="22"/>
        </w:rPr>
      </w:pPr>
      <w:r w:rsidRPr="00BB5AAB">
        <w:rPr>
          <w:rFonts w:asciiTheme="minorHAnsi" w:hAnsiTheme="minorHAnsi" w:cstheme="minorHAnsi"/>
          <w:sz w:val="22"/>
        </w:rPr>
        <w:t xml:space="preserve">address structural inequalities and discrimination </w:t>
      </w:r>
    </w:p>
    <w:p w14:paraId="7508624E" w14:textId="656BA869" w:rsidR="00C766F2" w:rsidRPr="00C766F2" w:rsidRDefault="00C766F2" w:rsidP="009136E5">
      <w:pPr>
        <w:pStyle w:val="ListParagraph"/>
        <w:numPr>
          <w:ilvl w:val="0"/>
          <w:numId w:val="79"/>
        </w:numPr>
        <w:spacing w:before="0"/>
        <w:jc w:val="both"/>
        <w:rPr>
          <w:rFonts w:asciiTheme="minorHAnsi" w:hAnsiTheme="minorHAnsi" w:cstheme="minorHAnsi"/>
          <w:sz w:val="22"/>
        </w:rPr>
      </w:pPr>
      <w:r>
        <w:rPr>
          <w:rFonts w:asciiTheme="minorHAnsi" w:hAnsiTheme="minorHAnsi" w:cstheme="minorHAnsi"/>
          <w:sz w:val="22"/>
        </w:rPr>
        <w:t xml:space="preserve">empower and engage TB affected communities </w:t>
      </w:r>
      <w:r w:rsidRPr="00BB5AAB">
        <w:rPr>
          <w:rFonts w:asciiTheme="minorHAnsi" w:hAnsiTheme="minorHAnsi" w:cstheme="minorHAnsi"/>
          <w:sz w:val="22"/>
        </w:rPr>
        <w:t xml:space="preserve"> </w:t>
      </w:r>
    </w:p>
    <w:p w14:paraId="5B40A70F" w14:textId="77B5FAFF" w:rsidR="00BB5AAB" w:rsidRPr="00BB5AAB" w:rsidRDefault="00BB5AAB" w:rsidP="00BB5AAB">
      <w:pPr>
        <w:spacing w:before="0"/>
        <w:jc w:val="both"/>
        <w:rPr>
          <w:rFonts w:asciiTheme="minorHAnsi" w:hAnsiTheme="minorHAnsi" w:cstheme="minorHAnsi"/>
          <w:sz w:val="22"/>
        </w:rPr>
      </w:pPr>
      <w:r>
        <w:rPr>
          <w:rFonts w:asciiTheme="minorHAnsi" w:hAnsiTheme="minorHAnsi" w:cstheme="minorHAnsi"/>
          <w:sz w:val="22"/>
        </w:rPr>
        <w:t xml:space="preserve">Being a cross cutting issue the interventions have been address in other thematic areas. However a few </w:t>
      </w:r>
      <w:r w:rsidR="008A330B">
        <w:rPr>
          <w:rFonts w:asciiTheme="minorHAnsi" w:hAnsiTheme="minorHAnsi" w:cstheme="minorHAnsi"/>
          <w:sz w:val="22"/>
        </w:rPr>
        <w:t>specific interventions are mentioned below.</w:t>
      </w:r>
    </w:p>
    <w:p w14:paraId="6AA5218D" w14:textId="4AC09507" w:rsidR="004C00C0" w:rsidRPr="004C00C0" w:rsidRDefault="004C00C0" w:rsidP="004C00C0">
      <w:pPr>
        <w:pStyle w:val="ListParagraph"/>
        <w:spacing w:before="0"/>
        <w:ind w:left="0"/>
        <w:jc w:val="both"/>
        <w:rPr>
          <w:rFonts w:asciiTheme="minorHAnsi" w:hAnsiTheme="minorHAnsi" w:cstheme="minorHAnsi"/>
          <w:b/>
          <w:sz w:val="22"/>
        </w:rPr>
      </w:pPr>
      <w:r>
        <w:rPr>
          <w:rFonts w:asciiTheme="minorHAnsi" w:hAnsiTheme="minorHAnsi" w:cstheme="minorHAnsi"/>
          <w:b/>
          <w:sz w:val="22"/>
        </w:rPr>
        <w:t xml:space="preserve">The specific interventions </w:t>
      </w:r>
    </w:p>
    <w:p w14:paraId="1446E035" w14:textId="77777777" w:rsidR="008E49AA" w:rsidRPr="008E49AA" w:rsidRDefault="008E49AA" w:rsidP="009136E5">
      <w:pPr>
        <w:pStyle w:val="ListParagraph"/>
        <w:numPr>
          <w:ilvl w:val="1"/>
          <w:numId w:val="75"/>
        </w:numPr>
        <w:spacing w:before="0" w:after="0"/>
        <w:jc w:val="both"/>
        <w:rPr>
          <w:rFonts w:ascii="Calibri" w:hAnsi="Calibri" w:cs="Calibri"/>
          <w:b/>
          <w:vanish/>
          <w:kern w:val="24"/>
          <w:sz w:val="22"/>
          <w:lang w:eastAsia="en-IN"/>
        </w:rPr>
      </w:pPr>
    </w:p>
    <w:p w14:paraId="67EF4FE1" w14:textId="53879AB4" w:rsidR="00F56DEF" w:rsidRDefault="00F56DEF" w:rsidP="009136E5">
      <w:pPr>
        <w:pStyle w:val="ListParagraph"/>
        <w:numPr>
          <w:ilvl w:val="2"/>
          <w:numId w:val="75"/>
        </w:numPr>
        <w:spacing w:before="0" w:after="0"/>
        <w:ind w:left="504"/>
        <w:jc w:val="both"/>
        <w:rPr>
          <w:rFonts w:ascii="Calibri" w:hAnsi="Calibri" w:cs="Calibri"/>
          <w:b/>
          <w:kern w:val="24"/>
          <w:sz w:val="22"/>
          <w:lang w:eastAsia="en-IN"/>
        </w:rPr>
      </w:pPr>
      <w:r w:rsidRPr="00F56DEF">
        <w:rPr>
          <w:rFonts w:ascii="Calibri" w:hAnsi="Calibri" w:cs="Calibri"/>
          <w:b/>
          <w:kern w:val="24"/>
          <w:sz w:val="22"/>
          <w:lang w:eastAsia="en-IN"/>
        </w:rPr>
        <w:t xml:space="preserve">Provide equitable, rights-based TB services for women, men and transgender persons by adopting a gender-specific programmatic approach at all levels  </w:t>
      </w:r>
    </w:p>
    <w:p w14:paraId="573CD173" w14:textId="08E7002B" w:rsidR="00F56DEF" w:rsidRPr="008E49AA" w:rsidRDefault="00BB2272"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Undertake national level ToTs to c</w:t>
      </w:r>
      <w:r w:rsidR="00F56DEF" w:rsidRPr="008E49AA">
        <w:rPr>
          <w:rFonts w:asciiTheme="minorHAnsi" w:eastAsia="Times New Roman" w:hAnsiTheme="minorHAnsi" w:cstheme="minorHAnsi"/>
          <w:sz w:val="22"/>
        </w:rPr>
        <w:t>reate of a pool of trained manpower in each State/UT, for undertaking training on gender-responsive approach at State level</w:t>
      </w:r>
      <w:r w:rsidRPr="008E49AA">
        <w:rPr>
          <w:rFonts w:asciiTheme="minorHAnsi" w:eastAsia="Times New Roman" w:hAnsiTheme="minorHAnsi" w:cstheme="minorHAnsi"/>
          <w:sz w:val="22"/>
        </w:rPr>
        <w:t xml:space="preserve"> and t</w:t>
      </w:r>
      <w:r w:rsidR="00F56DEF" w:rsidRPr="008E49AA">
        <w:rPr>
          <w:rFonts w:asciiTheme="minorHAnsi" w:eastAsia="Times New Roman" w:hAnsiTheme="minorHAnsi" w:cstheme="minorHAnsi"/>
          <w:sz w:val="22"/>
        </w:rPr>
        <w:t>raining of district level programme managers on gender- responsive programming through State level trainings.</w:t>
      </w:r>
    </w:p>
    <w:p w14:paraId="533C1100" w14:textId="39312AD8" w:rsidR="00F56DEF" w:rsidRPr="008E49AA" w:rsidRDefault="006560A9"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Build</w:t>
      </w:r>
      <w:r w:rsidR="00F56DEF" w:rsidRPr="008E49AA">
        <w:rPr>
          <w:rFonts w:asciiTheme="minorHAnsi" w:eastAsia="Times New Roman" w:hAnsiTheme="minorHAnsi" w:cstheme="minorHAnsi"/>
          <w:sz w:val="22"/>
        </w:rPr>
        <w:t xml:space="preserve"> capacity of providers and peripheral health workers on the gender perspective and providing comprehensive person centric care through sensitization programme and refresher sessions.</w:t>
      </w:r>
    </w:p>
    <w:p w14:paraId="4265203D" w14:textId="25470A34" w:rsidR="00F56DEF" w:rsidRPr="008E49AA" w:rsidRDefault="00F56DEF"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 xml:space="preserve">Conduct baseline assessment of facilities, infrastructure and linkages </w:t>
      </w:r>
      <w:r w:rsidR="006560A9" w:rsidRPr="008E49AA">
        <w:rPr>
          <w:rFonts w:asciiTheme="minorHAnsi" w:eastAsia="Times New Roman" w:hAnsiTheme="minorHAnsi" w:cstheme="minorHAnsi"/>
          <w:sz w:val="22"/>
        </w:rPr>
        <w:t xml:space="preserve">including assessment </w:t>
      </w:r>
      <w:r w:rsidRPr="008E49AA">
        <w:rPr>
          <w:rFonts w:asciiTheme="minorHAnsi" w:eastAsia="Times New Roman" w:hAnsiTheme="minorHAnsi" w:cstheme="minorHAnsi"/>
          <w:sz w:val="22"/>
        </w:rPr>
        <w:t>of provider knowledge on gender-responsive programming and existing gender-sensitive practices</w:t>
      </w:r>
    </w:p>
    <w:p w14:paraId="3C92ABF0" w14:textId="3852B2D0" w:rsidR="00F56DEF" w:rsidRPr="008E49AA" w:rsidRDefault="00F56DEF"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Utiliz</w:t>
      </w:r>
      <w:r w:rsidR="006560A9" w:rsidRPr="008E49AA">
        <w:rPr>
          <w:rFonts w:asciiTheme="minorHAnsi" w:eastAsia="Times New Roman" w:hAnsiTheme="minorHAnsi" w:cstheme="minorHAnsi"/>
          <w:sz w:val="22"/>
        </w:rPr>
        <w:t>e</w:t>
      </w:r>
      <w:r w:rsidRPr="008E49AA">
        <w:rPr>
          <w:rFonts w:asciiTheme="minorHAnsi" w:eastAsia="Times New Roman" w:hAnsiTheme="minorHAnsi" w:cstheme="minorHAnsi"/>
          <w:sz w:val="22"/>
        </w:rPr>
        <w:t xml:space="preserve"> existing tools to analyze and publish gender-disaggregated data in periodic reports of the Division.</w:t>
      </w:r>
    </w:p>
    <w:p w14:paraId="27380B1B" w14:textId="74CBAF9E" w:rsidR="00F56DEF" w:rsidRPr="008E49AA" w:rsidRDefault="00F56DEF"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 xml:space="preserve">Adopt and </w:t>
      </w:r>
      <w:r w:rsidR="00BB2272" w:rsidRPr="008E49AA">
        <w:rPr>
          <w:rFonts w:asciiTheme="minorHAnsi" w:eastAsia="Times New Roman" w:hAnsiTheme="minorHAnsi" w:cstheme="minorHAnsi"/>
          <w:sz w:val="22"/>
        </w:rPr>
        <w:t>promote</w:t>
      </w:r>
      <w:r w:rsidRPr="008E49AA">
        <w:rPr>
          <w:rFonts w:asciiTheme="minorHAnsi" w:eastAsia="Times New Roman" w:hAnsiTheme="minorHAnsi" w:cstheme="minorHAnsi"/>
          <w:sz w:val="22"/>
        </w:rPr>
        <w:t xml:space="preserve"> comprehensive person-centric care, in all steps of interacting with the person with TB guided by her/his/their preferences for people with TB of all genders including women and transgender people</w:t>
      </w:r>
    </w:p>
    <w:p w14:paraId="4D813E5D" w14:textId="1D7A1F6E" w:rsidR="00F56DEF" w:rsidRPr="008E49AA" w:rsidRDefault="00AD253C"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Ensure</w:t>
      </w:r>
      <w:r w:rsidR="00F56DEF" w:rsidRPr="008E49AA">
        <w:rPr>
          <w:rFonts w:asciiTheme="minorHAnsi" w:eastAsia="Times New Roman" w:hAnsiTheme="minorHAnsi" w:cstheme="minorHAnsi"/>
          <w:sz w:val="22"/>
        </w:rPr>
        <w:t xml:space="preserve"> respectful behaviour towards people with TB, confidentiality of their diagnosis and personal health information, and anonymity of identities during and beyond the treatment period</w:t>
      </w:r>
    </w:p>
    <w:p w14:paraId="511F912C" w14:textId="3D9DC177" w:rsidR="00F56DEF" w:rsidRPr="008E49AA" w:rsidRDefault="000340A3" w:rsidP="009136E5">
      <w:pPr>
        <w:pStyle w:val="ListParagraph"/>
        <w:numPr>
          <w:ilvl w:val="3"/>
          <w:numId w:val="75"/>
        </w:numPr>
        <w:ind w:left="1267" w:hanging="720"/>
        <w:contextualSpacing w:val="0"/>
        <w:jc w:val="both"/>
        <w:rPr>
          <w:rFonts w:ascii="Calibri" w:hAnsi="Calibri" w:cs="Calibri"/>
          <w:kern w:val="24"/>
          <w:sz w:val="22"/>
          <w:lang w:eastAsia="en-IN"/>
        </w:rPr>
      </w:pPr>
      <w:r>
        <w:rPr>
          <w:rFonts w:asciiTheme="minorHAnsi" w:eastAsia="Times New Roman" w:hAnsiTheme="minorHAnsi" w:cstheme="minorHAnsi"/>
          <w:sz w:val="22"/>
        </w:rPr>
        <w:t>Aim</w:t>
      </w:r>
      <w:r w:rsidR="00F56DEF" w:rsidRPr="008E49AA">
        <w:rPr>
          <w:rFonts w:ascii="Calibri" w:hAnsi="Calibri" w:cs="Calibri"/>
          <w:kern w:val="24"/>
          <w:sz w:val="22"/>
          <w:lang w:eastAsia="en-IN"/>
        </w:rPr>
        <w:t xml:space="preserve"> for gender parity in the NTEP workforce. </w:t>
      </w:r>
    </w:p>
    <w:p w14:paraId="32133940" w14:textId="76305032" w:rsidR="00EB401B" w:rsidRDefault="00F56DEF" w:rsidP="009136E5">
      <w:pPr>
        <w:pStyle w:val="ListParagraph"/>
        <w:numPr>
          <w:ilvl w:val="2"/>
          <w:numId w:val="75"/>
        </w:numPr>
        <w:spacing w:before="0" w:after="0"/>
        <w:ind w:left="504"/>
        <w:jc w:val="both"/>
        <w:rPr>
          <w:rFonts w:ascii="Calibri" w:hAnsi="Calibri" w:cs="Calibri"/>
          <w:b/>
          <w:kern w:val="24"/>
          <w:sz w:val="22"/>
          <w:lang w:eastAsia="en-IN"/>
        </w:rPr>
      </w:pPr>
      <w:r w:rsidRPr="00F56DEF">
        <w:rPr>
          <w:rFonts w:ascii="Calibri" w:hAnsi="Calibri" w:cs="Calibri"/>
          <w:b/>
          <w:kern w:val="24"/>
          <w:sz w:val="22"/>
          <w:lang w:eastAsia="en-IN"/>
        </w:rPr>
        <w:t>Mobilize, empower and engage women, men and transgender persons in the TB response at the health system and community levels</w:t>
      </w:r>
      <w:r>
        <w:rPr>
          <w:rFonts w:ascii="Calibri" w:hAnsi="Calibri" w:cs="Calibri"/>
          <w:b/>
          <w:kern w:val="24"/>
          <w:sz w:val="22"/>
          <w:lang w:eastAsia="en-IN"/>
        </w:rPr>
        <w:t xml:space="preserve"> </w:t>
      </w:r>
    </w:p>
    <w:p w14:paraId="368181DB" w14:textId="77777777" w:rsidR="00F56DEF" w:rsidRPr="008E49AA" w:rsidRDefault="00F56DEF"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 xml:space="preserve">Empower communities and people with TB to understand their rights and responsibilities </w:t>
      </w:r>
    </w:p>
    <w:p w14:paraId="01B8B54F" w14:textId="77777777" w:rsidR="00F56DEF" w:rsidRPr="008E49AA" w:rsidRDefault="00F56DEF"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 xml:space="preserve">Promote active involvement of people affected by TB of all genders in all aspects of the design, planning and delivery of programmes through engaging with patients support groups and TB forums at all levels </w:t>
      </w:r>
    </w:p>
    <w:p w14:paraId="4E6F5DF2" w14:textId="5CB85779" w:rsidR="00BB2272" w:rsidRPr="008E49AA" w:rsidRDefault="001E6AC1"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Involve</w:t>
      </w:r>
      <w:r w:rsidR="00BB2272" w:rsidRPr="008E49AA">
        <w:rPr>
          <w:rFonts w:asciiTheme="minorHAnsi" w:eastAsia="Times New Roman" w:hAnsiTheme="minorHAnsi" w:cstheme="minorHAnsi"/>
          <w:sz w:val="22"/>
        </w:rPr>
        <w:t xml:space="preserve"> community in all case finding activities and improving accessibility to diagnostic testing by establishing community monitoring systems</w:t>
      </w:r>
    </w:p>
    <w:p w14:paraId="2985019D" w14:textId="77777777" w:rsidR="00BB2272" w:rsidRPr="008E49AA" w:rsidRDefault="00BB2272"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Implement preventive actions including contact screening and chemoprophylaxis by enlisting the support of women and men in the family.</w:t>
      </w:r>
    </w:p>
    <w:p w14:paraId="6E9BB4A8" w14:textId="75FE5D11" w:rsidR="00BB2272" w:rsidRPr="008E49AA" w:rsidRDefault="001E6AC1"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Involve</w:t>
      </w:r>
      <w:r w:rsidR="00BB2272" w:rsidRPr="008E49AA">
        <w:rPr>
          <w:rFonts w:asciiTheme="minorHAnsi" w:eastAsia="Times New Roman" w:hAnsiTheme="minorHAnsi" w:cstheme="minorHAnsi"/>
          <w:sz w:val="22"/>
        </w:rPr>
        <w:t xml:space="preserve"> community influencers of all genders to improve cough hygiene in the community. </w:t>
      </w:r>
    </w:p>
    <w:p w14:paraId="666E7BF4" w14:textId="158747E9" w:rsidR="00BB2272" w:rsidRPr="00F56DEF" w:rsidRDefault="00BB2272" w:rsidP="009136E5">
      <w:pPr>
        <w:pStyle w:val="ListParagraph"/>
        <w:numPr>
          <w:ilvl w:val="3"/>
          <w:numId w:val="75"/>
        </w:numPr>
        <w:ind w:left="1267" w:hanging="720"/>
        <w:contextualSpacing w:val="0"/>
        <w:jc w:val="both"/>
        <w:rPr>
          <w:rFonts w:asciiTheme="minorHAnsi" w:hAnsiTheme="minorHAnsi" w:cstheme="minorHAnsi"/>
          <w:sz w:val="22"/>
        </w:rPr>
      </w:pPr>
      <w:r w:rsidRPr="008E49AA">
        <w:rPr>
          <w:rFonts w:asciiTheme="minorHAnsi" w:eastAsia="Times New Roman" w:hAnsiTheme="minorHAnsi" w:cstheme="minorHAnsi"/>
          <w:sz w:val="22"/>
        </w:rPr>
        <w:t>Strengthen linkages between the programme, private sector and the community to synergize</w:t>
      </w:r>
      <w:r w:rsidRPr="00F56DEF">
        <w:rPr>
          <w:rFonts w:asciiTheme="minorHAnsi" w:hAnsiTheme="minorHAnsi" w:cstheme="minorHAnsi"/>
          <w:sz w:val="22"/>
        </w:rPr>
        <w:t xml:space="preserve"> efforts towards provision of gender sensitive care and receive regular feedback. </w:t>
      </w:r>
    </w:p>
    <w:p w14:paraId="112E8574" w14:textId="77777777" w:rsidR="00BA1147" w:rsidRPr="00BA1147" w:rsidRDefault="00BA1147" w:rsidP="009136E5">
      <w:pPr>
        <w:pStyle w:val="ListParagraph"/>
        <w:numPr>
          <w:ilvl w:val="2"/>
          <w:numId w:val="75"/>
        </w:numPr>
        <w:spacing w:before="0"/>
        <w:ind w:left="504"/>
        <w:contextualSpacing w:val="0"/>
        <w:jc w:val="both"/>
        <w:rPr>
          <w:rFonts w:asciiTheme="minorHAnsi" w:hAnsiTheme="minorHAnsi" w:cstheme="minorHAnsi"/>
          <w:sz w:val="22"/>
        </w:rPr>
      </w:pPr>
      <w:r w:rsidRPr="00BA1147">
        <w:rPr>
          <w:rFonts w:asciiTheme="minorHAnsi" w:hAnsiTheme="minorHAnsi" w:cstheme="minorHAnsi"/>
          <w:b/>
          <w:sz w:val="22"/>
        </w:rPr>
        <w:t>Mobilize, empower and engage TB survivors, civil society and other TB stakeholders to reduce human rights and stigma related barriers to access TB services</w:t>
      </w:r>
    </w:p>
    <w:p w14:paraId="553DD5FA" w14:textId="77777777" w:rsidR="00BA1147" w:rsidRDefault="00BA1147" w:rsidP="009136E5">
      <w:pPr>
        <w:pStyle w:val="ListParagraph"/>
        <w:numPr>
          <w:ilvl w:val="3"/>
          <w:numId w:val="75"/>
        </w:numPr>
        <w:ind w:left="1260" w:hanging="720"/>
        <w:jc w:val="both"/>
        <w:rPr>
          <w:rFonts w:asciiTheme="minorHAnsi" w:eastAsia="Times New Roman" w:hAnsiTheme="minorHAnsi" w:cstheme="minorHAnsi"/>
          <w:sz w:val="22"/>
        </w:rPr>
      </w:pPr>
      <w:r w:rsidRPr="008E49AA">
        <w:rPr>
          <w:rFonts w:asciiTheme="minorHAnsi" w:eastAsia="Times New Roman" w:hAnsiTheme="minorHAnsi" w:cstheme="minorHAnsi"/>
          <w:sz w:val="22"/>
        </w:rPr>
        <w:t>Empower communities</w:t>
      </w:r>
      <w:r>
        <w:rPr>
          <w:rFonts w:asciiTheme="minorHAnsi" w:eastAsia="Times New Roman" w:hAnsiTheme="minorHAnsi" w:cstheme="minorHAnsi"/>
          <w:sz w:val="22"/>
        </w:rPr>
        <w:t>, TB survivors</w:t>
      </w:r>
      <w:r w:rsidRPr="008E49AA">
        <w:rPr>
          <w:rFonts w:asciiTheme="minorHAnsi" w:eastAsia="Times New Roman" w:hAnsiTheme="minorHAnsi" w:cstheme="minorHAnsi"/>
          <w:sz w:val="22"/>
        </w:rPr>
        <w:t xml:space="preserve"> and people with TB to understand their rights and responsibilities </w:t>
      </w:r>
    </w:p>
    <w:p w14:paraId="4046ACF0" w14:textId="77777777" w:rsidR="00BA1147" w:rsidRDefault="00BA1147" w:rsidP="009136E5">
      <w:pPr>
        <w:pStyle w:val="ListParagraph"/>
        <w:numPr>
          <w:ilvl w:val="3"/>
          <w:numId w:val="75"/>
        </w:numPr>
        <w:ind w:left="1260" w:hanging="720"/>
        <w:jc w:val="both"/>
        <w:rPr>
          <w:rFonts w:asciiTheme="minorHAnsi" w:eastAsia="Times New Roman" w:hAnsiTheme="minorHAnsi" w:cstheme="minorHAnsi"/>
          <w:sz w:val="22"/>
        </w:rPr>
      </w:pPr>
      <w:r>
        <w:rPr>
          <w:rFonts w:asciiTheme="minorHAnsi" w:eastAsia="Times New Roman" w:hAnsiTheme="minorHAnsi" w:cstheme="minorHAnsi"/>
          <w:sz w:val="22"/>
        </w:rPr>
        <w:t xml:space="preserve">Sensitize TB stakeholders, particularly those involved in TB service delivery, in rights based and gender sensitive TB responses. </w:t>
      </w:r>
    </w:p>
    <w:p w14:paraId="72655A36" w14:textId="77777777" w:rsidR="00BA1147" w:rsidRDefault="00BA1147" w:rsidP="009136E5">
      <w:pPr>
        <w:pStyle w:val="ListParagraph"/>
        <w:numPr>
          <w:ilvl w:val="3"/>
          <w:numId w:val="75"/>
        </w:numPr>
        <w:ind w:left="1260" w:hanging="720"/>
        <w:jc w:val="both"/>
        <w:rPr>
          <w:rFonts w:asciiTheme="minorHAnsi" w:eastAsia="Times New Roman" w:hAnsiTheme="minorHAnsi" w:cstheme="minorHAnsi"/>
          <w:sz w:val="22"/>
        </w:rPr>
      </w:pPr>
      <w:r>
        <w:rPr>
          <w:rFonts w:asciiTheme="minorHAnsi" w:eastAsia="Times New Roman" w:hAnsiTheme="minorHAnsi" w:cstheme="minorHAnsi"/>
          <w:sz w:val="22"/>
        </w:rPr>
        <w:t>Conduct a TB Stigma Assessment to establish a baseline and measure TB stigma across various contexts, as well as strategically tailor interventions to respond to these findings.</w:t>
      </w:r>
    </w:p>
    <w:p w14:paraId="3542C074" w14:textId="77777777" w:rsidR="00BA1147" w:rsidRDefault="00BA1147" w:rsidP="009136E5">
      <w:pPr>
        <w:pStyle w:val="ListParagraph"/>
        <w:numPr>
          <w:ilvl w:val="3"/>
          <w:numId w:val="75"/>
        </w:numPr>
        <w:ind w:left="1260" w:hanging="720"/>
        <w:jc w:val="both"/>
        <w:rPr>
          <w:rFonts w:asciiTheme="minorHAnsi" w:eastAsia="Times New Roman" w:hAnsiTheme="minorHAnsi" w:cstheme="minorHAnsi"/>
          <w:sz w:val="22"/>
        </w:rPr>
      </w:pPr>
      <w:r>
        <w:rPr>
          <w:rFonts w:asciiTheme="minorHAnsi" w:eastAsia="Times New Roman" w:hAnsiTheme="minorHAnsi" w:cstheme="minorHAnsi"/>
          <w:sz w:val="22"/>
        </w:rPr>
        <w:t xml:space="preserve">Build the capacity and coordination of networks of people affected by TB and TB survivors to actively engage in TB governance and decision making. </w:t>
      </w:r>
    </w:p>
    <w:p w14:paraId="5CDDFF46" w14:textId="1B8CC763" w:rsidR="00BA1147" w:rsidRDefault="00BA1147" w:rsidP="009136E5">
      <w:pPr>
        <w:pStyle w:val="ListParagraph"/>
        <w:numPr>
          <w:ilvl w:val="3"/>
          <w:numId w:val="75"/>
        </w:numPr>
        <w:ind w:left="1260" w:hanging="720"/>
        <w:jc w:val="both"/>
        <w:rPr>
          <w:rFonts w:asciiTheme="minorHAnsi" w:eastAsia="Times New Roman" w:hAnsiTheme="minorHAnsi" w:cstheme="minorHAnsi"/>
          <w:sz w:val="22"/>
        </w:rPr>
      </w:pPr>
      <w:r>
        <w:rPr>
          <w:rFonts w:asciiTheme="minorHAnsi" w:eastAsia="Times New Roman" w:hAnsiTheme="minorHAnsi" w:cstheme="minorHAnsi"/>
          <w:sz w:val="22"/>
        </w:rPr>
        <w:lastRenderedPageBreak/>
        <w:t>Mobilize, empower and engage TB survivors, civil society and TB patients to monitor access and quality of TB services.</w:t>
      </w:r>
    </w:p>
    <w:p w14:paraId="4B97182A" w14:textId="02C9E5E7" w:rsidR="00BA1147" w:rsidRDefault="00BA1147" w:rsidP="009136E5">
      <w:pPr>
        <w:pStyle w:val="ListParagraph"/>
        <w:numPr>
          <w:ilvl w:val="3"/>
          <w:numId w:val="75"/>
        </w:numPr>
        <w:ind w:left="1260" w:hanging="720"/>
        <w:jc w:val="both"/>
        <w:rPr>
          <w:rFonts w:asciiTheme="minorHAnsi" w:eastAsia="Times New Roman" w:hAnsiTheme="minorHAnsi" w:cstheme="minorHAnsi"/>
          <w:sz w:val="22"/>
        </w:rPr>
      </w:pPr>
      <w:r>
        <w:rPr>
          <w:rFonts w:asciiTheme="minorHAnsi" w:eastAsia="Times New Roman" w:hAnsiTheme="minorHAnsi" w:cstheme="minorHAnsi"/>
          <w:sz w:val="22"/>
        </w:rPr>
        <w:t>Develop a costed enabling environment framework informed by the Legal Environment Assessment, in a similar way to the development of the Gender Assessment inspired to the Gender Responsive Framework</w:t>
      </w:r>
    </w:p>
    <w:p w14:paraId="13460EF6" w14:textId="1B892720" w:rsidR="00F56DEF" w:rsidRPr="00BA1147" w:rsidRDefault="00BA1147" w:rsidP="009136E5">
      <w:pPr>
        <w:pStyle w:val="ListParagraph"/>
        <w:numPr>
          <w:ilvl w:val="3"/>
          <w:numId w:val="75"/>
        </w:numPr>
        <w:ind w:left="1267" w:hanging="720"/>
        <w:contextualSpacing w:val="0"/>
        <w:jc w:val="both"/>
        <w:rPr>
          <w:rFonts w:asciiTheme="minorHAnsi" w:eastAsia="Times New Roman" w:hAnsiTheme="minorHAnsi" w:cstheme="minorHAnsi"/>
          <w:sz w:val="22"/>
        </w:rPr>
      </w:pPr>
      <w:r>
        <w:rPr>
          <w:rFonts w:asciiTheme="minorHAnsi" w:eastAsia="Times New Roman" w:hAnsiTheme="minorHAnsi" w:cstheme="minorHAnsi"/>
          <w:sz w:val="22"/>
        </w:rPr>
        <w:t xml:space="preserve">Engage and sensitize the judiciary, including judges and magistrates, lawyers and law enforcement officers on TB and human rights. </w:t>
      </w:r>
      <w:r w:rsidR="00C66FBB" w:rsidRPr="00BA1147">
        <w:rPr>
          <w:rFonts w:asciiTheme="minorHAnsi" w:hAnsiTheme="minorHAnsi" w:cstheme="minorHAnsi"/>
          <w:sz w:val="22"/>
        </w:rPr>
        <w:t xml:space="preserve"> </w:t>
      </w:r>
    </w:p>
    <w:p w14:paraId="4FA33FE7" w14:textId="45226EC1" w:rsidR="00FE1664" w:rsidRPr="005B28D4" w:rsidRDefault="00FE1664" w:rsidP="009136E5">
      <w:pPr>
        <w:pStyle w:val="ListParagraph"/>
        <w:numPr>
          <w:ilvl w:val="2"/>
          <w:numId w:val="75"/>
        </w:numPr>
        <w:spacing w:before="0" w:after="0"/>
        <w:ind w:left="504"/>
        <w:jc w:val="both"/>
        <w:rPr>
          <w:rFonts w:asciiTheme="minorHAnsi" w:hAnsiTheme="minorHAnsi" w:cstheme="minorHAnsi"/>
          <w:sz w:val="22"/>
        </w:rPr>
      </w:pPr>
      <w:r>
        <w:rPr>
          <w:rFonts w:asciiTheme="minorHAnsi" w:hAnsiTheme="minorHAnsi" w:cstheme="minorHAnsi"/>
          <w:b/>
          <w:sz w:val="22"/>
        </w:rPr>
        <w:t>Address Stigma in TB Care</w:t>
      </w:r>
      <w:r w:rsidR="00CC7FE0">
        <w:rPr>
          <w:rFonts w:asciiTheme="minorHAnsi" w:hAnsiTheme="minorHAnsi" w:cstheme="minorHAnsi"/>
          <w:b/>
          <w:sz w:val="22"/>
        </w:rPr>
        <w:t xml:space="preserve">. </w:t>
      </w:r>
      <w:r>
        <w:rPr>
          <w:rFonts w:asciiTheme="minorHAnsi" w:hAnsiTheme="minorHAnsi" w:cstheme="minorHAnsi"/>
          <w:b/>
          <w:sz w:val="22"/>
        </w:rPr>
        <w:t xml:space="preserve"> </w:t>
      </w:r>
    </w:p>
    <w:p w14:paraId="1980A32D" w14:textId="041715AF" w:rsidR="005B28D4" w:rsidRPr="005B28D4" w:rsidRDefault="005B28D4" w:rsidP="00EA6D98">
      <w:pPr>
        <w:spacing w:before="0" w:after="0"/>
        <w:ind w:left="547"/>
        <w:jc w:val="both"/>
        <w:rPr>
          <w:rFonts w:asciiTheme="minorHAnsi" w:hAnsiTheme="minorHAnsi"/>
          <w:b/>
          <w:sz w:val="18"/>
        </w:rPr>
      </w:pPr>
      <w:r w:rsidRPr="005B28D4">
        <w:rPr>
          <w:rFonts w:asciiTheme="minorHAnsi" w:hAnsiTheme="minorHAnsi"/>
          <w:b/>
          <w:sz w:val="18"/>
        </w:rPr>
        <w:t>Figure 36: Framework for addressing stigma in NTEP</w:t>
      </w:r>
      <w:r w:rsidR="00CB0305">
        <w:rPr>
          <w:rFonts w:asciiTheme="minorHAnsi" w:hAnsiTheme="minorHAnsi"/>
          <w:b/>
          <w:sz w:val="18"/>
        </w:rPr>
        <w:t xml:space="preserve"> incorporated in the NSP pillars</w:t>
      </w:r>
      <w:r w:rsidR="00A973E1">
        <w:rPr>
          <w:rFonts w:asciiTheme="minorHAnsi" w:hAnsiTheme="minorHAnsi"/>
          <w:b/>
          <w:sz w:val="18"/>
        </w:rPr>
        <w:t>s</w:t>
      </w:r>
      <w:r w:rsidRPr="005B28D4">
        <w:rPr>
          <w:rFonts w:asciiTheme="minorHAnsi" w:hAnsiTheme="minorHAnsi"/>
          <w:b/>
          <w:sz w:val="18"/>
        </w:rPr>
        <w:t xml:space="preserve"> </w:t>
      </w:r>
    </w:p>
    <w:p w14:paraId="7700C24C" w14:textId="77777777" w:rsidR="005B28D4" w:rsidRPr="005B28D4" w:rsidRDefault="005B28D4" w:rsidP="00EA6D98">
      <w:pPr>
        <w:spacing w:before="0" w:after="0"/>
        <w:ind w:left="547"/>
        <w:jc w:val="both"/>
        <w:rPr>
          <w:rFonts w:ascii="Calibri" w:hAnsi="Calibri" w:cs="Calibri"/>
          <w:b/>
          <w:kern w:val="24"/>
          <w:sz w:val="22"/>
          <w:lang w:eastAsia="en-IN"/>
        </w:rPr>
      </w:pPr>
      <w:r w:rsidRPr="00CC7FE0">
        <w:rPr>
          <w:noProof/>
          <w:lang w:val="en-IN" w:eastAsia="en-IN"/>
        </w:rPr>
        <w:drawing>
          <wp:inline distT="0" distB="0" distL="0" distR="0" wp14:anchorId="4BEE8484" wp14:editId="06FA5456">
            <wp:extent cx="5732145" cy="3088640"/>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2145" cy="3088640"/>
                    </a:xfrm>
                    <a:prstGeom prst="rect">
                      <a:avLst/>
                    </a:prstGeom>
                  </pic:spPr>
                </pic:pic>
              </a:graphicData>
            </a:graphic>
          </wp:inline>
        </w:drawing>
      </w:r>
    </w:p>
    <w:p w14:paraId="732ACC5A" w14:textId="77777777" w:rsidR="005B28D4" w:rsidRPr="005B28D4" w:rsidRDefault="005B28D4" w:rsidP="005B28D4">
      <w:pPr>
        <w:autoSpaceDE w:val="0"/>
        <w:autoSpaceDN w:val="0"/>
        <w:adjustRightInd w:val="0"/>
        <w:spacing w:before="0" w:after="0"/>
        <w:rPr>
          <w:rFonts w:ascii="Roboto-Regular" w:hAnsi="Roboto-Regular" w:cs="Roboto-Regular"/>
          <w:sz w:val="24"/>
          <w:szCs w:val="24"/>
          <w:lang w:val="en-IN"/>
        </w:rPr>
      </w:pPr>
    </w:p>
    <w:p w14:paraId="28E2A27F" w14:textId="77777777" w:rsidR="005B28D4" w:rsidRPr="00FE1664" w:rsidRDefault="005B28D4" w:rsidP="005B28D4">
      <w:pPr>
        <w:pStyle w:val="ListParagraph"/>
        <w:spacing w:before="0" w:after="0"/>
        <w:ind w:left="504"/>
        <w:jc w:val="both"/>
        <w:rPr>
          <w:rFonts w:asciiTheme="minorHAnsi" w:hAnsiTheme="minorHAnsi" w:cstheme="minorHAnsi"/>
          <w:sz w:val="22"/>
        </w:rPr>
      </w:pPr>
    </w:p>
    <w:p w14:paraId="740F902C" w14:textId="44D75776" w:rsidR="00FE1664" w:rsidRDefault="00F41853" w:rsidP="009136E5">
      <w:pPr>
        <w:pStyle w:val="ListParagraph"/>
        <w:numPr>
          <w:ilvl w:val="3"/>
          <w:numId w:val="75"/>
        </w:numPr>
        <w:spacing w:before="0" w:after="0"/>
        <w:ind w:left="1267" w:hanging="720"/>
        <w:contextualSpacing w:val="0"/>
        <w:jc w:val="both"/>
        <w:rPr>
          <w:rFonts w:asciiTheme="minorHAnsi" w:hAnsiTheme="minorHAnsi" w:cstheme="minorHAnsi"/>
          <w:sz w:val="22"/>
        </w:rPr>
      </w:pPr>
      <w:r w:rsidRPr="00FE1664">
        <w:rPr>
          <w:rFonts w:asciiTheme="minorHAnsi" w:hAnsiTheme="minorHAnsi" w:cstheme="minorHAnsi"/>
          <w:b/>
          <w:sz w:val="22"/>
        </w:rPr>
        <w:t xml:space="preserve">Create patient friendly facilities at </w:t>
      </w:r>
      <w:r w:rsidR="00FE1664">
        <w:rPr>
          <w:rFonts w:asciiTheme="minorHAnsi" w:hAnsiTheme="minorHAnsi" w:cstheme="minorHAnsi"/>
          <w:b/>
          <w:sz w:val="22"/>
        </w:rPr>
        <w:t>TD</w:t>
      </w:r>
      <w:r w:rsidRPr="00FE1664">
        <w:rPr>
          <w:rFonts w:asciiTheme="minorHAnsi" w:hAnsiTheme="minorHAnsi" w:cstheme="minorHAnsi"/>
          <w:b/>
          <w:sz w:val="22"/>
        </w:rPr>
        <w:t xml:space="preserve">C: </w:t>
      </w:r>
      <w:r w:rsidR="00FE1664" w:rsidRPr="00FE1664">
        <w:rPr>
          <w:rFonts w:asciiTheme="minorHAnsi" w:hAnsiTheme="minorHAnsi" w:cstheme="minorHAnsi"/>
          <w:sz w:val="22"/>
        </w:rPr>
        <w:t xml:space="preserve">At the </w:t>
      </w:r>
      <w:r w:rsidR="00FE1664">
        <w:rPr>
          <w:rFonts w:asciiTheme="minorHAnsi" w:hAnsiTheme="minorHAnsi" w:cstheme="minorHAnsi"/>
          <w:sz w:val="22"/>
        </w:rPr>
        <w:t>TD</w:t>
      </w:r>
      <w:r w:rsidR="00FE1664" w:rsidRPr="00FE1664">
        <w:rPr>
          <w:rFonts w:asciiTheme="minorHAnsi" w:hAnsiTheme="minorHAnsi" w:cstheme="minorHAnsi"/>
          <w:sz w:val="22"/>
        </w:rPr>
        <w:t>C, establish minimum facilities to ensure confidentiality and privacy of a client and treat patients with respect</w:t>
      </w:r>
      <w:r w:rsidR="00FE1664">
        <w:rPr>
          <w:rFonts w:asciiTheme="minorHAnsi" w:hAnsiTheme="minorHAnsi" w:cstheme="minorHAnsi"/>
          <w:sz w:val="22"/>
        </w:rPr>
        <w:t xml:space="preserve">. </w:t>
      </w:r>
    </w:p>
    <w:p w14:paraId="1C7E3BF2" w14:textId="1F99B9C8" w:rsidR="00FE1664" w:rsidRPr="00FE1664" w:rsidRDefault="00FE1664" w:rsidP="009136E5">
      <w:pPr>
        <w:pStyle w:val="ListParagraph"/>
        <w:numPr>
          <w:ilvl w:val="3"/>
          <w:numId w:val="75"/>
        </w:numPr>
        <w:spacing w:before="0" w:after="0"/>
        <w:ind w:left="1267" w:hanging="720"/>
        <w:contextualSpacing w:val="0"/>
        <w:jc w:val="both"/>
        <w:rPr>
          <w:rFonts w:asciiTheme="minorHAnsi" w:hAnsiTheme="minorHAnsi" w:cstheme="minorHAnsi"/>
          <w:sz w:val="22"/>
        </w:rPr>
      </w:pPr>
      <w:r>
        <w:rPr>
          <w:rFonts w:asciiTheme="minorHAnsi" w:hAnsiTheme="minorHAnsi" w:cstheme="minorHAnsi"/>
          <w:sz w:val="22"/>
        </w:rPr>
        <w:t xml:space="preserve">Engage </w:t>
      </w:r>
      <w:r w:rsidRPr="00FE1664">
        <w:rPr>
          <w:rFonts w:asciiTheme="minorHAnsi" w:hAnsiTheme="minorHAnsi" w:cstheme="minorHAnsi"/>
          <w:sz w:val="22"/>
        </w:rPr>
        <w:t>TB survivors</w:t>
      </w:r>
      <w:r>
        <w:rPr>
          <w:rFonts w:asciiTheme="minorHAnsi" w:hAnsiTheme="minorHAnsi" w:cstheme="minorHAnsi"/>
          <w:sz w:val="22"/>
        </w:rPr>
        <w:t xml:space="preserve">, panchayat, teacher and </w:t>
      </w:r>
      <w:r w:rsidRPr="00FE1664">
        <w:rPr>
          <w:rFonts w:asciiTheme="minorHAnsi" w:hAnsiTheme="minorHAnsi" w:cstheme="minorHAnsi"/>
          <w:sz w:val="22"/>
        </w:rPr>
        <w:t xml:space="preserve">other community gatekeepers </w:t>
      </w:r>
      <w:r>
        <w:rPr>
          <w:rFonts w:asciiTheme="minorHAnsi" w:hAnsiTheme="minorHAnsi" w:cstheme="minorHAnsi"/>
          <w:sz w:val="22"/>
        </w:rPr>
        <w:t xml:space="preserve">to </w:t>
      </w:r>
      <w:r w:rsidRPr="00FE1664">
        <w:rPr>
          <w:rFonts w:asciiTheme="minorHAnsi" w:hAnsiTheme="minorHAnsi" w:cstheme="minorHAnsi"/>
          <w:sz w:val="22"/>
        </w:rPr>
        <w:t xml:space="preserve">do </w:t>
      </w:r>
      <w:r w:rsidRPr="00CC7FE0">
        <w:rPr>
          <w:rFonts w:asciiTheme="minorHAnsi" w:hAnsiTheme="minorHAnsi" w:cstheme="minorHAnsi"/>
          <w:b/>
          <w:sz w:val="22"/>
        </w:rPr>
        <w:t>community advocacy as “positive” speakers</w:t>
      </w:r>
      <w:r w:rsidR="00CC7FE0">
        <w:rPr>
          <w:rFonts w:asciiTheme="minorHAnsi" w:hAnsiTheme="minorHAnsi" w:cstheme="minorHAnsi"/>
          <w:sz w:val="22"/>
        </w:rPr>
        <w:t xml:space="preserve"> on stigma</w:t>
      </w:r>
      <w:r>
        <w:rPr>
          <w:rFonts w:asciiTheme="minorHAnsi" w:hAnsiTheme="minorHAnsi" w:cstheme="minorHAnsi"/>
          <w:sz w:val="22"/>
        </w:rPr>
        <w:t xml:space="preserve">. </w:t>
      </w:r>
    </w:p>
    <w:p w14:paraId="6CCD7FA2" w14:textId="3F129A0A" w:rsidR="00F41853" w:rsidRPr="00F41853" w:rsidRDefault="00FE1664" w:rsidP="009136E5">
      <w:pPr>
        <w:pStyle w:val="ListParagraph"/>
        <w:numPr>
          <w:ilvl w:val="3"/>
          <w:numId w:val="75"/>
        </w:numPr>
        <w:spacing w:before="0" w:after="0"/>
        <w:ind w:left="1267" w:hanging="720"/>
        <w:contextualSpacing w:val="0"/>
        <w:jc w:val="both"/>
        <w:rPr>
          <w:rFonts w:asciiTheme="minorHAnsi" w:hAnsiTheme="minorHAnsi" w:cstheme="minorHAnsi"/>
          <w:sz w:val="22"/>
        </w:rPr>
      </w:pPr>
      <w:r>
        <w:rPr>
          <w:rFonts w:asciiTheme="minorHAnsi" w:hAnsiTheme="minorHAnsi" w:cstheme="minorHAnsi"/>
          <w:sz w:val="22"/>
        </w:rPr>
        <w:t xml:space="preserve">Undertake </w:t>
      </w:r>
      <w:r w:rsidRPr="00CC7FE0">
        <w:rPr>
          <w:rFonts w:asciiTheme="minorHAnsi" w:hAnsiTheme="minorHAnsi" w:cstheme="minorHAnsi"/>
          <w:b/>
          <w:sz w:val="22"/>
        </w:rPr>
        <w:t>counselling</w:t>
      </w:r>
      <w:r w:rsidRPr="00FE1664">
        <w:rPr>
          <w:rFonts w:asciiTheme="minorHAnsi" w:hAnsiTheme="minorHAnsi" w:cstheme="minorHAnsi"/>
          <w:sz w:val="22"/>
        </w:rPr>
        <w:t xml:space="preserve"> of presumptive case </w:t>
      </w:r>
      <w:r>
        <w:rPr>
          <w:rFonts w:asciiTheme="minorHAnsi" w:hAnsiTheme="minorHAnsi" w:cstheme="minorHAnsi"/>
          <w:sz w:val="22"/>
        </w:rPr>
        <w:t xml:space="preserve">who </w:t>
      </w:r>
      <w:r w:rsidRPr="00FE1664">
        <w:rPr>
          <w:rFonts w:asciiTheme="minorHAnsi" w:hAnsiTheme="minorHAnsi" w:cstheme="minorHAnsi"/>
          <w:sz w:val="22"/>
        </w:rPr>
        <w:t>deny</w:t>
      </w:r>
      <w:r>
        <w:rPr>
          <w:rFonts w:asciiTheme="minorHAnsi" w:hAnsiTheme="minorHAnsi" w:cstheme="minorHAnsi"/>
          <w:sz w:val="22"/>
        </w:rPr>
        <w:t xml:space="preserve"> to </w:t>
      </w:r>
      <w:r w:rsidRPr="00FE1664">
        <w:rPr>
          <w:rFonts w:asciiTheme="minorHAnsi" w:hAnsiTheme="minorHAnsi" w:cstheme="minorHAnsi"/>
          <w:sz w:val="22"/>
        </w:rPr>
        <w:t>attend DMC</w:t>
      </w:r>
      <w:r>
        <w:rPr>
          <w:rFonts w:asciiTheme="minorHAnsi" w:hAnsiTheme="minorHAnsi" w:cstheme="minorHAnsi"/>
          <w:sz w:val="22"/>
        </w:rPr>
        <w:t xml:space="preserve">. </w:t>
      </w:r>
    </w:p>
    <w:p w14:paraId="2DCDC5C8" w14:textId="28D4B9AF" w:rsidR="00C66FBB" w:rsidRDefault="00CC7FE0" w:rsidP="009136E5">
      <w:pPr>
        <w:pStyle w:val="ListParagraph"/>
        <w:numPr>
          <w:ilvl w:val="3"/>
          <w:numId w:val="75"/>
        </w:numPr>
        <w:spacing w:before="0"/>
        <w:ind w:left="1267" w:hanging="720"/>
        <w:contextualSpacing w:val="0"/>
        <w:jc w:val="both"/>
        <w:rPr>
          <w:rFonts w:asciiTheme="minorHAnsi" w:hAnsiTheme="minorHAnsi" w:cstheme="minorHAnsi"/>
          <w:sz w:val="22"/>
        </w:rPr>
      </w:pPr>
      <w:r>
        <w:rPr>
          <w:rFonts w:asciiTheme="minorHAnsi" w:hAnsiTheme="minorHAnsi" w:cstheme="minorHAnsi"/>
          <w:sz w:val="22"/>
        </w:rPr>
        <w:t>Train FLHW’s in counselling skills to cover all aspects of gender and stigma in TB care.</w:t>
      </w:r>
      <w:r w:rsidR="00150B60">
        <w:rPr>
          <w:rFonts w:asciiTheme="minorHAnsi" w:hAnsiTheme="minorHAnsi" w:cstheme="minorHAnsi"/>
          <w:sz w:val="22"/>
        </w:rPr>
        <w:t xml:space="preserve"> </w:t>
      </w:r>
    </w:p>
    <w:p w14:paraId="4A6B4828" w14:textId="2430600F" w:rsidR="008D4EB2" w:rsidRDefault="008D4EB2" w:rsidP="00C129C4">
      <w:pPr>
        <w:spacing w:before="0" w:after="0"/>
        <w:jc w:val="both"/>
        <w:rPr>
          <w:rFonts w:ascii="Calibri" w:hAnsi="Calibri" w:cs="Calibri"/>
          <w:b/>
          <w:kern w:val="24"/>
          <w:sz w:val="22"/>
          <w:lang w:eastAsia="en-IN"/>
        </w:rPr>
      </w:pPr>
    </w:p>
    <w:p w14:paraId="5710682C" w14:textId="77777777" w:rsidR="000340A3" w:rsidRDefault="000340A3">
      <w:pPr>
        <w:spacing w:before="0" w:after="0"/>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302D4C1C" w14:textId="6813B4EA" w:rsidR="008D4EB2" w:rsidRDefault="008D4EB2" w:rsidP="008D4EB2">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Pr>
          <w:rFonts w:asciiTheme="minorHAnsi" w:hAnsiTheme="minorHAnsi" w:cstheme="minorHAnsi"/>
          <w:b/>
          <w:snapToGrid w:val="0"/>
          <w:color w:val="auto"/>
          <w:sz w:val="36"/>
        </w:rPr>
        <w:t>2</w:t>
      </w:r>
      <w:r w:rsidR="00BE594E">
        <w:rPr>
          <w:rFonts w:asciiTheme="minorHAnsi" w:hAnsiTheme="minorHAnsi" w:cstheme="minorHAnsi"/>
          <w:b/>
          <w:snapToGrid w:val="0"/>
          <w:color w:val="auto"/>
          <w:sz w:val="36"/>
        </w:rPr>
        <w:t>1</w:t>
      </w:r>
      <w:r w:rsidRPr="00734B6A">
        <w:rPr>
          <w:rFonts w:asciiTheme="minorHAnsi" w:hAnsiTheme="minorHAnsi" w:cstheme="minorHAnsi"/>
          <w:b/>
          <w:snapToGrid w:val="0"/>
          <w:color w:val="auto"/>
          <w:sz w:val="36"/>
        </w:rPr>
        <w:t xml:space="preserve"> </w:t>
      </w:r>
    </w:p>
    <w:p w14:paraId="1778BD4F" w14:textId="0E0349E2" w:rsidR="005B1311" w:rsidRPr="006B7923" w:rsidRDefault="005B1311" w:rsidP="005B1311">
      <w:pPr>
        <w:shd w:val="clear" w:color="auto" w:fill="17365D" w:themeFill="text2" w:themeFillShade="BF"/>
        <w:spacing w:before="0" w:after="0"/>
        <w:jc w:val="right"/>
        <w:rPr>
          <w:b/>
          <w:sz w:val="28"/>
        </w:rPr>
      </w:pPr>
      <w:r>
        <w:rPr>
          <w:b/>
          <w:sz w:val="28"/>
        </w:rPr>
        <w:t xml:space="preserve">NSP </w:t>
      </w:r>
      <w:r w:rsidRPr="006B7923">
        <w:rPr>
          <w:b/>
          <w:sz w:val="28"/>
        </w:rPr>
        <w:t>STRATEGIC AREA 1.1</w:t>
      </w:r>
      <w:r>
        <w:rPr>
          <w:b/>
          <w:sz w:val="28"/>
        </w:rPr>
        <w:t>4</w:t>
      </w:r>
    </w:p>
    <w:p w14:paraId="0ADCAD3C" w14:textId="12B6D966" w:rsidR="00B232FD" w:rsidRDefault="008D4EB2" w:rsidP="00B232FD">
      <w:pPr>
        <w:pStyle w:val="Heading1"/>
        <w:tabs>
          <w:tab w:val="num" w:pos="5670"/>
        </w:tabs>
        <w:spacing w:after="0"/>
        <w:ind w:left="1526" w:hanging="446"/>
        <w:rPr>
          <w:rFonts w:asciiTheme="minorHAnsi" w:hAnsiTheme="minorHAnsi" w:cstheme="minorHAnsi"/>
          <w:b/>
          <w:snapToGrid w:val="0"/>
          <w:color w:val="auto"/>
        </w:rPr>
      </w:pPr>
      <w:r>
        <w:rPr>
          <w:rFonts w:asciiTheme="minorHAnsi" w:hAnsiTheme="minorHAnsi" w:cstheme="minorHAnsi"/>
          <w:b/>
          <w:snapToGrid w:val="0"/>
          <w:color w:val="auto"/>
        </w:rPr>
        <w:t xml:space="preserve">  </w:t>
      </w:r>
      <w:r w:rsidR="00B232FD">
        <w:rPr>
          <w:rFonts w:asciiTheme="minorHAnsi" w:hAnsiTheme="minorHAnsi" w:cstheme="minorHAnsi"/>
          <w:b/>
          <w:snapToGrid w:val="0"/>
          <w:color w:val="auto"/>
        </w:rPr>
        <w:t>TB</w:t>
      </w:r>
      <w:r w:rsidR="009E7438">
        <w:rPr>
          <w:rFonts w:asciiTheme="minorHAnsi" w:hAnsiTheme="minorHAnsi" w:cstheme="minorHAnsi"/>
          <w:b/>
          <w:snapToGrid w:val="0"/>
          <w:color w:val="auto"/>
        </w:rPr>
        <w:t xml:space="preserve"> CARE</w:t>
      </w:r>
      <w:r w:rsidR="00B232FD">
        <w:rPr>
          <w:rFonts w:asciiTheme="minorHAnsi" w:hAnsiTheme="minorHAnsi" w:cstheme="minorHAnsi"/>
          <w:b/>
          <w:snapToGrid w:val="0"/>
          <w:color w:val="auto"/>
        </w:rPr>
        <w:t xml:space="preserve"> in the ERA of COVID </w:t>
      </w:r>
    </w:p>
    <w:p w14:paraId="54CDAC22" w14:textId="61B272CD" w:rsidR="008D4EB2" w:rsidRPr="00734B6A" w:rsidRDefault="008D4EB2" w:rsidP="00B232FD">
      <w:pPr>
        <w:pStyle w:val="Heading1"/>
        <w:tabs>
          <w:tab w:val="left" w:pos="810"/>
          <w:tab w:val="num" w:pos="5670"/>
        </w:tabs>
        <w:ind w:left="1530" w:hanging="1530"/>
        <w:rPr>
          <w:rFonts w:asciiTheme="minorHAnsi" w:hAnsiTheme="minorHAnsi" w:cstheme="minorHAnsi"/>
          <w:b/>
          <w:snapToGrid w:val="0"/>
          <w:color w:val="auto"/>
        </w:rPr>
      </w:pPr>
      <w:r w:rsidRPr="00B232FD">
        <w:rPr>
          <w:rFonts w:asciiTheme="minorHAnsi" w:hAnsiTheme="minorHAnsi" w:cstheme="minorHAnsi"/>
          <w:b/>
          <w:snapToGrid w:val="0"/>
          <w:color w:val="auto"/>
          <w:sz w:val="40"/>
        </w:rPr>
        <w:t xml:space="preserve">Build a resilient, responsive and agile NTEP to </w:t>
      </w:r>
      <w:r w:rsidR="009E7438">
        <w:rPr>
          <w:rFonts w:asciiTheme="minorHAnsi" w:hAnsiTheme="minorHAnsi" w:cstheme="minorHAnsi"/>
          <w:b/>
          <w:snapToGrid w:val="0"/>
          <w:color w:val="auto"/>
          <w:sz w:val="40"/>
        </w:rPr>
        <w:t>respond to</w:t>
      </w:r>
      <w:r w:rsidRPr="00B232FD">
        <w:rPr>
          <w:rFonts w:asciiTheme="minorHAnsi" w:hAnsiTheme="minorHAnsi" w:cstheme="minorHAnsi"/>
          <w:b/>
          <w:snapToGrid w:val="0"/>
          <w:color w:val="auto"/>
          <w:sz w:val="40"/>
        </w:rPr>
        <w:t xml:space="preserve"> complex emergencies</w:t>
      </w:r>
    </w:p>
    <w:p w14:paraId="66632734" w14:textId="1C23783F" w:rsidR="0075389F" w:rsidRPr="00C45A90" w:rsidRDefault="00D756D3"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1</w:t>
      </w:r>
      <w:r>
        <w:rPr>
          <w:rFonts w:asciiTheme="minorHAnsi" w:hAnsiTheme="minorHAnsi" w:cstheme="minorHAnsi"/>
          <w:b/>
          <w:color w:val="C86A07" w:themeColor="accent2" w:themeShade="BF"/>
          <w:sz w:val="28"/>
          <w:lang w:val="en"/>
        </w:rPr>
        <w:t xml:space="preserve">.1 </w:t>
      </w:r>
      <w:r w:rsidR="0075389F" w:rsidRPr="00C45A90">
        <w:rPr>
          <w:rFonts w:asciiTheme="minorHAnsi" w:hAnsiTheme="minorHAnsi" w:cstheme="minorHAnsi"/>
          <w:b/>
          <w:color w:val="C86A07" w:themeColor="accent2" w:themeShade="BF"/>
          <w:sz w:val="28"/>
          <w:lang w:val="en"/>
        </w:rPr>
        <w:t>INTRODUCTION</w:t>
      </w:r>
    </w:p>
    <w:p w14:paraId="1C09F180" w14:textId="51E62FBA" w:rsidR="00D55F8F" w:rsidRDefault="00815EB3" w:rsidP="00C129C4">
      <w:pPr>
        <w:spacing w:before="0" w:after="0"/>
        <w:jc w:val="both"/>
        <w:rPr>
          <w:rFonts w:ascii="Calibri" w:hAnsi="Calibri" w:cs="Calibri"/>
          <w:kern w:val="24"/>
          <w:sz w:val="22"/>
          <w:lang w:eastAsia="en-IN"/>
        </w:rPr>
      </w:pPr>
      <w:r w:rsidRPr="00815EB3">
        <w:rPr>
          <w:rFonts w:ascii="Calibri" w:hAnsi="Calibri" w:cs="Calibri"/>
          <w:kern w:val="24"/>
          <w:sz w:val="22"/>
          <w:lang w:eastAsia="en-IN"/>
        </w:rPr>
        <w:t>Significant progress to END TB has been made since the Honourable P</w:t>
      </w:r>
      <w:r>
        <w:rPr>
          <w:rFonts w:ascii="Calibri" w:hAnsi="Calibri" w:cs="Calibri"/>
          <w:kern w:val="24"/>
          <w:sz w:val="22"/>
          <w:lang w:eastAsia="en-IN"/>
        </w:rPr>
        <w:t xml:space="preserve">rime </w:t>
      </w:r>
      <w:r w:rsidRPr="00815EB3">
        <w:rPr>
          <w:rFonts w:ascii="Calibri" w:hAnsi="Calibri" w:cs="Calibri"/>
          <w:kern w:val="24"/>
          <w:sz w:val="22"/>
          <w:lang w:eastAsia="en-IN"/>
        </w:rPr>
        <w:t>M</w:t>
      </w:r>
      <w:r>
        <w:rPr>
          <w:rFonts w:ascii="Calibri" w:hAnsi="Calibri" w:cs="Calibri"/>
          <w:kern w:val="24"/>
          <w:sz w:val="22"/>
          <w:lang w:eastAsia="en-IN"/>
        </w:rPr>
        <w:t>inister</w:t>
      </w:r>
      <w:r w:rsidRPr="00815EB3">
        <w:rPr>
          <w:rFonts w:ascii="Calibri" w:hAnsi="Calibri" w:cs="Calibri"/>
          <w:kern w:val="24"/>
          <w:sz w:val="22"/>
          <w:lang w:eastAsia="en-IN"/>
        </w:rPr>
        <w:t xml:space="preserve"> gave a clarion call to End TB by 2025, five years ahead of Susta</w:t>
      </w:r>
      <w:r>
        <w:rPr>
          <w:rFonts w:ascii="Calibri" w:hAnsi="Calibri" w:cs="Calibri"/>
          <w:kern w:val="24"/>
          <w:sz w:val="22"/>
          <w:lang w:eastAsia="en-IN"/>
        </w:rPr>
        <w:t xml:space="preserve">inable Development Goals target. </w:t>
      </w:r>
      <w:r w:rsidRPr="00815EB3">
        <w:rPr>
          <w:rFonts w:ascii="Calibri" w:hAnsi="Calibri" w:cs="Calibri"/>
          <w:kern w:val="24"/>
          <w:sz w:val="22"/>
          <w:lang w:eastAsia="en-IN"/>
        </w:rPr>
        <w:t xml:space="preserve">Intensive measures have been </w:t>
      </w:r>
      <w:r>
        <w:rPr>
          <w:rFonts w:ascii="Calibri" w:hAnsi="Calibri" w:cs="Calibri"/>
          <w:kern w:val="24"/>
          <w:sz w:val="22"/>
          <w:lang w:eastAsia="en-IN"/>
        </w:rPr>
        <w:t>undertaken over</w:t>
      </w:r>
      <w:r w:rsidRPr="00815EB3">
        <w:rPr>
          <w:rFonts w:ascii="Calibri" w:hAnsi="Calibri" w:cs="Calibri"/>
          <w:kern w:val="24"/>
          <w:sz w:val="22"/>
          <w:lang w:eastAsia="en-IN"/>
        </w:rPr>
        <w:t xml:space="preserve"> the last three years to improve TB case finding in public as well as private sector including active case finding, </w:t>
      </w:r>
      <w:r w:rsidR="00D50BC6" w:rsidRPr="00815EB3">
        <w:rPr>
          <w:rFonts w:ascii="Calibri" w:hAnsi="Calibri" w:cs="Calibri"/>
          <w:kern w:val="24"/>
          <w:sz w:val="22"/>
          <w:lang w:eastAsia="en-IN"/>
        </w:rPr>
        <w:t>decentralizing</w:t>
      </w:r>
      <w:r w:rsidRPr="00815EB3">
        <w:rPr>
          <w:rFonts w:ascii="Calibri" w:hAnsi="Calibri" w:cs="Calibri"/>
          <w:kern w:val="24"/>
          <w:sz w:val="22"/>
          <w:lang w:eastAsia="en-IN"/>
        </w:rPr>
        <w:t xml:space="preserve"> molecular diagnostic and t</w:t>
      </w:r>
      <w:r w:rsidR="00D50BC6">
        <w:rPr>
          <w:rFonts w:ascii="Calibri" w:hAnsi="Calibri" w:cs="Calibri"/>
          <w:kern w:val="24"/>
          <w:sz w:val="22"/>
          <w:lang w:eastAsia="en-IN"/>
        </w:rPr>
        <w:t>reatment</w:t>
      </w:r>
      <w:r w:rsidRPr="00815EB3">
        <w:rPr>
          <w:rFonts w:ascii="Calibri" w:hAnsi="Calibri" w:cs="Calibri"/>
          <w:kern w:val="24"/>
          <w:sz w:val="22"/>
          <w:lang w:eastAsia="en-IN"/>
        </w:rPr>
        <w:t xml:space="preserve"> services, enforcing mandatory TB notification, private sector engagement and extending public health actions. For a multi-sectoral response linkage have been established with other national health programs and other line ministries. Additionally, various enablers have been provisioned like incentives for TB notification, incentives for nutrition, support for patients in tribal areas and community engagement.</w:t>
      </w:r>
      <w:r>
        <w:rPr>
          <w:rFonts w:ascii="Calibri" w:hAnsi="Calibri" w:cs="Calibri"/>
          <w:kern w:val="24"/>
          <w:sz w:val="22"/>
          <w:lang w:eastAsia="en-IN"/>
        </w:rPr>
        <w:t xml:space="preserve"> However with the COVID 19 pandemic and its consequent public health actions including National and State specific lockdown since March 24</w:t>
      </w:r>
      <w:r w:rsidRPr="00815EB3">
        <w:rPr>
          <w:rFonts w:ascii="Calibri" w:hAnsi="Calibri" w:cs="Calibri"/>
          <w:kern w:val="24"/>
          <w:sz w:val="22"/>
          <w:lang w:eastAsia="en-IN"/>
        </w:rPr>
        <w:t>th</w:t>
      </w:r>
      <w:r>
        <w:rPr>
          <w:rFonts w:ascii="Calibri" w:hAnsi="Calibri" w:cs="Calibri"/>
          <w:kern w:val="24"/>
          <w:sz w:val="22"/>
          <w:lang w:eastAsia="en-IN"/>
        </w:rPr>
        <w:t xml:space="preserve"> 2020; </w:t>
      </w:r>
      <w:r w:rsidRPr="00815EB3">
        <w:rPr>
          <w:rFonts w:ascii="Calibri" w:hAnsi="Calibri" w:cs="Calibri"/>
          <w:kern w:val="24"/>
          <w:sz w:val="22"/>
          <w:lang w:eastAsia="en-IN"/>
        </w:rPr>
        <w:t>all the key strategic interventions</w:t>
      </w:r>
      <w:r w:rsidRPr="00815EB3">
        <w:rPr>
          <w:rFonts w:ascii="Calibri" w:hAnsi="Calibri" w:cs="Calibri"/>
          <w:kern w:val="24"/>
          <w:sz w:val="22"/>
          <w:lang w:eastAsia="en-IN"/>
        </w:rPr>
        <w:t xml:space="preserve"> have been affected </w:t>
      </w:r>
      <w:r w:rsidRPr="00815EB3">
        <w:rPr>
          <w:rFonts w:ascii="Calibri" w:hAnsi="Calibri" w:cs="Calibri"/>
          <w:kern w:val="24"/>
          <w:sz w:val="22"/>
          <w:lang w:eastAsia="en-IN"/>
        </w:rPr>
        <w:t>resulting in almost 60% decline in TB notification during the lockdown period</w:t>
      </w:r>
      <w:r w:rsidRPr="00815EB3">
        <w:rPr>
          <w:rFonts w:ascii="Calibri" w:hAnsi="Calibri" w:cs="Calibri"/>
          <w:kern w:val="24"/>
          <w:sz w:val="22"/>
          <w:lang w:eastAsia="en-IN"/>
        </w:rPr>
        <w:t>.</w:t>
      </w:r>
      <w:r w:rsidR="00D50BC6">
        <w:rPr>
          <w:rFonts w:ascii="Calibri" w:hAnsi="Calibri" w:cs="Calibri"/>
          <w:kern w:val="24"/>
          <w:sz w:val="22"/>
          <w:lang w:eastAsia="en-IN"/>
        </w:rPr>
        <w:t xml:space="preserve"> </w:t>
      </w:r>
    </w:p>
    <w:p w14:paraId="19E0E402" w14:textId="620D09BA" w:rsidR="00E1587D" w:rsidRDefault="00D50BC6" w:rsidP="00C129C4">
      <w:pPr>
        <w:spacing w:before="0" w:after="0"/>
        <w:jc w:val="both"/>
        <w:rPr>
          <w:rFonts w:ascii="Calibri" w:hAnsi="Calibri" w:cs="Calibri"/>
          <w:kern w:val="24"/>
          <w:sz w:val="22"/>
          <w:lang w:eastAsia="en-IN"/>
        </w:rPr>
      </w:pPr>
      <w:r>
        <w:rPr>
          <w:rFonts w:ascii="Calibri" w:hAnsi="Calibri" w:cs="Calibri"/>
          <w:kern w:val="24"/>
          <w:sz w:val="22"/>
          <w:lang w:eastAsia="en-IN"/>
        </w:rPr>
        <w:t>Further, e</w:t>
      </w:r>
      <w:r w:rsidR="00ED1FA2" w:rsidRPr="00F2253A">
        <w:rPr>
          <w:rFonts w:ascii="Calibri" w:hAnsi="Calibri" w:cs="Calibri"/>
          <w:kern w:val="24"/>
          <w:sz w:val="22"/>
          <w:lang w:eastAsia="en-IN"/>
        </w:rPr>
        <w:t xml:space="preserve">vidence from previous epidemics that reduced access to care, medicines, and diagnostics for people with life-threatening conditions like TB can lead to an increase of deaths from these underlying conditions. In Guinea, one of the countries at the epicenter of the 2014–2016 Ebola outbreak in West Africa, reduced health </w:t>
      </w:r>
      <w:r w:rsidR="00ED1FA2" w:rsidRPr="000B20CC">
        <w:rPr>
          <w:rFonts w:asciiTheme="minorHAnsi" w:hAnsiTheme="minorHAnsi" w:cstheme="minorHAnsi"/>
          <w:kern w:val="24"/>
          <w:sz w:val="22"/>
          <w:lang w:eastAsia="en-IN"/>
        </w:rPr>
        <w:t>services </w:t>
      </w:r>
      <w:hyperlink r:id="rId72" w:tgtFrame="_blank" w:history="1">
        <w:r w:rsidR="00ED1FA2" w:rsidRPr="000B20CC">
          <w:rPr>
            <w:rFonts w:asciiTheme="minorHAnsi" w:hAnsiTheme="minorHAnsi" w:cstheme="minorHAnsi"/>
            <w:sz w:val="22"/>
          </w:rPr>
          <w:t>led to a 53 percent decrease</w:t>
        </w:r>
      </w:hyperlink>
      <w:r w:rsidR="00ED1FA2" w:rsidRPr="00F2253A">
        <w:rPr>
          <w:rStyle w:val="FootnoteReference"/>
          <w:rFonts w:cs="Calibri"/>
          <w:kern w:val="24"/>
          <w:lang w:eastAsia="en-IN"/>
        </w:rPr>
        <w:footnoteReference w:id="39"/>
      </w:r>
      <w:r w:rsidR="00ED1FA2" w:rsidRPr="00F2253A">
        <w:rPr>
          <w:rFonts w:ascii="Calibri" w:hAnsi="Calibri" w:cs="Calibri"/>
          <w:kern w:val="24"/>
          <w:sz w:val="22"/>
          <w:lang w:eastAsia="en-IN"/>
        </w:rPr>
        <w:t> in the diagnosis of TB—and a doubled mortality rate from it.</w:t>
      </w:r>
      <w:r w:rsidR="00F2253A" w:rsidRPr="00F2253A">
        <w:rPr>
          <w:rFonts w:ascii="Calibri" w:hAnsi="Calibri" w:cs="Calibri"/>
          <w:kern w:val="24"/>
          <w:sz w:val="22"/>
          <w:lang w:eastAsia="en-IN"/>
        </w:rPr>
        <w:t xml:space="preserve"> </w:t>
      </w:r>
    </w:p>
    <w:p w14:paraId="3A456A7C" w14:textId="440E12B3" w:rsidR="00F2253A" w:rsidRDefault="006621C2" w:rsidP="00F10AEA">
      <w:pPr>
        <w:spacing w:before="0" w:after="0"/>
        <w:jc w:val="both"/>
        <w:rPr>
          <w:rFonts w:ascii="Calibri" w:hAnsi="Calibri" w:cs="Calibri"/>
          <w:b/>
          <w:kern w:val="24"/>
          <w:sz w:val="22"/>
          <w:lang w:eastAsia="en-IN"/>
        </w:rPr>
      </w:pPr>
      <w:r>
        <w:rPr>
          <w:rFonts w:ascii="Calibri" w:hAnsi="Calibri" w:cs="Calibri"/>
          <w:kern w:val="24"/>
          <w:sz w:val="22"/>
          <w:lang w:eastAsia="en-IN"/>
        </w:rPr>
        <w:t xml:space="preserve">A recent modelling exercise to understand the </w:t>
      </w:r>
      <w:r w:rsidRPr="006621C2">
        <w:rPr>
          <w:rFonts w:ascii="Calibri" w:hAnsi="Calibri" w:cs="Calibri"/>
          <w:kern w:val="24"/>
          <w:sz w:val="22"/>
          <w:lang w:eastAsia="en-IN"/>
        </w:rPr>
        <w:t>potential impact of short-term</w:t>
      </w:r>
      <w:r w:rsidR="00F10AEA">
        <w:rPr>
          <w:rFonts w:ascii="Calibri" w:hAnsi="Calibri" w:cs="Calibri"/>
          <w:kern w:val="24"/>
          <w:sz w:val="22"/>
          <w:lang w:eastAsia="en-IN"/>
        </w:rPr>
        <w:t xml:space="preserve"> </w:t>
      </w:r>
      <w:r w:rsidR="00F10AEA" w:rsidRPr="006621C2">
        <w:rPr>
          <w:rFonts w:ascii="Calibri" w:hAnsi="Calibri" w:cs="Calibri"/>
          <w:kern w:val="24"/>
          <w:sz w:val="22"/>
          <w:lang w:eastAsia="en-IN"/>
        </w:rPr>
        <w:t>lockdowns</w:t>
      </w:r>
      <w:r w:rsidR="00F10AEA">
        <w:rPr>
          <w:rFonts w:ascii="Calibri" w:hAnsi="Calibri" w:cs="Calibri"/>
          <w:kern w:val="24"/>
          <w:sz w:val="22"/>
          <w:lang w:eastAsia="en-IN"/>
        </w:rPr>
        <w:t xml:space="preserve"> (2 month of lock down and 2 month of restoration)</w:t>
      </w:r>
      <w:r w:rsidRPr="006621C2">
        <w:rPr>
          <w:rFonts w:ascii="Calibri" w:hAnsi="Calibri" w:cs="Calibri"/>
          <w:kern w:val="24"/>
          <w:sz w:val="22"/>
          <w:lang w:eastAsia="en-IN"/>
        </w:rPr>
        <w:t xml:space="preserve"> on TB incidence and mortality over the next 5 years, in high-burden countries</w:t>
      </w:r>
      <w:r>
        <w:rPr>
          <w:rFonts w:ascii="Calibri" w:hAnsi="Calibri" w:cs="Calibri"/>
          <w:kern w:val="24"/>
          <w:sz w:val="22"/>
          <w:lang w:eastAsia="en-IN"/>
        </w:rPr>
        <w:t xml:space="preserve"> estimates that an </w:t>
      </w:r>
      <w:r w:rsidR="00F10AEA">
        <w:rPr>
          <w:rFonts w:ascii="Calibri" w:hAnsi="Calibri" w:cs="Calibri"/>
          <w:kern w:val="24"/>
          <w:sz w:val="22"/>
          <w:lang w:eastAsia="en-IN"/>
        </w:rPr>
        <w:t>additional</w:t>
      </w:r>
      <w:r>
        <w:rPr>
          <w:rFonts w:ascii="Calibri" w:hAnsi="Calibri" w:cs="Calibri"/>
          <w:kern w:val="24"/>
          <w:sz w:val="22"/>
          <w:lang w:eastAsia="en-IN"/>
        </w:rPr>
        <w:t xml:space="preserve"> </w:t>
      </w:r>
      <w:r w:rsidRPr="006621C2">
        <w:rPr>
          <w:rFonts w:ascii="Calibri" w:hAnsi="Calibri" w:cs="Calibri"/>
          <w:kern w:val="24"/>
          <w:sz w:val="22"/>
          <w:lang w:eastAsia="en-IN"/>
        </w:rPr>
        <w:t>514,370</w:t>
      </w:r>
      <w:r>
        <w:rPr>
          <w:rFonts w:ascii="Calibri" w:hAnsi="Calibri" w:cs="Calibri"/>
          <w:kern w:val="24"/>
          <w:sz w:val="22"/>
          <w:lang w:eastAsia="en-IN"/>
        </w:rPr>
        <w:t xml:space="preserve"> cases</w:t>
      </w:r>
      <w:r w:rsidR="00F10AEA">
        <w:rPr>
          <w:rFonts w:ascii="Calibri" w:hAnsi="Calibri" w:cs="Calibri"/>
          <w:kern w:val="24"/>
          <w:sz w:val="22"/>
          <w:lang w:eastAsia="en-IN"/>
        </w:rPr>
        <w:t xml:space="preserve"> and </w:t>
      </w:r>
      <w:r w:rsidR="00F10AEA" w:rsidRPr="00F10AEA">
        <w:rPr>
          <w:rFonts w:ascii="Calibri" w:hAnsi="Calibri" w:cs="Calibri"/>
          <w:kern w:val="24"/>
          <w:sz w:val="22"/>
          <w:lang w:eastAsia="en-IN"/>
        </w:rPr>
        <w:t>151,120</w:t>
      </w:r>
      <w:r w:rsidR="00F10AEA">
        <w:rPr>
          <w:rFonts w:ascii="Calibri" w:hAnsi="Calibri" w:cs="Calibri"/>
          <w:kern w:val="24"/>
          <w:sz w:val="22"/>
          <w:lang w:eastAsia="en-IN"/>
        </w:rPr>
        <w:t xml:space="preserve"> deaths</w:t>
      </w:r>
      <w:r>
        <w:rPr>
          <w:rFonts w:ascii="Calibri" w:hAnsi="Calibri" w:cs="Calibri"/>
          <w:kern w:val="24"/>
          <w:sz w:val="22"/>
          <w:lang w:eastAsia="en-IN"/>
        </w:rPr>
        <w:t xml:space="preserve"> will be added</w:t>
      </w:r>
      <w:r w:rsidR="00F10AEA">
        <w:rPr>
          <w:rFonts w:ascii="Calibri" w:hAnsi="Calibri" w:cs="Calibri"/>
          <w:kern w:val="24"/>
          <w:sz w:val="22"/>
          <w:lang w:eastAsia="en-IN"/>
        </w:rPr>
        <w:t xml:space="preserve"> in India between </w:t>
      </w:r>
      <w:r w:rsidR="00E20F7B">
        <w:rPr>
          <w:rFonts w:ascii="Calibri" w:hAnsi="Calibri" w:cs="Calibri"/>
          <w:kern w:val="24"/>
          <w:sz w:val="22"/>
          <w:lang w:eastAsia="en-IN"/>
        </w:rPr>
        <w:t xml:space="preserve">2020-25 </w:t>
      </w:r>
      <w:r w:rsidR="00F10AEA">
        <w:rPr>
          <w:rFonts w:ascii="Calibri" w:hAnsi="Calibri" w:cs="Calibri"/>
          <w:kern w:val="24"/>
          <w:sz w:val="22"/>
          <w:lang w:eastAsia="en-IN"/>
        </w:rPr>
        <w:t xml:space="preserve">owing to the two month lock down and two month restoration periods. The estimates are much bleaker for protracted lockdowns and slower restoration period. It is </w:t>
      </w:r>
      <w:r w:rsidR="00FE7C95">
        <w:rPr>
          <w:rFonts w:ascii="Calibri" w:hAnsi="Calibri" w:cs="Calibri"/>
          <w:kern w:val="24"/>
          <w:sz w:val="22"/>
          <w:lang w:eastAsia="en-IN"/>
        </w:rPr>
        <w:t>clear</w:t>
      </w:r>
      <w:r w:rsidR="00F10AEA">
        <w:rPr>
          <w:rFonts w:ascii="Calibri" w:hAnsi="Calibri" w:cs="Calibri"/>
          <w:kern w:val="24"/>
          <w:sz w:val="22"/>
          <w:lang w:eastAsia="en-IN"/>
        </w:rPr>
        <w:t xml:space="preserve"> now that </w:t>
      </w:r>
      <w:r w:rsidR="009155A7">
        <w:rPr>
          <w:rFonts w:ascii="Calibri" w:hAnsi="Calibri" w:cs="Calibri"/>
          <w:b/>
          <w:kern w:val="24"/>
          <w:sz w:val="22"/>
          <w:lang w:eastAsia="en-IN"/>
        </w:rPr>
        <w:t>the pandemic will result in severe di</w:t>
      </w:r>
      <w:r w:rsidR="005E764C">
        <w:rPr>
          <w:rFonts w:ascii="Calibri" w:hAnsi="Calibri" w:cs="Calibri"/>
          <w:b/>
          <w:kern w:val="24"/>
          <w:sz w:val="22"/>
          <w:lang w:eastAsia="en-IN"/>
        </w:rPr>
        <w:t>sruptions in NTEP service delivery,</w:t>
      </w:r>
      <w:r w:rsidR="00F10AEA">
        <w:rPr>
          <w:rFonts w:ascii="Calibri" w:hAnsi="Calibri" w:cs="Calibri"/>
          <w:b/>
          <w:kern w:val="24"/>
          <w:sz w:val="22"/>
          <w:lang w:eastAsia="en-IN"/>
        </w:rPr>
        <w:t xml:space="preserve"> </w:t>
      </w:r>
      <w:r w:rsidR="00FE7C95">
        <w:rPr>
          <w:rFonts w:ascii="Calibri" w:hAnsi="Calibri" w:cs="Calibri"/>
          <w:b/>
          <w:kern w:val="24"/>
          <w:sz w:val="22"/>
          <w:lang w:eastAsia="en-IN"/>
        </w:rPr>
        <w:t>and presumptive</w:t>
      </w:r>
      <w:r w:rsidR="005E764C">
        <w:rPr>
          <w:rFonts w:ascii="Calibri" w:hAnsi="Calibri" w:cs="Calibri"/>
          <w:b/>
          <w:kern w:val="24"/>
          <w:sz w:val="22"/>
          <w:lang w:eastAsia="en-IN"/>
        </w:rPr>
        <w:t xml:space="preserve"> TB cases and TB patient’s care seeking be</w:t>
      </w:r>
      <w:r w:rsidR="00F10AEA">
        <w:rPr>
          <w:rFonts w:ascii="Calibri" w:hAnsi="Calibri" w:cs="Calibri"/>
          <w:b/>
          <w:kern w:val="24"/>
          <w:sz w:val="22"/>
          <w:lang w:eastAsia="en-IN"/>
        </w:rPr>
        <w:t xml:space="preserve">haviour with profound consequences on NTPs trying to reach the END TB targets. </w:t>
      </w:r>
      <w:r w:rsidR="005E764C">
        <w:rPr>
          <w:rFonts w:ascii="Calibri" w:hAnsi="Calibri" w:cs="Calibri"/>
          <w:b/>
          <w:kern w:val="24"/>
          <w:sz w:val="22"/>
          <w:lang w:eastAsia="en-IN"/>
        </w:rPr>
        <w:t xml:space="preserve"> </w:t>
      </w:r>
    </w:p>
    <w:p w14:paraId="34ACF445" w14:textId="77777777" w:rsidR="00A315FE" w:rsidRDefault="00A315FE" w:rsidP="0066266C">
      <w:pPr>
        <w:spacing w:before="0" w:after="0"/>
        <w:jc w:val="both"/>
        <w:rPr>
          <w:rFonts w:asciiTheme="minorHAnsi" w:hAnsiTheme="minorHAnsi" w:cstheme="minorHAnsi"/>
          <w:b/>
          <w:sz w:val="22"/>
          <w:shd w:val="clear" w:color="auto" w:fill="FFFFFF"/>
        </w:rPr>
      </w:pPr>
    </w:p>
    <w:p w14:paraId="52B9D805" w14:textId="60145C3B" w:rsidR="0066266C" w:rsidRPr="006A4619" w:rsidRDefault="0066266C" w:rsidP="0066266C">
      <w:pPr>
        <w:spacing w:before="0" w:after="0"/>
        <w:jc w:val="both"/>
        <w:rPr>
          <w:rFonts w:asciiTheme="minorHAnsi" w:hAnsiTheme="minorHAnsi" w:cstheme="minorHAnsi"/>
          <w:b/>
          <w:sz w:val="22"/>
          <w:shd w:val="clear" w:color="auto" w:fill="FFFFFF"/>
        </w:rPr>
      </w:pPr>
      <w:r w:rsidRPr="006A4619">
        <w:rPr>
          <w:rFonts w:asciiTheme="minorHAnsi" w:hAnsiTheme="minorHAnsi" w:cstheme="minorHAnsi"/>
          <w:b/>
          <w:sz w:val="22"/>
          <w:shd w:val="clear" w:color="auto" w:fill="FFFFFF"/>
        </w:rPr>
        <w:t>Specific risks for the National</w:t>
      </w:r>
      <w:r w:rsidR="000A1317">
        <w:rPr>
          <w:rFonts w:asciiTheme="minorHAnsi" w:hAnsiTheme="minorHAnsi" w:cstheme="minorHAnsi"/>
          <w:b/>
          <w:sz w:val="22"/>
          <w:shd w:val="clear" w:color="auto" w:fill="FFFFFF"/>
        </w:rPr>
        <w:t xml:space="preserve"> TB elimination programme’s</w:t>
      </w:r>
      <w:r w:rsidRPr="006A4619">
        <w:rPr>
          <w:rFonts w:asciiTheme="minorHAnsi" w:hAnsiTheme="minorHAnsi" w:cstheme="minorHAnsi"/>
          <w:b/>
          <w:sz w:val="22"/>
          <w:shd w:val="clear" w:color="auto" w:fill="FFFFFF"/>
        </w:rPr>
        <w:t xml:space="preserve"> response include: </w:t>
      </w:r>
    </w:p>
    <w:p w14:paraId="3EA11879" w14:textId="1A7D0F59" w:rsidR="0066266C" w:rsidRPr="006C201A" w:rsidRDefault="0066266C" w:rsidP="009136E5">
      <w:pPr>
        <w:pStyle w:val="ListParagraph"/>
        <w:numPr>
          <w:ilvl w:val="0"/>
          <w:numId w:val="92"/>
        </w:numPr>
        <w:spacing w:before="0" w:after="0"/>
        <w:jc w:val="both"/>
        <w:rPr>
          <w:rFonts w:asciiTheme="minorHAnsi" w:hAnsiTheme="minorHAnsi" w:cstheme="minorHAnsi"/>
          <w:sz w:val="22"/>
          <w:shd w:val="clear" w:color="auto" w:fill="FFFFFF"/>
        </w:rPr>
      </w:pPr>
      <w:r w:rsidRPr="006C201A">
        <w:rPr>
          <w:rFonts w:asciiTheme="minorHAnsi" w:hAnsiTheme="minorHAnsi" w:cstheme="minorHAnsi"/>
          <w:sz w:val="22"/>
          <w:shd w:val="clear" w:color="auto" w:fill="FFFFFF"/>
        </w:rPr>
        <w:t xml:space="preserve">National TB programme staff being drafted into the COVID-19 response, creating staff shortages or increased workloads </w:t>
      </w:r>
    </w:p>
    <w:p w14:paraId="4AC27E02" w14:textId="77777777" w:rsidR="0066266C" w:rsidRPr="006C201A" w:rsidRDefault="0066266C" w:rsidP="009136E5">
      <w:pPr>
        <w:pStyle w:val="ListParagraph"/>
        <w:numPr>
          <w:ilvl w:val="0"/>
          <w:numId w:val="92"/>
        </w:numPr>
        <w:spacing w:before="0" w:after="0"/>
        <w:jc w:val="both"/>
        <w:rPr>
          <w:rFonts w:ascii="Calibri" w:hAnsi="Calibri" w:cs="Calibri"/>
          <w:kern w:val="24"/>
          <w:sz w:val="22"/>
          <w:lang w:eastAsia="en-IN"/>
        </w:rPr>
      </w:pPr>
      <w:r w:rsidRPr="006C201A">
        <w:rPr>
          <w:rFonts w:ascii="Calibri" w:hAnsi="Calibri" w:cs="Calibri"/>
          <w:kern w:val="24"/>
          <w:sz w:val="22"/>
          <w:lang w:eastAsia="en-IN"/>
        </w:rPr>
        <w:t>TB facilities (hospitals, dispensaries) are being used for the COVID-19 response; with these being fully utilized if COVID-19 gets more widespread.</w:t>
      </w:r>
    </w:p>
    <w:p w14:paraId="4534BFEF" w14:textId="427841E7" w:rsidR="0066266C" w:rsidRPr="006C201A" w:rsidRDefault="0066266C" w:rsidP="009136E5">
      <w:pPr>
        <w:pStyle w:val="ListParagraph"/>
        <w:numPr>
          <w:ilvl w:val="0"/>
          <w:numId w:val="92"/>
        </w:numPr>
        <w:spacing w:before="0" w:after="0"/>
        <w:jc w:val="both"/>
        <w:rPr>
          <w:rFonts w:asciiTheme="minorHAnsi" w:hAnsiTheme="minorHAnsi" w:cstheme="minorHAnsi"/>
          <w:sz w:val="22"/>
          <w:shd w:val="clear" w:color="auto" w:fill="FFFFFF"/>
        </w:rPr>
      </w:pPr>
      <w:r w:rsidRPr="006C201A">
        <w:rPr>
          <w:rFonts w:asciiTheme="minorHAnsi" w:hAnsiTheme="minorHAnsi" w:cstheme="minorHAnsi"/>
          <w:sz w:val="22"/>
          <w:shd w:val="clear" w:color="auto" w:fill="FFFFFF"/>
        </w:rPr>
        <w:lastRenderedPageBreak/>
        <w:t>National laboratory and diagnostic services focusing on COVID-19 activities, such that TB laboratory tests like rapid molecular tests and cultures are delayed and there is limited access to chest X-rays,.</w:t>
      </w:r>
    </w:p>
    <w:p w14:paraId="1A85118A" w14:textId="77777777" w:rsidR="0066266C" w:rsidRPr="006C201A" w:rsidRDefault="0066266C" w:rsidP="009136E5">
      <w:pPr>
        <w:pStyle w:val="ListParagraph"/>
        <w:numPr>
          <w:ilvl w:val="0"/>
          <w:numId w:val="92"/>
        </w:numPr>
        <w:spacing w:before="0" w:after="0"/>
        <w:jc w:val="both"/>
        <w:rPr>
          <w:rFonts w:ascii="Calibri" w:hAnsi="Calibri" w:cs="Calibri"/>
          <w:kern w:val="24"/>
          <w:sz w:val="22"/>
          <w:lang w:eastAsia="en-IN"/>
        </w:rPr>
      </w:pPr>
      <w:r w:rsidRPr="006C201A">
        <w:rPr>
          <w:rFonts w:ascii="Calibri" w:hAnsi="Calibri" w:cs="Calibri"/>
          <w:kern w:val="24"/>
          <w:sz w:val="22"/>
          <w:lang w:eastAsia="en-IN"/>
        </w:rPr>
        <w:t xml:space="preserve">Disruptions in sputum transportation and on providing different types of treatment support. </w:t>
      </w:r>
    </w:p>
    <w:p w14:paraId="298F49E6" w14:textId="77777777" w:rsidR="0066266C" w:rsidRPr="006C201A" w:rsidRDefault="0066266C" w:rsidP="009136E5">
      <w:pPr>
        <w:pStyle w:val="ListParagraph"/>
        <w:numPr>
          <w:ilvl w:val="0"/>
          <w:numId w:val="92"/>
        </w:numPr>
        <w:spacing w:before="0" w:after="0"/>
        <w:jc w:val="both"/>
        <w:rPr>
          <w:rFonts w:ascii="Calibri" w:hAnsi="Calibri" w:cs="Calibri"/>
          <w:kern w:val="24"/>
          <w:sz w:val="22"/>
          <w:lang w:eastAsia="en-IN"/>
        </w:rPr>
      </w:pPr>
      <w:r w:rsidRPr="006C201A">
        <w:rPr>
          <w:rFonts w:ascii="Calibri" w:hAnsi="Calibri" w:cs="Calibri"/>
          <w:kern w:val="24"/>
          <w:sz w:val="22"/>
          <w:lang w:eastAsia="en-IN"/>
        </w:rPr>
        <w:t xml:space="preserve">People avoid going to or have no possibilities to reach hospitals and medical clinics due to lockdown and reduced transportation means. </w:t>
      </w:r>
    </w:p>
    <w:p w14:paraId="370A3B90" w14:textId="4A0FDFFE" w:rsidR="0066266C" w:rsidRPr="006C201A" w:rsidRDefault="0066266C" w:rsidP="009136E5">
      <w:pPr>
        <w:pStyle w:val="ListParagraph"/>
        <w:numPr>
          <w:ilvl w:val="0"/>
          <w:numId w:val="92"/>
        </w:numPr>
        <w:spacing w:before="0" w:after="0"/>
        <w:jc w:val="both"/>
        <w:rPr>
          <w:rFonts w:ascii="Calibri" w:hAnsi="Calibri" w:cs="Calibri"/>
          <w:kern w:val="24"/>
          <w:sz w:val="22"/>
          <w:lang w:eastAsia="en-IN"/>
        </w:rPr>
      </w:pPr>
      <w:r w:rsidRPr="006C201A">
        <w:rPr>
          <w:rFonts w:ascii="Calibri" w:hAnsi="Calibri" w:cs="Calibri"/>
          <w:kern w:val="24"/>
          <w:sz w:val="22"/>
          <w:lang w:eastAsia="en-IN"/>
        </w:rPr>
        <w:t xml:space="preserve">A decrease in the number of people presenting/accessing services for TB. </w:t>
      </w:r>
    </w:p>
    <w:p w14:paraId="2C84FCA7" w14:textId="6C8F62B6" w:rsidR="0066266C" w:rsidRPr="006C201A" w:rsidRDefault="0066266C" w:rsidP="009136E5">
      <w:pPr>
        <w:pStyle w:val="ListParagraph"/>
        <w:numPr>
          <w:ilvl w:val="0"/>
          <w:numId w:val="92"/>
        </w:numPr>
        <w:spacing w:before="0" w:after="0"/>
        <w:jc w:val="both"/>
        <w:rPr>
          <w:rFonts w:ascii="Calibri" w:hAnsi="Calibri" w:cs="Calibri"/>
          <w:kern w:val="24"/>
          <w:sz w:val="22"/>
          <w:lang w:eastAsia="en-IN"/>
        </w:rPr>
      </w:pPr>
      <w:r w:rsidRPr="006C201A">
        <w:rPr>
          <w:rFonts w:ascii="Calibri" w:hAnsi="Calibri" w:cs="Calibri"/>
          <w:kern w:val="24"/>
          <w:sz w:val="22"/>
          <w:lang w:eastAsia="en-IN"/>
        </w:rPr>
        <w:t xml:space="preserve">Active TB Case Finding (ACF) activities stopped. </w:t>
      </w:r>
    </w:p>
    <w:p w14:paraId="35A56163" w14:textId="0C335B3D" w:rsidR="005B6A24" w:rsidRDefault="00F51523" w:rsidP="005B6A24">
      <w:pPr>
        <w:pStyle w:val="ListParagraph"/>
        <w:numPr>
          <w:ilvl w:val="0"/>
          <w:numId w:val="92"/>
        </w:numPr>
        <w:spacing w:before="0" w:after="0"/>
        <w:jc w:val="both"/>
        <w:rPr>
          <w:rFonts w:asciiTheme="minorHAnsi" w:hAnsiTheme="minorHAnsi" w:cstheme="minorHAnsi"/>
          <w:sz w:val="22"/>
          <w:shd w:val="clear" w:color="auto" w:fill="FFFFFF"/>
        </w:rPr>
      </w:pPr>
      <w:r>
        <w:rPr>
          <w:rFonts w:asciiTheme="minorHAnsi" w:hAnsiTheme="minorHAnsi" w:cstheme="minorHAnsi"/>
          <w:sz w:val="22"/>
          <w:shd w:val="clear" w:color="auto" w:fill="FFFFFF"/>
        </w:rPr>
        <w:t>Physical</w:t>
      </w:r>
      <w:r w:rsidR="00FE7C95">
        <w:rPr>
          <w:rFonts w:asciiTheme="minorHAnsi" w:hAnsiTheme="minorHAnsi" w:cstheme="minorHAnsi"/>
          <w:sz w:val="22"/>
          <w:shd w:val="clear" w:color="auto" w:fill="FFFFFF"/>
        </w:rPr>
        <w:t>/s</w:t>
      </w:r>
      <w:r w:rsidR="0066266C" w:rsidRPr="006C201A">
        <w:rPr>
          <w:rFonts w:asciiTheme="minorHAnsi" w:hAnsiTheme="minorHAnsi" w:cstheme="minorHAnsi"/>
          <w:sz w:val="22"/>
          <w:shd w:val="clear" w:color="auto" w:fill="FFFFFF"/>
        </w:rPr>
        <w:t xml:space="preserve">ocial distancing measures and national quarantine measures </w:t>
      </w:r>
      <w:r w:rsidR="00FE7C95">
        <w:rPr>
          <w:rFonts w:asciiTheme="minorHAnsi" w:hAnsiTheme="minorHAnsi" w:cstheme="minorHAnsi"/>
          <w:sz w:val="22"/>
          <w:shd w:val="clear" w:color="auto" w:fill="FFFFFF"/>
        </w:rPr>
        <w:t>will</w:t>
      </w:r>
      <w:r w:rsidR="0066266C" w:rsidRPr="006C201A">
        <w:rPr>
          <w:rFonts w:asciiTheme="minorHAnsi" w:hAnsiTheme="minorHAnsi" w:cstheme="minorHAnsi"/>
          <w:sz w:val="22"/>
          <w:shd w:val="clear" w:color="auto" w:fill="FFFFFF"/>
        </w:rPr>
        <w:t xml:space="preserve"> interrupt treatment support and TB contact tracing measures. </w:t>
      </w:r>
    </w:p>
    <w:p w14:paraId="1B89663A" w14:textId="77777777" w:rsidR="005B6A24" w:rsidRPr="006C201A" w:rsidRDefault="005B6A24" w:rsidP="005B6A24">
      <w:pPr>
        <w:pStyle w:val="ListParagraph"/>
        <w:numPr>
          <w:ilvl w:val="0"/>
          <w:numId w:val="92"/>
        </w:numPr>
        <w:spacing w:before="0" w:after="0"/>
        <w:jc w:val="both"/>
        <w:rPr>
          <w:rFonts w:asciiTheme="minorHAnsi" w:hAnsiTheme="minorHAnsi" w:cstheme="minorHAnsi"/>
          <w:sz w:val="22"/>
          <w:shd w:val="clear" w:color="auto" w:fill="FFFFFF"/>
        </w:rPr>
      </w:pPr>
      <w:r w:rsidRPr="006C201A">
        <w:rPr>
          <w:rFonts w:ascii="Calibri" w:hAnsi="Calibri" w:cs="Calibri"/>
          <w:kern w:val="24"/>
          <w:sz w:val="22"/>
          <w:lang w:eastAsia="en-IN"/>
        </w:rPr>
        <w:t>Because of the vulnerability of people with TB and drug-resistant TB to COVID-19 and more aggravated COVID-19 forms with anticipated higher TB mortality; there are significant concerns on management of drug-resistant TB as hospitals are severely affected or moved to COVID-19 response; lack of Personal Protective Equipment for health care providers, with huge workload;</w:t>
      </w:r>
    </w:p>
    <w:p w14:paraId="01238788" w14:textId="77777777" w:rsidR="005B6A24" w:rsidRPr="006C201A" w:rsidRDefault="005B6A24" w:rsidP="005B6A24">
      <w:pPr>
        <w:pStyle w:val="ListParagraph"/>
        <w:numPr>
          <w:ilvl w:val="0"/>
          <w:numId w:val="92"/>
        </w:numPr>
        <w:spacing w:before="0" w:after="0"/>
        <w:jc w:val="both"/>
        <w:rPr>
          <w:rFonts w:asciiTheme="minorHAnsi" w:hAnsiTheme="minorHAnsi" w:cstheme="minorHAnsi"/>
          <w:sz w:val="22"/>
          <w:shd w:val="clear" w:color="auto" w:fill="FFFFFF"/>
        </w:rPr>
      </w:pPr>
      <w:r w:rsidRPr="006C201A">
        <w:rPr>
          <w:rFonts w:asciiTheme="minorHAnsi" w:hAnsiTheme="minorHAnsi" w:cstheme="minorHAnsi"/>
          <w:sz w:val="22"/>
          <w:shd w:val="clear" w:color="auto" w:fill="FFFFFF"/>
        </w:rPr>
        <w:t xml:space="preserve">Drug stock-outs and procurement issues. As global transport networks are reduced and countries involved in the manufacture of TB medications are affected, there may be delays in the procurement chain. If health systems are overwhelmed or there are staff shortages, stock management may be de-prioritized. </w:t>
      </w:r>
      <w:r w:rsidRPr="006C201A">
        <w:rPr>
          <w:rFonts w:ascii="Calibri" w:hAnsi="Calibri" w:cs="Calibri"/>
          <w:kern w:val="24"/>
          <w:sz w:val="22"/>
          <w:lang w:eastAsia="en-IN"/>
        </w:rPr>
        <w:t>Disrupted importation processes of goods, In-country transportation, distribution and warehousing limitations also will create delays.</w:t>
      </w:r>
    </w:p>
    <w:p w14:paraId="4B131252" w14:textId="77777777" w:rsidR="005B6A24" w:rsidRPr="006C201A" w:rsidRDefault="005B6A24" w:rsidP="005B6A24">
      <w:pPr>
        <w:pStyle w:val="ListParagraph"/>
        <w:numPr>
          <w:ilvl w:val="0"/>
          <w:numId w:val="92"/>
        </w:numPr>
        <w:spacing w:before="0" w:after="0"/>
        <w:jc w:val="both"/>
        <w:rPr>
          <w:rFonts w:ascii="Calibri" w:hAnsi="Calibri" w:cs="Calibri"/>
          <w:kern w:val="24"/>
          <w:sz w:val="22"/>
          <w:lang w:eastAsia="en-IN"/>
        </w:rPr>
      </w:pPr>
      <w:r w:rsidRPr="006C201A">
        <w:rPr>
          <w:rFonts w:ascii="Calibri" w:hAnsi="Calibri" w:cs="Calibri"/>
          <w:kern w:val="24"/>
          <w:sz w:val="22"/>
          <w:lang w:eastAsia="en-IN"/>
        </w:rPr>
        <w:t xml:space="preserve">Domestic funding constraints for TB commodities procurement while allocating all available resources combating COVID-19. </w:t>
      </w:r>
    </w:p>
    <w:p w14:paraId="7DCD8FEA" w14:textId="77777777" w:rsidR="005B6A24" w:rsidRDefault="005B6A24" w:rsidP="005B6A24">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 xml:space="preserve">21.2 </w:t>
      </w:r>
      <w:r w:rsidRPr="00C45A90">
        <w:rPr>
          <w:rFonts w:asciiTheme="minorHAnsi" w:hAnsiTheme="minorHAnsi" w:cstheme="minorHAnsi"/>
          <w:b/>
          <w:color w:val="C86A07" w:themeColor="accent2" w:themeShade="BF"/>
          <w:sz w:val="28"/>
          <w:lang w:val="en"/>
        </w:rPr>
        <w:t>THE WAY FORWARD</w:t>
      </w:r>
      <w:r>
        <w:rPr>
          <w:rFonts w:asciiTheme="minorHAnsi" w:hAnsiTheme="minorHAnsi" w:cstheme="minorHAnsi"/>
          <w:b/>
          <w:color w:val="C86A07" w:themeColor="accent2" w:themeShade="BF"/>
          <w:sz w:val="28"/>
          <w:lang w:val="en"/>
        </w:rPr>
        <w:t xml:space="preserve">:  </w:t>
      </w:r>
    </w:p>
    <w:p w14:paraId="5216FDEA" w14:textId="74A6A8E7" w:rsidR="005B6A24" w:rsidRDefault="005B6A24" w:rsidP="005B6A24">
      <w:pPr>
        <w:jc w:val="both"/>
        <w:rPr>
          <w:rFonts w:asciiTheme="minorHAnsi" w:hAnsiTheme="minorHAnsi" w:cstheme="minorHAnsi"/>
          <w:b/>
          <w:sz w:val="22"/>
          <w:lang w:val="en"/>
        </w:rPr>
      </w:pPr>
      <w:r w:rsidRPr="00980A69">
        <w:rPr>
          <w:rFonts w:asciiTheme="minorHAnsi" w:hAnsiTheme="minorHAnsi" w:cstheme="minorHAnsi"/>
          <w:b/>
          <w:sz w:val="22"/>
          <w:lang w:val="en"/>
        </w:rPr>
        <w:t>In the near future, the WHO and other international agencies will come up with guidance for addressing the challenges faced by the NTPs around the world</w:t>
      </w:r>
      <w:r>
        <w:rPr>
          <w:rFonts w:asciiTheme="minorHAnsi" w:hAnsiTheme="minorHAnsi" w:cstheme="minorHAnsi"/>
          <w:b/>
          <w:sz w:val="22"/>
          <w:lang w:val="en"/>
        </w:rPr>
        <w:t xml:space="preserve"> owing to the pandemic</w:t>
      </w:r>
      <w:r w:rsidRPr="00980A69">
        <w:rPr>
          <w:rFonts w:asciiTheme="minorHAnsi" w:hAnsiTheme="minorHAnsi" w:cstheme="minorHAnsi"/>
          <w:b/>
          <w:sz w:val="22"/>
          <w:lang w:val="en"/>
        </w:rPr>
        <w:t>, based on evidence and lessons learned.</w:t>
      </w:r>
      <w:r>
        <w:rPr>
          <w:rFonts w:asciiTheme="minorHAnsi" w:hAnsiTheme="minorHAnsi" w:cstheme="minorHAnsi"/>
          <w:b/>
          <w:sz w:val="22"/>
          <w:lang w:val="en"/>
        </w:rPr>
        <w:t xml:space="preserve"> The national guidance will be updated based on these whenever available. In the meantime, </w:t>
      </w:r>
      <w:r w:rsidRPr="00980A69">
        <w:rPr>
          <w:rFonts w:asciiTheme="minorHAnsi" w:hAnsiTheme="minorHAnsi" w:cstheme="minorHAnsi"/>
          <w:b/>
          <w:sz w:val="22"/>
          <w:lang w:val="en"/>
        </w:rPr>
        <w:t>NTEP has developed a strategy to aggressively counter the impact of the lock down and</w:t>
      </w:r>
      <w:r>
        <w:rPr>
          <w:rFonts w:asciiTheme="minorHAnsi" w:hAnsiTheme="minorHAnsi" w:cstheme="minorHAnsi"/>
          <w:b/>
          <w:sz w:val="22"/>
          <w:lang w:val="en"/>
        </w:rPr>
        <w:t xml:space="preserve"> proposes steps to be undertaken during the </w:t>
      </w:r>
      <w:r w:rsidR="005D47AA">
        <w:rPr>
          <w:rFonts w:asciiTheme="minorHAnsi" w:hAnsiTheme="minorHAnsi" w:cstheme="minorHAnsi"/>
          <w:b/>
          <w:sz w:val="22"/>
          <w:lang w:val="en"/>
        </w:rPr>
        <w:t>upcoming</w:t>
      </w:r>
      <w:bookmarkStart w:id="57" w:name="_GoBack"/>
      <w:bookmarkEnd w:id="57"/>
      <w:r>
        <w:rPr>
          <w:rFonts w:asciiTheme="minorHAnsi" w:hAnsiTheme="minorHAnsi" w:cstheme="minorHAnsi"/>
          <w:b/>
          <w:sz w:val="22"/>
          <w:lang w:val="en"/>
        </w:rPr>
        <w:t xml:space="preserve"> months. </w:t>
      </w:r>
    </w:p>
    <w:tbl>
      <w:tblPr>
        <w:tblpPr w:leftFromText="180" w:rightFromText="180" w:vertAnchor="text" w:tblpY="746"/>
        <w:tblW w:w="8908" w:type="dxa"/>
        <w:tblBorders>
          <w:top w:val="single" w:sz="4" w:space="0" w:color="CD630B" w:themeColor="accent4" w:themeShade="80"/>
          <w:bottom w:val="single" w:sz="4" w:space="0" w:color="CD630B" w:themeColor="accent4" w:themeShade="80"/>
          <w:insideH w:val="single" w:sz="4" w:space="0" w:color="CD630B" w:themeColor="accent4" w:themeShade="80"/>
          <w:insideV w:val="single" w:sz="4" w:space="0" w:color="CD630B" w:themeColor="accent4" w:themeShade="80"/>
        </w:tblBorders>
        <w:tblLook w:val="04A0" w:firstRow="1" w:lastRow="0" w:firstColumn="1" w:lastColumn="0" w:noHBand="0" w:noVBand="1"/>
      </w:tblPr>
      <w:tblGrid>
        <w:gridCol w:w="8908"/>
      </w:tblGrid>
      <w:tr w:rsidR="005C6A08" w:rsidRPr="005C6A08" w14:paraId="60011E9D" w14:textId="77777777" w:rsidTr="00362C85">
        <w:tc>
          <w:tcPr>
            <w:tcW w:w="8908" w:type="dxa"/>
          </w:tcPr>
          <w:p w14:paraId="382D0AC2" w14:textId="326C3EDB"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t>D</w:t>
            </w:r>
            <w:r w:rsidRPr="005C6A08">
              <w:rPr>
                <w:rFonts w:asciiTheme="minorHAnsi" w:eastAsia="Times New Roman" w:hAnsiTheme="minorHAnsi" w:cstheme="minorHAnsi"/>
                <w:b/>
                <w:sz w:val="22"/>
                <w:lang w:eastAsia="en-IN"/>
              </w:rPr>
              <w:t>iagnostic Algorithm</w:t>
            </w:r>
          </w:p>
          <w:p w14:paraId="33027D4F" w14:textId="43CF7101"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Inclusion of bi-directional TB-COVID screening: COVID screening for all diagnosed TB patients and TB screening for all COVID positive patients  (detailed note placed at Annexure 1) </w:t>
            </w:r>
          </w:p>
          <w:p w14:paraId="018E0875" w14:textId="14A63D40"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TB screening and testing for all presumptive ILI/SARI/COVID cases in all COVID Zones (detailed note placed at Annexure 1)</w:t>
            </w:r>
          </w:p>
          <w:p w14:paraId="40E7324B" w14:textId="7AC735EE"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Integrated TB-COVID laboratory services including pretreatment evaluations for DR-TB and DS-TB for optimal utilization of platform technologies</w:t>
            </w:r>
          </w:p>
          <w:p w14:paraId="00812D29" w14:textId="33DC6456"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Restore diagnostics capacity currently diverted for COVID-19 testing by provisioning additional equipments</w:t>
            </w:r>
          </w:p>
          <w:p w14:paraId="76AE2887" w14:textId="1C988338"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Referral linkages to COVID Care Centres, COVID Health Centres and COVID dedicated hospitals</w:t>
            </w:r>
          </w:p>
          <w:p w14:paraId="1255AA73" w14:textId="29E6E8F0"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Introduce lung health concept providing diagnostic services for all priority acute / chronic respiratory diseases with the support of free diagnostic initiative</w:t>
            </w:r>
          </w:p>
          <w:p w14:paraId="7B78AFE7"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Biomedical Waste Management (BMWM): Adequate disposal of waste as per standard biomedical waste management guidelines </w:t>
            </w:r>
          </w:p>
        </w:tc>
      </w:tr>
      <w:tr w:rsidR="005C6A08" w:rsidRPr="005C6A08" w14:paraId="5A70C41A" w14:textId="77777777" w:rsidTr="00362C85">
        <w:tc>
          <w:tcPr>
            <w:tcW w:w="8908" w:type="dxa"/>
          </w:tcPr>
          <w:p w14:paraId="260043E1"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t xml:space="preserve">Case Finding - </w:t>
            </w:r>
            <w:r w:rsidRPr="005C6A08">
              <w:rPr>
                <w:rFonts w:asciiTheme="minorHAnsi" w:eastAsia="Times New Roman" w:hAnsiTheme="minorHAnsi" w:cstheme="minorHAnsi"/>
                <w:b/>
                <w:sz w:val="22"/>
                <w:lang w:eastAsia="en-IN"/>
              </w:rPr>
              <w:t>Public Sector</w:t>
            </w:r>
          </w:p>
          <w:p w14:paraId="7338D638"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Intensified case finding for TB &amp; COVID in priority OPDs like Chest, Medicine, HIV, Paediatrics, Dialysis, NCD, Cancer, etc</w:t>
            </w:r>
          </w:p>
          <w:p w14:paraId="667F071F"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lastRenderedPageBreak/>
              <w:t xml:space="preserve">Decentralized molecular diagnostics at block levels for TB &amp; COVID screening – </w:t>
            </w:r>
            <w:r w:rsidRPr="005C6A08">
              <w:rPr>
                <w:rFonts w:asciiTheme="minorHAnsi" w:eastAsia="Times New Roman" w:hAnsiTheme="minorHAnsi" w:cstheme="minorHAnsi"/>
                <w:b/>
                <w:sz w:val="22"/>
                <w:lang w:eastAsia="en-IN"/>
              </w:rPr>
              <w:t>Replacement of smear microscopy by NAAT testing</w:t>
            </w:r>
            <w:r w:rsidRPr="005C6A08">
              <w:rPr>
                <w:rFonts w:asciiTheme="minorHAnsi" w:eastAsia="Times New Roman" w:hAnsiTheme="minorHAnsi" w:cstheme="minorHAnsi"/>
                <w:sz w:val="22"/>
                <w:lang w:eastAsia="en-IN"/>
              </w:rPr>
              <w:t xml:space="preserve"> for all presumptive TB cases</w:t>
            </w:r>
          </w:p>
          <w:p w14:paraId="324115F1"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Effective sample collection and transportation system from Sub Centre to PHC, PHC to CHC and from CHC to District /CDST/IRLs</w:t>
            </w:r>
          </w:p>
          <w:p w14:paraId="05F384B0"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b/>
                <w:sz w:val="22"/>
                <w:lang w:eastAsia="en-IN"/>
              </w:rPr>
              <w:t>Home sample collection services</w:t>
            </w:r>
            <w:r w:rsidRPr="005C6A08">
              <w:rPr>
                <w:rFonts w:asciiTheme="minorHAnsi" w:eastAsia="Times New Roman" w:hAnsiTheme="minorHAnsi" w:cstheme="minorHAnsi"/>
                <w:sz w:val="22"/>
                <w:lang w:eastAsia="en-IN"/>
              </w:rPr>
              <w:t xml:space="preserve"> in Red Zones / Containment areas</w:t>
            </w:r>
          </w:p>
          <w:p w14:paraId="6A360803"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Active TB case finding campaign in green zone and areas with no / minimal COVID cases</w:t>
            </w:r>
          </w:p>
          <w:p w14:paraId="35DE3E25"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Hand washing facilities or corners may be established at the government health facilities and patients need to be educated for mandatory use of mask, physical distancing, and cough etiquette as per directives of the government. </w:t>
            </w:r>
          </w:p>
          <w:p w14:paraId="2A02F03A"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SHC - Health &amp; Wellness Centres (HWCs) through </w:t>
            </w:r>
          </w:p>
          <w:p w14:paraId="4DC6B24B"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CBAC and house to house survey</w:t>
            </w:r>
          </w:p>
          <w:p w14:paraId="5AB2BD30"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Population enumeration and enlisting vulnerable population (pre-designed checklist) and quarterly house to house systematic active case finding among vulnerable population</w:t>
            </w:r>
          </w:p>
          <w:p w14:paraId="1610C164"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Ensuring follow-up of symptomatic but sputum negative cases for completion of diagnostic algorithm including X-ray</w:t>
            </w:r>
          </w:p>
          <w:p w14:paraId="1BD7E2D6"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Tele-consultation and video-consultation for SHC-HWC with CHC/DH </w:t>
            </w:r>
          </w:p>
          <w:p w14:paraId="4425E67C"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b/>
                <w:sz w:val="22"/>
                <w:lang w:eastAsia="en-IN"/>
              </w:rPr>
              <w:t>Contact tracing for close household and workplace contacts</w:t>
            </w:r>
            <w:r w:rsidRPr="005C6A08">
              <w:rPr>
                <w:rFonts w:asciiTheme="minorHAnsi" w:eastAsia="Times New Roman" w:hAnsiTheme="minorHAnsi" w:cstheme="minorHAnsi"/>
                <w:sz w:val="22"/>
                <w:lang w:eastAsia="en-IN"/>
              </w:rPr>
              <w:t xml:space="preserve"> for all infectious TB cases</w:t>
            </w:r>
          </w:p>
          <w:p w14:paraId="7D080C78"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Rule out active TB and initiate close contacts on TB preventive therapy (TPT)</w:t>
            </w:r>
          </w:p>
          <w:p w14:paraId="38D3473D"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Monitor and follow up contacts for quarterly screening and adherence to TPT</w:t>
            </w:r>
          </w:p>
          <w:p w14:paraId="1C60BB84"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shd w:val="clear" w:color="auto" w:fill="FFFFFF"/>
                <w:lang w:eastAsia="en-IN"/>
              </w:rPr>
              <w:t>A systematic active TB case finding campaign to be initiated after mapping of those areas with rapid decline of TB case notification due to COVID-19 especially in the green and orange zone initially. While undertaking such activities, mass media should be judiciously utilized, and all relevant local stakeholders should be taken into confidence to avoid unnecessary gathering of the patients or healthcare workers</w:t>
            </w:r>
          </w:p>
          <w:p w14:paraId="46066DF3"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b/>
                <w:sz w:val="22"/>
                <w:lang w:eastAsia="en-IN"/>
              </w:rPr>
              <w:t>Special strategy for Urban Slums</w:t>
            </w:r>
            <w:r w:rsidRPr="005C6A08">
              <w:rPr>
                <w:rFonts w:asciiTheme="minorHAnsi" w:eastAsia="Times New Roman" w:hAnsiTheme="minorHAnsi" w:cstheme="minorHAnsi"/>
                <w:sz w:val="22"/>
                <w:lang w:eastAsia="en-IN"/>
              </w:rPr>
              <w:t xml:space="preserve"> – In collaboration with NUHM and Urban Local Bodies; mobile vans, doorstep screening, sample collection &amp; transportation, referral linkages for diagnosis &amp; treatment</w:t>
            </w:r>
          </w:p>
          <w:p w14:paraId="7FB4E98D"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b/>
                <w:sz w:val="22"/>
                <w:lang w:eastAsia="en-IN"/>
              </w:rPr>
              <w:t>Migrants Strategy</w:t>
            </w:r>
            <w:r w:rsidRPr="005C6A08">
              <w:rPr>
                <w:rFonts w:asciiTheme="minorHAnsi" w:eastAsia="Times New Roman" w:hAnsiTheme="minorHAnsi" w:cstheme="minorHAnsi"/>
                <w:sz w:val="22"/>
                <w:lang w:eastAsia="en-IN"/>
              </w:rPr>
              <w:t xml:space="preserve">– migrants mapping, camp-based approach, active case finding, patient tracking and patient support </w:t>
            </w:r>
          </w:p>
        </w:tc>
      </w:tr>
      <w:tr w:rsidR="005C6A08" w:rsidRPr="005C6A08" w14:paraId="4139606A" w14:textId="77777777" w:rsidTr="00362C85">
        <w:tc>
          <w:tcPr>
            <w:tcW w:w="8908" w:type="dxa"/>
          </w:tcPr>
          <w:p w14:paraId="331FF948"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lastRenderedPageBreak/>
              <w:t xml:space="preserve">Case Finding - </w:t>
            </w:r>
            <w:r w:rsidRPr="005C6A08">
              <w:rPr>
                <w:rFonts w:asciiTheme="minorHAnsi" w:eastAsia="Times New Roman" w:hAnsiTheme="minorHAnsi" w:cstheme="minorHAnsi"/>
                <w:b/>
                <w:sz w:val="22"/>
                <w:lang w:eastAsia="en-IN"/>
              </w:rPr>
              <w:t>Private Sector</w:t>
            </w:r>
          </w:p>
          <w:p w14:paraId="6CAAFED8"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Directive through local administration for reopening private clinics / hospitals / laboratories</w:t>
            </w:r>
          </w:p>
          <w:p w14:paraId="76FF8D71"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shd w:val="clear" w:color="auto" w:fill="FFFFFF"/>
                <w:lang w:eastAsia="en-IN"/>
              </w:rPr>
              <w:t>IMA, IAP, ICS, FOGSI and other professional medical bodies may be issued instructions from state administration for provision of TB care and should be informed about mandatory notification and availability of provision for free drugs and diagnostics from NTEP</w:t>
            </w:r>
          </w:p>
          <w:p w14:paraId="44E21452"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Personalized outreach through JEET / PPSA / Other NGO / NTEP staff to private providers for reopening facilities – Focus on high volume private practitioners / hospitals / facilities</w:t>
            </w:r>
          </w:p>
          <w:p w14:paraId="303279C3"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During physical visit to private provider physical distancing norms, wearing of masks, cough etiquettes, hand washing, etc should be followed. Advice the private provider that notification can also be made by calling Nikshay Sampark at 1800-11-6666 and providing patient details.</w:t>
            </w:r>
          </w:p>
          <w:p w14:paraId="1B75FDDE"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Patient support to existing private sector TB patients through JEET / PPSA / Other NGO / NTEP staff physically</w:t>
            </w:r>
          </w:p>
          <w:p w14:paraId="1898E0D4"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E-pharmacy, doorstep sample collection and inclusion of private courier services/postal services</w:t>
            </w:r>
          </w:p>
          <w:p w14:paraId="3BF5DAD1"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Focused enforcement of mandatory notification and Schedule H1 implementation – monitoring drug sales in private sector</w:t>
            </w:r>
          </w:p>
          <w:p w14:paraId="61D8476F"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Utilization of call centre (NIKSHAY SAMPARK) and other state level call numbers for </w:t>
            </w:r>
            <w:r w:rsidRPr="005C6A08">
              <w:rPr>
                <w:rFonts w:asciiTheme="minorHAnsi" w:eastAsia="Times New Roman" w:hAnsiTheme="minorHAnsi" w:cstheme="minorHAnsi"/>
                <w:sz w:val="22"/>
                <w:lang w:eastAsia="en-IN"/>
              </w:rPr>
              <w:lastRenderedPageBreak/>
              <w:t>follow up, drug refills, treatment outcomes</w:t>
            </w:r>
          </w:p>
        </w:tc>
      </w:tr>
      <w:tr w:rsidR="005C6A08" w:rsidRPr="005C6A08" w14:paraId="0F77E658" w14:textId="77777777" w:rsidTr="00362C85">
        <w:tc>
          <w:tcPr>
            <w:tcW w:w="8908" w:type="dxa"/>
          </w:tcPr>
          <w:p w14:paraId="51349C59"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lastRenderedPageBreak/>
              <w:t>Sample collection and transportation services</w:t>
            </w:r>
          </w:p>
          <w:p w14:paraId="6A5ED400"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sz w:val="22"/>
                <w:lang w:eastAsia="en-IN"/>
              </w:rPr>
              <w:t>Collecting of sputum samples:</w:t>
            </w:r>
          </w:p>
          <w:p w14:paraId="52F803C0"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Collection of sputum is to be carried out in open well-ventilated area in public as well as private labs. </w:t>
            </w:r>
            <w:r w:rsidRPr="005C6A08">
              <w:rPr>
                <w:rFonts w:asciiTheme="minorHAnsi" w:hAnsiTheme="minorHAnsi" w:cstheme="minorHAnsi"/>
                <w:sz w:val="22"/>
              </w:rPr>
              <w:t xml:space="preserve">Health </w:t>
            </w:r>
            <w:r w:rsidRPr="005C6A08">
              <w:rPr>
                <w:rFonts w:asciiTheme="minorHAnsi" w:eastAsia="Times New Roman" w:hAnsiTheme="minorHAnsi" w:cstheme="minorHAnsi"/>
                <w:sz w:val="22"/>
                <w:lang w:eastAsia="en-IN"/>
              </w:rPr>
              <w:t xml:space="preserve">Care Workers (HCWS) should observe Standard Operational Procedures </w:t>
            </w:r>
            <w:r w:rsidRPr="005C6A08">
              <w:rPr>
                <w:rFonts w:asciiTheme="minorHAnsi" w:hAnsiTheme="minorHAnsi" w:cstheme="minorHAnsi"/>
                <w:sz w:val="22"/>
              </w:rPr>
              <w:t>(</w:t>
            </w:r>
            <w:r w:rsidRPr="005C6A08">
              <w:rPr>
                <w:rFonts w:asciiTheme="minorHAnsi" w:eastAsia="Times New Roman" w:hAnsiTheme="minorHAnsi" w:cstheme="minorHAnsi"/>
                <w:sz w:val="22"/>
                <w:lang w:eastAsia="en-IN"/>
              </w:rPr>
              <w:t>SOPs</w:t>
            </w:r>
            <w:r w:rsidRPr="005C6A08">
              <w:rPr>
                <w:rFonts w:asciiTheme="minorHAnsi" w:hAnsiTheme="minorHAnsi" w:cstheme="minorHAnsi"/>
                <w:sz w:val="22"/>
              </w:rPr>
              <w:t>)</w:t>
            </w:r>
            <w:r w:rsidRPr="005C6A08">
              <w:rPr>
                <w:rFonts w:asciiTheme="minorHAnsi" w:eastAsia="Times New Roman" w:hAnsiTheme="minorHAnsi" w:cstheme="minorHAnsi"/>
                <w:sz w:val="22"/>
                <w:lang w:eastAsia="en-IN"/>
              </w:rPr>
              <w:t xml:space="preserve"> for sample collection and handling.</w:t>
            </w:r>
          </w:p>
          <w:p w14:paraId="0FB4D157"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Until specimen transport mechanism is completely restored, only priority specimens (including specimens from People Living with HIV/ AIDS, Paediatric, Extra-pulmonary) to be sent to the linked laboratory for diagnosis.</w:t>
            </w:r>
          </w:p>
          <w:p w14:paraId="26CFC25C"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These specimens are to be stored in the refrigerator (2-8 degree Celsius) with appropriate labelling (including patient name, NIKSHAY-ID and date of specimen collection) for subsequent testing. </w:t>
            </w:r>
          </w:p>
          <w:p w14:paraId="0B600F67"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sz w:val="22"/>
                <w:lang w:eastAsia="en-IN"/>
              </w:rPr>
              <w:t>Reception and unpacking in the laboratory:</w:t>
            </w:r>
          </w:p>
          <w:p w14:paraId="7F3B9CEF"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Washing hands with soap and water after collecting, receiving and testing specimens.</w:t>
            </w:r>
          </w:p>
          <w:p w14:paraId="2D0077B5"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Not eating/ drinking in the laboratory area</w:t>
            </w:r>
          </w:p>
          <w:p w14:paraId="05FD3067"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Restricting access to the laboratory premises. In laboratories with more than one technician posted, adequate distance between the personnel must be maintained.</w:t>
            </w:r>
          </w:p>
          <w:p w14:paraId="5D368422"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sz w:val="22"/>
                <w:lang w:eastAsia="en-IN"/>
              </w:rPr>
              <w:t>Universal safety precautions including appropriate disposal of biomedical waste and repeated hand washing must be strictly followed while receiving and testing samples along with social distancing advisory implementation.</w:t>
            </w:r>
          </w:p>
        </w:tc>
      </w:tr>
      <w:tr w:rsidR="005C6A08" w:rsidRPr="005C6A08" w14:paraId="5E33822A" w14:textId="77777777" w:rsidTr="00362C85">
        <w:tc>
          <w:tcPr>
            <w:tcW w:w="8908" w:type="dxa"/>
          </w:tcPr>
          <w:p w14:paraId="05CC7738"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t>Treatment Services</w:t>
            </w:r>
          </w:p>
          <w:p w14:paraId="10064A22"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b/>
                <w:sz w:val="22"/>
                <w:lang w:eastAsia="en-IN"/>
              </w:rPr>
              <w:t>Modified DOT modalities</w:t>
            </w:r>
            <w:r w:rsidRPr="005C6A08">
              <w:rPr>
                <w:rFonts w:asciiTheme="minorHAnsi" w:eastAsia="Times New Roman" w:hAnsiTheme="minorHAnsi" w:cstheme="minorHAnsi"/>
                <w:sz w:val="22"/>
                <w:lang w:eastAsia="en-IN"/>
              </w:rPr>
              <w:t xml:space="preserve"> – through CHO SHC/HWC, digital adherence technologies, call centre, treatment supporter – family DOTS</w:t>
            </w:r>
          </w:p>
          <w:p w14:paraId="5C56A2F6"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Provide at least </w:t>
            </w:r>
            <w:r w:rsidRPr="005C6A08">
              <w:rPr>
                <w:rFonts w:asciiTheme="minorHAnsi" w:eastAsia="Times New Roman" w:hAnsiTheme="minorHAnsi" w:cstheme="minorHAnsi"/>
                <w:b/>
                <w:sz w:val="22"/>
                <w:lang w:eastAsia="en-IN"/>
              </w:rPr>
              <w:t>monthly supply of drugs</w:t>
            </w:r>
            <w:r w:rsidRPr="005C6A08">
              <w:rPr>
                <w:rFonts w:asciiTheme="minorHAnsi" w:eastAsia="Times New Roman" w:hAnsiTheme="minorHAnsi" w:cstheme="minorHAnsi"/>
                <w:sz w:val="22"/>
                <w:lang w:eastAsia="en-IN"/>
              </w:rPr>
              <w:t xml:space="preserve"> with the option of </w:t>
            </w:r>
            <w:r w:rsidRPr="005C6A08">
              <w:rPr>
                <w:rFonts w:asciiTheme="minorHAnsi" w:eastAsia="Times New Roman" w:hAnsiTheme="minorHAnsi" w:cstheme="minorHAnsi"/>
                <w:b/>
                <w:sz w:val="22"/>
                <w:lang w:eastAsia="en-IN"/>
              </w:rPr>
              <w:t>home delivery</w:t>
            </w:r>
          </w:p>
          <w:p w14:paraId="02B6A272"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State / District program managers and field functionaries should ensure there is adequate stock of anti-tubercular drugs available with the programme as well as the private chemists to cater to the patients currently on treatment in their respective geographical area.</w:t>
            </w:r>
          </w:p>
          <w:p w14:paraId="3382922F"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Decentralized drug refills through home visits by SHC-HWC and through JEET/PPSA/NGOs in urban areas/intervention areas</w:t>
            </w:r>
          </w:p>
          <w:p w14:paraId="332ED358"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Monitoring of Adverse Drug Reactions through call centre, tele-consultation </w:t>
            </w:r>
          </w:p>
          <w:p w14:paraId="266E9F47"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Universal DST and Pre-treatment evaluations for DR-TB to bridge gap between diagnosed and initiated on treatment</w:t>
            </w:r>
          </w:p>
          <w:p w14:paraId="7CE12521"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Utilization of </w:t>
            </w:r>
            <w:r w:rsidRPr="005C6A08">
              <w:rPr>
                <w:rFonts w:asciiTheme="minorHAnsi" w:eastAsia="Times New Roman" w:hAnsiTheme="minorHAnsi" w:cstheme="minorHAnsi"/>
                <w:b/>
                <w:sz w:val="22"/>
                <w:lang w:eastAsia="en-IN"/>
              </w:rPr>
              <w:t>isolation facility for infectious DS-TB / DR-TB patients</w:t>
            </w:r>
          </w:p>
          <w:p w14:paraId="645A67FC"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Intensified co-morbidity management – HIV, DM, other NCDs including TB-COVID. Cross referrals and linkages for diagnosis, co-morbidity management and continuum of care</w:t>
            </w:r>
          </w:p>
          <w:p w14:paraId="7B541844"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b/>
                <w:sz w:val="22"/>
                <w:lang w:eastAsia="en-IN"/>
              </w:rPr>
              <w:t>Management of other priority acute / chronic respiratory illnesses</w:t>
            </w:r>
            <w:r w:rsidRPr="005C6A08">
              <w:rPr>
                <w:rFonts w:asciiTheme="minorHAnsi" w:eastAsia="Times New Roman" w:hAnsiTheme="minorHAnsi" w:cstheme="minorHAnsi"/>
                <w:sz w:val="22"/>
                <w:lang w:eastAsia="en-IN"/>
              </w:rPr>
              <w:t xml:space="preserve"> with support of free drugs initiative </w:t>
            </w:r>
          </w:p>
          <w:p w14:paraId="6433F438"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b/>
                <w:sz w:val="22"/>
                <w:lang w:eastAsia="en-IN"/>
              </w:rPr>
              <w:t>Airborne Infection Control</w:t>
            </w:r>
            <w:r w:rsidRPr="005C6A08">
              <w:rPr>
                <w:rFonts w:asciiTheme="minorHAnsi" w:eastAsia="Times New Roman" w:hAnsiTheme="minorHAnsi" w:cstheme="minorHAnsi"/>
                <w:sz w:val="22"/>
                <w:lang w:eastAsia="en-IN"/>
              </w:rPr>
              <w:t xml:space="preserve"> in all public health facilities in OPD/IPD, patient registration/waiting areas etc to ensure infection control, adequate social distancing, and staff safety (e.g. disinfection protocols, patient appointment system etc.)</w:t>
            </w:r>
          </w:p>
          <w:p w14:paraId="382CEA93"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sz w:val="22"/>
                <w:lang w:eastAsia="en-IN"/>
              </w:rPr>
              <w:t>Consultation / Treatment in an OPD setting</w:t>
            </w:r>
          </w:p>
          <w:p w14:paraId="2E2FE843"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Opening of OPD should be based on directions as per orders of the local administration. Clear timings of the clinical practice to be mentioned</w:t>
            </w:r>
          </w:p>
          <w:p w14:paraId="7EEE2A87"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For individuals showing up at facilities providing non COVID essential services in exceptional cases, </w:t>
            </w:r>
            <w:r w:rsidRPr="005C6A08">
              <w:rPr>
                <w:rFonts w:asciiTheme="minorHAnsi" w:eastAsia="Times New Roman" w:hAnsiTheme="minorHAnsi" w:cstheme="minorHAnsi"/>
                <w:b/>
                <w:sz w:val="22"/>
                <w:lang w:eastAsia="en-IN"/>
              </w:rPr>
              <w:t>triaging</w:t>
            </w:r>
            <w:r w:rsidRPr="005C6A08">
              <w:rPr>
                <w:rFonts w:asciiTheme="minorHAnsi" w:eastAsia="Times New Roman" w:hAnsiTheme="minorHAnsi" w:cstheme="minorHAnsi"/>
                <w:sz w:val="22"/>
                <w:lang w:eastAsia="en-IN"/>
              </w:rPr>
              <w:t xml:space="preserve"> should be carried out. </w:t>
            </w:r>
          </w:p>
          <w:p w14:paraId="11E2753B"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Entry point screening during triaging would help minimize contact between probable COVID and non COVID cases. If possible, temporary structures outside the public facilities could be set up to facilitate triaging.</w:t>
            </w:r>
          </w:p>
          <w:p w14:paraId="37B81966"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lastRenderedPageBreak/>
              <w:t xml:space="preserve">Establish a triage area to pre-screen the patients for symptoms for COVID. Temperature readings as part of the routine assessment of patients should be taken before initiating any consultation. Temperature should be recorded at every visit preferably through an infrared thermometer. Physical distancing should be maintained in clinical and triage areas.  </w:t>
            </w:r>
          </w:p>
          <w:p w14:paraId="2CB3240A"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Prepare the waiting area, bathrooms, and patient consultation rooms to ensure availability of proper supplies like:</w:t>
            </w:r>
          </w:p>
          <w:p w14:paraId="6F7A6022"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Tissues, alcohol-based hand rub / soap at wash basin / sinks</w:t>
            </w:r>
          </w:p>
          <w:p w14:paraId="44C6E3A6"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Place chairs 6 feet apart, when possible. Install physical barriers (e.g. glass or plastic window/curtain) at reception/triage areas to limit close contact with any potentially infectious patients.</w:t>
            </w:r>
          </w:p>
          <w:p w14:paraId="1D183558"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Any TV, takeaway IEC materials, toys, reading materials, remote controls or other communal objects in the clinic may be removed or regularly cleaned</w:t>
            </w:r>
          </w:p>
          <w:p w14:paraId="44C322DF"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On a regular schedule, wipe all touchable surface areas with an approved surface cleaner.</w:t>
            </w:r>
          </w:p>
          <w:p w14:paraId="0D1D9DCE" w14:textId="77777777" w:rsidR="00DF2A02" w:rsidRPr="005C6A08" w:rsidRDefault="00DF2A02" w:rsidP="00575DDF">
            <w:pPr>
              <w:pStyle w:val="ListParagraph"/>
              <w:numPr>
                <w:ilvl w:val="3"/>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Remember to include tables, chair arms, doorknobs, light switches, hangers, and anything else with which people come in contact</w:t>
            </w:r>
          </w:p>
          <w:p w14:paraId="443BA4AE" w14:textId="77777777" w:rsidR="00DF2A02" w:rsidRPr="005C6A08" w:rsidRDefault="00DF2A02" w:rsidP="00575DDF">
            <w:pPr>
              <w:pStyle w:val="ListParagraph"/>
              <w:numPr>
                <w:ilvl w:val="3"/>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If surfaces are dirty, they should be cleaned using a detergent or soap and water prior to disinfection</w:t>
            </w:r>
          </w:p>
          <w:p w14:paraId="3F296D92"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Use appropriate PPEs and ask the patient and patient's attendant to wear mask. Maintain a distance of at least one metre unless examining the patient. Physically examine patients only if absolutely essential. Discard gloves carefully post examination.</w:t>
            </w:r>
          </w:p>
          <w:p w14:paraId="335D4305"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Once the Staff reaches home, it is recommended to:</w:t>
            </w:r>
          </w:p>
          <w:p w14:paraId="1BE0ED83" w14:textId="77777777" w:rsidR="00DF2A02" w:rsidRPr="005C6A08" w:rsidRDefault="00DF2A02" w:rsidP="00575DDF">
            <w:pPr>
              <w:pStyle w:val="ListParagraph"/>
              <w:numPr>
                <w:ilvl w:val="3"/>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Leave bags, keys, and other personal objects in a box at the entrance of house and do not touch anything without washing hands first.</w:t>
            </w:r>
          </w:p>
          <w:p w14:paraId="1F047423" w14:textId="77777777" w:rsidR="00DF2A02" w:rsidRPr="005C6A08" w:rsidRDefault="00DF2A02" w:rsidP="00575DDF">
            <w:pPr>
              <w:pStyle w:val="ListParagraph"/>
              <w:numPr>
                <w:ilvl w:val="3"/>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Take off shoes, sanitize phones, remove clothes and put them in a bag inside the dirty clothes basket. Bleach.</w:t>
            </w:r>
          </w:p>
          <w:p w14:paraId="08E82960" w14:textId="77777777" w:rsidR="00DF2A02" w:rsidRPr="005C6A08" w:rsidRDefault="00DF2A02" w:rsidP="00575DDF">
            <w:pPr>
              <w:pStyle w:val="ListParagraph"/>
              <w:numPr>
                <w:ilvl w:val="3"/>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Shower and wash the most exposed areas, like hands, fists, neck, and face, really well.</w:t>
            </w:r>
          </w:p>
          <w:p w14:paraId="4D88065D"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All frontline health workers should be trained in protocols for COVID screening, isolation and triage which are to be followed for anyone arriving with acute onset of cough, fever, and breathlessness within the last 14 days. Protocols are evolving and therefore the most updated provided on websites of</w:t>
            </w:r>
          </w:p>
          <w:p w14:paraId="76690A5A" w14:textId="77777777" w:rsidR="00DF2A02" w:rsidRPr="005C6A08" w:rsidRDefault="00DF2A02" w:rsidP="00575DDF">
            <w:pPr>
              <w:pStyle w:val="ListParagraph"/>
              <w:numPr>
                <w:ilvl w:val="3"/>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MoHFW/ICMR/ NCDC/CTD must be used.</w:t>
            </w:r>
          </w:p>
          <w:p w14:paraId="36BF2677" w14:textId="77777777" w:rsidR="00DF2A02" w:rsidRPr="005C6A08" w:rsidRDefault="00DF2A02" w:rsidP="00575DDF">
            <w:pPr>
              <w:pStyle w:val="ListParagraph"/>
              <w:numPr>
                <w:ilvl w:val="3"/>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Fever clinics should be established at CHC/UCHC to which patients could be referred from peripheral facilities. The scheduling of visits to fever clinics could be managed through staggered appointments facilitated through telephone calls to the clinic or through centralized helplines.</w:t>
            </w:r>
          </w:p>
        </w:tc>
      </w:tr>
      <w:tr w:rsidR="005C6A08" w:rsidRPr="005C6A08" w14:paraId="34D81F3F" w14:textId="77777777" w:rsidTr="00362C85">
        <w:tc>
          <w:tcPr>
            <w:tcW w:w="8908" w:type="dxa"/>
          </w:tcPr>
          <w:p w14:paraId="7915646A"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lastRenderedPageBreak/>
              <w:t>Patient Support Services</w:t>
            </w:r>
          </w:p>
          <w:p w14:paraId="44BA2A92"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b/>
                <w:sz w:val="22"/>
                <w:shd w:val="clear" w:color="auto" w:fill="FFFFFF"/>
                <w:lang w:eastAsia="en-IN"/>
              </w:rPr>
              <w:t>Each district needs to identify a person who can handle TB patient/public related calls</w:t>
            </w:r>
            <w:r w:rsidRPr="005C6A08">
              <w:rPr>
                <w:rFonts w:asciiTheme="minorHAnsi" w:eastAsia="Times New Roman" w:hAnsiTheme="minorHAnsi" w:cstheme="minorHAnsi"/>
                <w:sz w:val="22"/>
                <w:shd w:val="clear" w:color="auto" w:fill="FFFFFF"/>
                <w:lang w:eastAsia="en-IN"/>
              </w:rPr>
              <w:t xml:space="preserve"> and assist them for required service uptake (Sample collection, drug delivery, linkage with treatment supporter or nearby HWC or PHI providing treatment)</w:t>
            </w:r>
          </w:p>
          <w:p w14:paraId="35000AD1"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shd w:val="clear" w:color="auto" w:fill="FFFFFF"/>
                <w:lang w:eastAsia="en-IN"/>
              </w:rPr>
              <w:t xml:space="preserve">All confirmed TB patients need to be provided with </w:t>
            </w:r>
            <w:r w:rsidRPr="005C6A08">
              <w:rPr>
                <w:rFonts w:asciiTheme="minorHAnsi" w:eastAsia="Times New Roman" w:hAnsiTheme="minorHAnsi" w:cstheme="minorHAnsi"/>
                <w:b/>
                <w:sz w:val="22"/>
                <w:shd w:val="clear" w:color="auto" w:fill="FFFFFF"/>
                <w:lang w:eastAsia="en-IN"/>
              </w:rPr>
              <w:t>TB ID cards</w:t>
            </w:r>
            <w:r w:rsidRPr="005C6A08">
              <w:rPr>
                <w:rFonts w:asciiTheme="minorHAnsi" w:eastAsia="Times New Roman" w:hAnsiTheme="minorHAnsi" w:cstheme="minorHAnsi"/>
                <w:sz w:val="22"/>
                <w:shd w:val="clear" w:color="auto" w:fill="FFFFFF"/>
                <w:lang w:eastAsia="en-IN"/>
              </w:rPr>
              <w:t xml:space="preserve"> which should allow unrestricted mobility and assist TB patients for availing the TB diagnosis, treatment and follow up or DBT scheme</w:t>
            </w:r>
          </w:p>
          <w:p w14:paraId="5DABBD5B"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shd w:val="clear" w:color="auto" w:fill="FFFFFF"/>
                <w:lang w:eastAsia="en-IN"/>
              </w:rPr>
              <w:t xml:space="preserve">Efforts to be made to reduce patient visit to the healthcare facilities and all services to be offered under one roof / </w:t>
            </w:r>
            <w:r w:rsidRPr="005C6A08">
              <w:rPr>
                <w:rFonts w:asciiTheme="minorHAnsi" w:eastAsia="Times New Roman" w:hAnsiTheme="minorHAnsi" w:cstheme="minorHAnsi"/>
                <w:b/>
                <w:sz w:val="22"/>
                <w:shd w:val="clear" w:color="auto" w:fill="FFFFFF"/>
                <w:lang w:eastAsia="en-IN"/>
              </w:rPr>
              <w:t>single window system</w:t>
            </w:r>
            <w:r w:rsidRPr="005C6A08">
              <w:rPr>
                <w:rFonts w:asciiTheme="minorHAnsi" w:eastAsia="Times New Roman" w:hAnsiTheme="minorHAnsi" w:cstheme="minorHAnsi"/>
                <w:sz w:val="22"/>
                <w:shd w:val="clear" w:color="auto" w:fill="FFFFFF"/>
                <w:lang w:eastAsia="en-IN"/>
              </w:rPr>
              <w:t xml:space="preserve"> (TB, HIV, DM testing, sample collection for UDST, bank detail collection and treatment initiation with one month medicine provision to each TB patients with linkage of the patient to nearest health </w:t>
            </w:r>
            <w:r w:rsidRPr="005C6A08">
              <w:rPr>
                <w:rFonts w:asciiTheme="minorHAnsi" w:eastAsia="Times New Roman" w:hAnsiTheme="minorHAnsi" w:cstheme="minorHAnsi"/>
                <w:sz w:val="22"/>
                <w:shd w:val="clear" w:color="auto" w:fill="FFFFFF"/>
                <w:lang w:eastAsia="en-IN"/>
              </w:rPr>
              <w:lastRenderedPageBreak/>
              <w:t>facility and treatment supporter in the closest locality)</w:t>
            </w:r>
          </w:p>
          <w:p w14:paraId="208C2633"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Nutritional counselling support and home-based counselling through ANM/ASHAs</w:t>
            </w:r>
          </w:p>
          <w:p w14:paraId="3BA239B6"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Call centre support for reporting adverse drug reactions, drug refills, DBT, any other social support</w:t>
            </w:r>
          </w:p>
          <w:p w14:paraId="598CC405"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Offer tele-consultation &amp; video-consultation for interaction with doctors</w:t>
            </w:r>
          </w:p>
          <w:p w14:paraId="0848E9E8"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Peer counsellors through Community Engagement NGOs / partners</w:t>
            </w:r>
          </w:p>
          <w:p w14:paraId="704226F2"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All health facilities (including private health facilities and PHIs), treatment support centers need to ensure prompt initiation of all diagnosed TB patients on TB treatment and counselling of TB patients for Infection prevention of contacts and reporting of any symptomatic in family or in surrounding.</w:t>
            </w:r>
          </w:p>
          <w:p w14:paraId="34DCFE90"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sz w:val="22"/>
                <w:lang w:eastAsia="en-IN"/>
              </w:rPr>
              <w:t xml:space="preserve">For program / PPSA /NGO partner staff: </w:t>
            </w:r>
          </w:p>
          <w:p w14:paraId="1D1E9C7A"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List of all TB patients should be maintained at the PHC/ SHC level.</w:t>
            </w:r>
          </w:p>
          <w:p w14:paraId="3A65B6B5"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Delivery of DOTS to TB patients through ASHAs/ ANM/ volunteers to be ensured, closer to the community, with minimum or no travel.</w:t>
            </w:r>
          </w:p>
          <w:p w14:paraId="6B1F150B"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Routine screening for presumptive TB cases to continue at primary level facilities with diagnostic services to be provided uninterrupted at designated facilities as per advisories issued by National Tuberculosis Elimination Programme. </w:t>
            </w:r>
          </w:p>
          <w:p w14:paraId="2277384A"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In case those TB patients already diagnosed do not turn up for treatment initiation / continuation due to lockdown or any other ‘administrative / psychological / social barrier’ STS / CHO / ANM / ASHA / Treatment supporter should contact the patient at the earliest, in his household (if necessary) and initiate on TB treatment.</w:t>
            </w:r>
          </w:p>
          <w:p w14:paraId="52B73AEF"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In case of Private notified TB patients, private healthcare providers need to contact local NTEP / JEET / PPSA / NGO project staff who may be requested to contact the said private TB patient at the earliest for treatment and other service linkages to avoid initial loss to follow up. </w:t>
            </w:r>
          </w:p>
          <w:p w14:paraId="5A5CCAAC"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Use of digital health technologies should be intensified to support patients and programmes through improved communication, counselling, care, and information management, among other benefits. </w:t>
            </w:r>
          </w:p>
        </w:tc>
      </w:tr>
      <w:tr w:rsidR="005C6A08" w:rsidRPr="005C6A08" w14:paraId="32009487" w14:textId="77777777" w:rsidTr="00362C85">
        <w:tc>
          <w:tcPr>
            <w:tcW w:w="8908" w:type="dxa"/>
          </w:tcPr>
          <w:p w14:paraId="623389E7"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lastRenderedPageBreak/>
              <w:t>Provider Support Services</w:t>
            </w:r>
          </w:p>
          <w:p w14:paraId="6E3E50D6"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Guidelines for Standard precautionary measures for healthcare workers in all health facilities including healthcare workers surveillance for communicable / non-communicable diseases </w:t>
            </w:r>
          </w:p>
          <w:p w14:paraId="67B00D7D"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Ensure adequate PPE for NTEP and NGO staff along with trainings</w:t>
            </w:r>
          </w:p>
          <w:p w14:paraId="6802560A"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Timely pay out of salaries, performance-based incentives, incentives to informants, incentives to private providers</w:t>
            </w:r>
          </w:p>
          <w:p w14:paraId="3CABB179"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Sensitization of universal safety precautions for all medical and para medical staff including private sector</w:t>
            </w:r>
          </w:p>
          <w:p w14:paraId="21C441C1"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Training of outreach workers governmental and non-governmental in personal protection along with provision of adequate PPEs </w:t>
            </w:r>
          </w:p>
          <w:p w14:paraId="011B57F1"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Graded plan for relieving NTEP staff from COVID duties</w:t>
            </w:r>
          </w:p>
          <w:p w14:paraId="11096F54"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Transition from paper-based reporting to 100% digital recording and reporting</w:t>
            </w:r>
          </w:p>
        </w:tc>
      </w:tr>
      <w:tr w:rsidR="005C6A08" w:rsidRPr="005C6A08" w14:paraId="58E8E1C8" w14:textId="77777777" w:rsidTr="00362C85">
        <w:tc>
          <w:tcPr>
            <w:tcW w:w="8908" w:type="dxa"/>
          </w:tcPr>
          <w:p w14:paraId="5B4EC80F"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t>Direct Benefit Transfers (DBT) Services</w:t>
            </w:r>
          </w:p>
          <w:p w14:paraId="785DD4CE"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All districts to list scheme wise beneficiaries like patients whose Nikshay Poshan Yojana (NPY) benefits are pending at various levels and clear the backlog within a month. All pending payments for NPY, Treatment supporter, tribal patients, private provider and informants should be cleared within a month. </w:t>
            </w:r>
          </w:p>
          <w:p w14:paraId="42B9D3D4"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Patients who were diagnosed but whose bank details were not available, need to be contacted by CHO / SHC-HWC / peripheral healthcare workers and NGO / partner agencies for collection and submission of bank account details in Nikshay and ensure prompt payments </w:t>
            </w:r>
          </w:p>
          <w:p w14:paraId="6E00428E"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lastRenderedPageBreak/>
              <w:t>Treatment providers play a crucial role in assisting TB patients for treatment adherence and completion for successful treatment outcome. All STS, DPC and District PPM coordinator need to complete the NIKSHAY portal data either through visit to health facilities, contacting TB patients whose follow up were due during lockdown and couldn't happen, facilitate patient sample collection from their home/patient visit to nearest healthcare facilities from where sample can collected and dispatched for testing</w:t>
            </w:r>
          </w:p>
          <w:p w14:paraId="1B0639EC"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JEET / PPSA / other NGO partners also need to be involved in beneficiary identification, bank account details collection, etc</w:t>
            </w:r>
          </w:p>
        </w:tc>
      </w:tr>
      <w:tr w:rsidR="005C6A08" w:rsidRPr="005C6A08" w14:paraId="2BA8D51C" w14:textId="77777777" w:rsidTr="00362C85">
        <w:tc>
          <w:tcPr>
            <w:tcW w:w="8908" w:type="dxa"/>
          </w:tcPr>
          <w:p w14:paraId="792AA7B2"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lastRenderedPageBreak/>
              <w:t xml:space="preserve">Demand Generation activities </w:t>
            </w:r>
          </w:p>
          <w:p w14:paraId="74704309"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Intensive local IEC on TB &amp; COVID</w:t>
            </w:r>
          </w:p>
          <w:p w14:paraId="11C8955A"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Address stigma due to COVID and improve health seeking behaviour</w:t>
            </w:r>
          </w:p>
          <w:p w14:paraId="57165285"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IEC for sustaining social distancing, personal hygiene, ban in spitting, wearing of masks, etc</w:t>
            </w:r>
          </w:p>
          <w:p w14:paraId="0E689455"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Targeted IEC activities for key populations like migrants, urban slums, HIV vulnerable populations, miners, labourers, etc</w:t>
            </w:r>
          </w:p>
          <w:p w14:paraId="5D0F3674"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Community engagement activities for local advocacy, reduce stigma, improve health seeking behaviour, peer support, etc </w:t>
            </w:r>
          </w:p>
        </w:tc>
      </w:tr>
      <w:tr w:rsidR="005C6A08" w:rsidRPr="005C6A08" w14:paraId="5B0580A8" w14:textId="77777777" w:rsidTr="00362C85">
        <w:tc>
          <w:tcPr>
            <w:tcW w:w="8908" w:type="dxa"/>
          </w:tcPr>
          <w:p w14:paraId="07046C44"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t xml:space="preserve">Rationale use of Personal Protective Equipments (PPEs) </w:t>
            </w:r>
          </w:p>
          <w:p w14:paraId="4FBA1F0E"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b/>
                <w:sz w:val="22"/>
                <w:lang w:eastAsia="en-IN"/>
              </w:rPr>
              <w:t>General Guidance</w:t>
            </w:r>
            <w:r w:rsidRPr="005C6A08">
              <w:rPr>
                <w:rFonts w:asciiTheme="minorHAnsi" w:eastAsia="Times New Roman" w:hAnsiTheme="minorHAnsi" w:cstheme="minorHAnsi"/>
                <w:sz w:val="22"/>
                <w:lang w:eastAsia="en-IN"/>
              </w:rPr>
              <w:t xml:space="preserve"> (Rationale use of Personal Protective Equipment guidelines issued by MoHFW)</w:t>
            </w:r>
          </w:p>
          <w:p w14:paraId="32463853"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Standard precaution always needs to be followed </w:t>
            </w:r>
          </w:p>
          <w:p w14:paraId="4AEB92A1"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PPEs are not alternative to basic preventive public health measures such as hand hygiene, respiratory etiquettes which must always be followed </w:t>
            </w:r>
          </w:p>
          <w:p w14:paraId="4A651975"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sz w:val="22"/>
                <w:lang w:eastAsia="en-IN"/>
              </w:rPr>
              <w:t>Always follow the laid down protocol for disposing off PPEs as detailed in infection prevention and control guideline available on website of MoHFW</w:t>
            </w:r>
          </w:p>
          <w:p w14:paraId="238E77B8"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sz w:val="22"/>
                <w:lang w:eastAsia="en-IN"/>
              </w:rPr>
              <w:t>Doctors chamber/physical consultation (MO, Specialists, Nurses)</w:t>
            </w:r>
          </w:p>
          <w:p w14:paraId="2B939BFF"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Triple layer medical mask</w:t>
            </w:r>
          </w:p>
          <w:p w14:paraId="58D44A6B"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Latex examination gloves</w:t>
            </w:r>
          </w:p>
          <w:p w14:paraId="6337E155"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No aerosol generating procedures should be allowed</w:t>
            </w:r>
          </w:p>
          <w:p w14:paraId="71CC5A62"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sz w:val="22"/>
                <w:lang w:eastAsia="en-IN"/>
              </w:rPr>
              <w:t>Handling specimens (Microbiologists, Bacteriologists, STLS, Sr. / Lab technician, Lab Attendants, Sputum Collection and Transportation Agents)</w:t>
            </w:r>
          </w:p>
          <w:p w14:paraId="47B46001"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Disposable N95 respirators (mask) </w:t>
            </w:r>
          </w:p>
          <w:p w14:paraId="6DD3F0AF"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Disposable apron/ Surgical Gown / Normal Apron covered with plastic sheet (disposable/autoclavable /disinfected with hypochlorite)</w:t>
            </w:r>
          </w:p>
          <w:p w14:paraId="76C5601C"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Gloves (Vinyl or Latex)</w:t>
            </w:r>
          </w:p>
          <w:p w14:paraId="0D04F9CD"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Disposable Head gear (cap)</w:t>
            </w:r>
          </w:p>
          <w:p w14:paraId="12EFE90B"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sz w:val="22"/>
                <w:lang w:eastAsia="en-IN"/>
              </w:rPr>
              <w:t>Outreach Staff (District level supervisory staff, STS, TB HV, NGO Supervisors / Field Officer, Treatment Coordinators)</w:t>
            </w:r>
          </w:p>
          <w:p w14:paraId="18CC0DFC"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triple layer medical mask</w:t>
            </w:r>
          </w:p>
          <w:p w14:paraId="67413EDB"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sz w:val="22"/>
                <w:lang w:eastAsia="en-IN"/>
              </w:rPr>
              <w:t>latex examination gloves</w:t>
            </w:r>
          </w:p>
          <w:p w14:paraId="4D154E3F"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sz w:val="22"/>
                <w:lang w:eastAsia="en-IN"/>
              </w:rPr>
              <w:t>Radio-diagnosis / Pharmacy counter / Stores / Laundry Help desk / Registration counter (X-ray techs, Radio techs, Pharmacists, Store Officer, Store Asst, Volunteers)</w:t>
            </w:r>
          </w:p>
          <w:p w14:paraId="456795F0"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triple layer medical mask</w:t>
            </w:r>
          </w:p>
          <w:p w14:paraId="31EFE3DE" w14:textId="77777777" w:rsidR="00DF2A02" w:rsidRPr="005C6A08" w:rsidRDefault="00DF2A02" w:rsidP="00575DDF">
            <w:pPr>
              <w:pStyle w:val="ListParagraph"/>
              <w:numPr>
                <w:ilvl w:val="2"/>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sz w:val="22"/>
                <w:lang w:eastAsia="en-IN"/>
              </w:rPr>
              <w:t>latex examination gloves</w:t>
            </w:r>
          </w:p>
        </w:tc>
      </w:tr>
      <w:tr w:rsidR="005C6A08" w:rsidRPr="005C6A08" w14:paraId="2E2EE630" w14:textId="77777777" w:rsidTr="00362C85">
        <w:tc>
          <w:tcPr>
            <w:tcW w:w="8908" w:type="dxa"/>
          </w:tcPr>
          <w:p w14:paraId="7D259208"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t xml:space="preserve">Monitoring and Evaluation </w:t>
            </w:r>
          </w:p>
          <w:p w14:paraId="2560376A"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100% transition to NIKSHAY including laboratory services and supply chain management </w:t>
            </w:r>
          </w:p>
          <w:p w14:paraId="773AB6BF"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Quarterly NIKSHAY based feedback to all States on State TB Index and Quality Index</w:t>
            </w:r>
          </w:p>
          <w:p w14:paraId="2281A40A"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Strengthened support to districts through WHO NTEP Consultants – monthly visit to all districts</w:t>
            </w:r>
          </w:p>
          <w:p w14:paraId="627EE7C7"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Utilization of Medical College Faculty </w:t>
            </w:r>
            <w:r w:rsidRPr="005C6A08">
              <w:rPr>
                <w:rFonts w:asciiTheme="minorHAnsi" w:hAnsiTheme="minorHAnsi" w:cstheme="minorHAnsi"/>
                <w:sz w:val="22"/>
              </w:rPr>
              <w:t>(</w:t>
            </w:r>
            <w:r w:rsidRPr="005C6A08">
              <w:rPr>
                <w:rFonts w:asciiTheme="minorHAnsi" w:eastAsia="Times New Roman" w:hAnsiTheme="minorHAnsi" w:cstheme="minorHAnsi"/>
                <w:sz w:val="22"/>
                <w:lang w:eastAsia="en-IN"/>
              </w:rPr>
              <w:t>Community Medicine</w:t>
            </w:r>
            <w:r w:rsidRPr="005C6A08">
              <w:rPr>
                <w:rFonts w:asciiTheme="minorHAnsi" w:hAnsiTheme="minorHAnsi" w:cstheme="minorHAnsi"/>
                <w:sz w:val="22"/>
              </w:rPr>
              <w:t xml:space="preserve"> Dept</w:t>
            </w:r>
            <w:r w:rsidRPr="005C6A08">
              <w:rPr>
                <w:rFonts w:asciiTheme="minorHAnsi" w:eastAsia="Times New Roman" w:hAnsiTheme="minorHAnsi" w:cstheme="minorHAnsi"/>
                <w:sz w:val="22"/>
                <w:lang w:eastAsia="en-IN"/>
              </w:rPr>
              <w:t xml:space="preserve">.) in conducting State </w:t>
            </w:r>
            <w:r w:rsidRPr="005C6A08">
              <w:rPr>
                <w:rFonts w:asciiTheme="minorHAnsi" w:eastAsia="Times New Roman" w:hAnsiTheme="minorHAnsi" w:cstheme="minorHAnsi"/>
                <w:sz w:val="22"/>
                <w:lang w:eastAsia="en-IN"/>
              </w:rPr>
              <w:lastRenderedPageBreak/>
              <w:t xml:space="preserve">Internal Evaluations (SIE) – once in a quarter to each district; ensure adequate budgetary support to Medical Colleges </w:t>
            </w:r>
          </w:p>
          <w:p w14:paraId="398E9675"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shd w:val="clear" w:color="auto" w:fill="FFFFFF"/>
                <w:lang w:eastAsia="en-IN"/>
              </w:rPr>
              <w:t>Data entry, data management and data driven decision to be taken at local level for specific intervention for overcoming the challenge and documentation of best practices with periodic feedback to state and centre</w:t>
            </w:r>
          </w:p>
        </w:tc>
      </w:tr>
      <w:tr w:rsidR="005C6A08" w:rsidRPr="005C6A08" w14:paraId="72B8FCE2" w14:textId="77777777" w:rsidTr="00362C85">
        <w:tc>
          <w:tcPr>
            <w:tcW w:w="8908" w:type="dxa"/>
          </w:tcPr>
          <w:p w14:paraId="5841978D"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sz w:val="22"/>
                <w:lang w:eastAsia="en-IN"/>
              </w:rPr>
              <w:lastRenderedPageBreak/>
              <w:t xml:space="preserve">Surveillance </w:t>
            </w:r>
          </w:p>
          <w:p w14:paraId="675FED70"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Sub-national disease certification through third party agency</w:t>
            </w:r>
          </w:p>
          <w:p w14:paraId="6624CD22"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Annual district level under-reporting survey and 50 district sentinel surveillance  </w:t>
            </w:r>
          </w:p>
          <w:p w14:paraId="2CDE7D53"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Completion of National TB Prevalence Survey through ICMR</w:t>
            </w:r>
          </w:p>
          <w:p w14:paraId="6E7AA92C"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Commissioned Operational / Implementation research on priority research topics </w:t>
            </w:r>
          </w:p>
        </w:tc>
      </w:tr>
      <w:tr w:rsidR="005C6A08" w:rsidRPr="005C6A08" w14:paraId="1EFB1755" w14:textId="77777777" w:rsidTr="00362C85">
        <w:tc>
          <w:tcPr>
            <w:tcW w:w="8908" w:type="dxa"/>
          </w:tcPr>
          <w:p w14:paraId="3DCA6CB4" w14:textId="77777777" w:rsidR="00DF2A02" w:rsidRPr="005C6A08" w:rsidRDefault="00DF2A02" w:rsidP="00575DDF">
            <w:pPr>
              <w:pStyle w:val="ListParagraph"/>
              <w:numPr>
                <w:ilvl w:val="0"/>
                <w:numId w:val="134"/>
              </w:numPr>
              <w:spacing w:before="0" w:after="0"/>
              <w:jc w:val="both"/>
              <w:rPr>
                <w:rFonts w:asciiTheme="minorHAnsi" w:eastAsia="Times New Roman" w:hAnsiTheme="minorHAnsi" w:cstheme="minorHAnsi"/>
                <w:b/>
                <w:sz w:val="22"/>
                <w:lang w:eastAsia="en-IN"/>
              </w:rPr>
            </w:pPr>
            <w:r w:rsidRPr="005C6A08">
              <w:rPr>
                <w:rFonts w:asciiTheme="minorHAnsi" w:eastAsia="Times New Roman" w:hAnsiTheme="minorHAnsi" w:cstheme="minorHAnsi"/>
                <w:b/>
                <w:bCs/>
                <w:sz w:val="22"/>
                <w:lang w:eastAsia="en-IN"/>
              </w:rPr>
              <w:t>Program Management, Staff and Administrative Support</w:t>
            </w:r>
          </w:p>
          <w:p w14:paraId="19B8FFF2" w14:textId="77777777" w:rsidR="00DF2A02" w:rsidRPr="005C6A08" w:rsidRDefault="00DF2A02" w:rsidP="00575DDF">
            <w:pPr>
              <w:pStyle w:val="ListParagraph"/>
              <w:numPr>
                <w:ilvl w:val="1"/>
                <w:numId w:val="134"/>
              </w:numPr>
              <w:spacing w:before="0" w:after="0"/>
              <w:jc w:val="both"/>
              <w:rPr>
                <w:rFonts w:asciiTheme="minorHAnsi" w:hAnsiTheme="minorHAnsi" w:cstheme="minorHAnsi"/>
                <w:sz w:val="22"/>
              </w:rPr>
            </w:pPr>
            <w:r w:rsidRPr="005C6A08">
              <w:rPr>
                <w:rFonts w:asciiTheme="minorHAnsi" w:eastAsia="Times New Roman" w:hAnsiTheme="minorHAnsi" w:cstheme="minorHAnsi"/>
                <w:sz w:val="22"/>
                <w:lang w:eastAsia="en-IN"/>
              </w:rPr>
              <w:t xml:space="preserve">All respective States and Districts should report issues to competent authorities/ respective administration for urgent resolution of matters pertaining to drug supply, transportation of samples, patient mobility etc. Chief Secy / Principal Secy (Health) should send advisories to all district administrative and health functionaries for immediate operationalization of transportation services for samples/drugs and patient mobility even in containment zones as a measure for essential services. </w:t>
            </w:r>
          </w:p>
          <w:p w14:paraId="693FB67C"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In Green Zone District, NTEP activities will resume normally with complete utilisation of the human resources, with immediate effect. In Orange Zone District, baring few officials, who are directed / involved by the local administration for COVID-19 related containment zone duties, the rest of the human resource shall function and cater to TB Services fully. </w:t>
            </w:r>
          </w:p>
          <w:p w14:paraId="4C48AF81"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In Red Zone District, human resources who are involved in both NTEP/COVID activities should play a more active role </w:t>
            </w:r>
            <w:r w:rsidRPr="005C6A08">
              <w:rPr>
                <w:rFonts w:asciiTheme="minorHAnsi" w:hAnsiTheme="minorHAnsi" w:cstheme="minorHAnsi"/>
                <w:sz w:val="22"/>
              </w:rPr>
              <w:t xml:space="preserve">and </w:t>
            </w:r>
            <w:r w:rsidRPr="005C6A08">
              <w:rPr>
                <w:rFonts w:asciiTheme="minorHAnsi" w:eastAsia="Times New Roman" w:hAnsiTheme="minorHAnsi" w:cstheme="minorHAnsi"/>
                <w:sz w:val="22"/>
                <w:lang w:eastAsia="en-IN"/>
              </w:rPr>
              <w:t xml:space="preserve">will have to put extra effort to restore routine NTEP activities. They must ensure that routine activities under NTEP go unabated. </w:t>
            </w:r>
          </w:p>
          <w:p w14:paraId="1B81B664"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TB programme managers of States and Districts must motivate, orient, counsel and perform periodic reviews of peripheral health care workers / TB workers, over the phone and video conference and to contribute to improving the service standards and optimal functioning of the NTEP program. Peripheral health workers (ANM/ASHA etc.) should ensure the adherence to treatment of TB patients, over regular phone calls if not possible by physical visits</w:t>
            </w:r>
            <w:r w:rsidRPr="005C6A08">
              <w:rPr>
                <w:rFonts w:asciiTheme="minorHAnsi" w:hAnsiTheme="minorHAnsi" w:cstheme="minorHAnsi"/>
                <w:sz w:val="22"/>
              </w:rPr>
              <w:t>.</w:t>
            </w:r>
          </w:p>
          <w:p w14:paraId="5A3EDB97" w14:textId="77777777" w:rsidR="00DF2A02" w:rsidRPr="005C6A08" w:rsidRDefault="00DF2A02" w:rsidP="00575DDF">
            <w:pPr>
              <w:pStyle w:val="ListParagraph"/>
              <w:numPr>
                <w:ilvl w:val="1"/>
                <w:numId w:val="134"/>
              </w:numPr>
              <w:spacing w:before="0" w:after="0"/>
              <w:jc w:val="both"/>
              <w:rPr>
                <w:rFonts w:asciiTheme="minorHAnsi" w:hAnsiTheme="minorHAnsi" w:cstheme="minorHAnsi"/>
                <w:sz w:val="22"/>
              </w:rPr>
            </w:pPr>
            <w:r w:rsidRPr="005C6A08">
              <w:rPr>
                <w:rFonts w:asciiTheme="minorHAnsi" w:eastAsia="Times New Roman" w:hAnsiTheme="minorHAnsi" w:cstheme="minorHAnsi"/>
                <w:sz w:val="22"/>
                <w:lang w:eastAsia="en-IN"/>
              </w:rPr>
              <w:t>Ensure proper transport facilities and passes for staff of NTEP along the partner organizations like JEET, PPSA personnel.</w:t>
            </w:r>
          </w:p>
          <w:p w14:paraId="387B11B6"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Expedite the filling of vacancies and release of funds to districts / contracted NGO partners</w:t>
            </w:r>
          </w:p>
          <w:p w14:paraId="6463557F"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Incentives and other rewards and recognition to motivate State/District staff</w:t>
            </w:r>
          </w:p>
          <w:p w14:paraId="51D3D5EF"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Provide flexibility to districts to implement local level solutions and support scale-up of innovative ideas</w:t>
            </w:r>
          </w:p>
          <w:p w14:paraId="46C301C6"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Strengthen supply chain monitoring through NIKSHAY AUSHADI and ensure uninterrupted drug supplies, including adequate buffer stock</w:t>
            </w:r>
          </w:p>
          <w:p w14:paraId="4227DB80"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 xml:space="preserve">Utilize NHM flexibility for local procurements of anti TB drugs by ensuring rate contracts for 25% quantities of all anti TB drugs and inclusion in essential drug list of States   </w:t>
            </w:r>
          </w:p>
          <w:p w14:paraId="0E1C9DC9"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Logistic and consumables: Provision of sufficient lab consumables, sputum cups, reagents, falcon tubes, recording and reporting formats, CBNAAT cartridges, Truenat chips, PPE kits and soap/sanitizer provision to NTEP staff / partner NGO staff </w:t>
            </w:r>
          </w:p>
          <w:p w14:paraId="7ADDEB27"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lang w:eastAsia="en-IN"/>
              </w:rPr>
              <w:t>NTEP field workers will need complete orientation on basic program activities (SOP, IPC, TB case finding, TB case holding, all 4 DBT scheme, tele-consultation, use of TB call center by general public and patients, new incentives to be rolled out, special package in COVID-19 containment areas)</w:t>
            </w:r>
          </w:p>
          <w:p w14:paraId="2E932DC8"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shd w:val="clear" w:color="auto" w:fill="FFFFFF"/>
                <w:lang w:eastAsia="en-IN"/>
              </w:rPr>
              <w:t xml:space="preserve">Civil Society Representatives and Community Based Organizations (CBOs) will also </w:t>
            </w:r>
            <w:r w:rsidRPr="005C6A08">
              <w:rPr>
                <w:rFonts w:asciiTheme="minorHAnsi" w:eastAsia="Times New Roman" w:hAnsiTheme="minorHAnsi" w:cstheme="minorHAnsi"/>
                <w:sz w:val="22"/>
                <w:shd w:val="clear" w:color="auto" w:fill="FFFFFF"/>
                <w:lang w:eastAsia="en-IN"/>
              </w:rPr>
              <w:lastRenderedPageBreak/>
              <w:t>facilitate training for community representatives with the help of their network across the country. </w:t>
            </w:r>
          </w:p>
          <w:p w14:paraId="5F5019D0" w14:textId="77777777" w:rsidR="00DF2A02" w:rsidRPr="005C6A08" w:rsidRDefault="00DF2A02" w:rsidP="00575DDF">
            <w:pPr>
              <w:pStyle w:val="ListParagraph"/>
              <w:numPr>
                <w:ilvl w:val="1"/>
                <w:numId w:val="134"/>
              </w:numPr>
              <w:spacing w:before="0" w:after="0"/>
              <w:jc w:val="both"/>
              <w:rPr>
                <w:rFonts w:asciiTheme="minorHAnsi" w:eastAsia="Times New Roman" w:hAnsiTheme="minorHAnsi" w:cstheme="minorHAnsi"/>
                <w:sz w:val="22"/>
                <w:lang w:eastAsia="en-IN"/>
              </w:rPr>
            </w:pPr>
            <w:r w:rsidRPr="005C6A08">
              <w:rPr>
                <w:rFonts w:asciiTheme="minorHAnsi" w:eastAsia="Times New Roman" w:hAnsiTheme="minorHAnsi" w:cstheme="minorHAnsi"/>
                <w:sz w:val="22"/>
                <w:shd w:val="clear" w:color="auto" w:fill="FFFFFF"/>
                <w:lang w:eastAsia="en-IN"/>
              </w:rPr>
              <w:t>Partner agencies will support all NTEP related activities in community engagement, training of healthcare workers, capacity building of private healthcare providers as well as medical officers for handling TB patients, active TB case finding campaign, drug and logistics management, mission mode active TB case finding campaign and monitoring/identification of gap areas at local/district/state level and feedback to health system</w:t>
            </w:r>
          </w:p>
        </w:tc>
      </w:tr>
    </w:tbl>
    <w:p w14:paraId="243FA1C0" w14:textId="77777777" w:rsidR="00DF2A02" w:rsidRDefault="00DF2A02" w:rsidP="005B6A24">
      <w:pPr>
        <w:jc w:val="both"/>
        <w:rPr>
          <w:rFonts w:asciiTheme="minorHAnsi" w:hAnsiTheme="minorHAnsi" w:cstheme="minorHAnsi"/>
          <w:b/>
          <w:sz w:val="22"/>
          <w:lang w:val="en"/>
        </w:rPr>
      </w:pPr>
    </w:p>
    <w:p w14:paraId="73C23316" w14:textId="77777777" w:rsidR="00D50BC6" w:rsidRPr="0010548F" w:rsidRDefault="00D50BC6" w:rsidP="00D50BC6">
      <w:pPr>
        <w:jc w:val="both"/>
        <w:rPr>
          <w:rFonts w:asciiTheme="minorHAnsi" w:hAnsiTheme="minorHAnsi" w:cstheme="minorHAnsi"/>
          <w:kern w:val="24"/>
          <w:sz w:val="22"/>
          <w:lang w:eastAsia="en-IN"/>
        </w:rPr>
      </w:pPr>
    </w:p>
    <w:p w14:paraId="58DB1451" w14:textId="77777777" w:rsidR="00A41DF5" w:rsidRDefault="00A41DF5" w:rsidP="00C129C4">
      <w:pPr>
        <w:spacing w:before="0" w:after="0"/>
        <w:jc w:val="both"/>
        <w:rPr>
          <w:rFonts w:asciiTheme="minorHAnsi" w:hAnsiTheme="minorHAnsi" w:cstheme="minorHAnsi"/>
          <w:b/>
          <w:snapToGrid w:val="0"/>
          <w:sz w:val="36"/>
        </w:rPr>
      </w:pPr>
    </w:p>
    <w:p w14:paraId="67A74529" w14:textId="77777777" w:rsidR="00A41DF5" w:rsidRDefault="00A41DF5" w:rsidP="00C129C4">
      <w:pPr>
        <w:spacing w:before="0" w:after="0"/>
        <w:jc w:val="both"/>
        <w:rPr>
          <w:rFonts w:asciiTheme="minorHAnsi" w:hAnsiTheme="minorHAnsi" w:cstheme="minorHAnsi"/>
          <w:b/>
          <w:snapToGrid w:val="0"/>
          <w:sz w:val="36"/>
        </w:rPr>
      </w:pPr>
    </w:p>
    <w:p w14:paraId="7138DFA1" w14:textId="484CA9EB" w:rsidR="0075389F" w:rsidRPr="0015012E" w:rsidRDefault="00A41DF5" w:rsidP="0015012E">
      <w:pPr>
        <w:spacing w:before="0" w:after="0"/>
        <w:jc w:val="both"/>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bookmarkEnd w:id="32"/>
      <w:bookmarkEnd w:id="33"/>
      <w:bookmarkEnd w:id="34"/>
      <w:bookmarkEnd w:id="35"/>
      <w:bookmarkEnd w:id="36"/>
      <w:bookmarkEnd w:id="37"/>
      <w:bookmarkEnd w:id="38"/>
      <w:bookmarkEnd w:id="39"/>
      <w:bookmarkEnd w:id="40"/>
      <w:r w:rsidR="0015012E">
        <w:rPr>
          <w:rFonts w:asciiTheme="minorHAnsi" w:hAnsiTheme="minorHAnsi" w:cstheme="minorHAnsi"/>
          <w:b/>
          <w:noProof/>
          <w:sz w:val="28"/>
          <w:szCs w:val="28"/>
          <w:lang w:val="en-IN" w:eastAsia="en-IN"/>
        </w:rPr>
        <w:lastRenderedPageBreak/>
        <mc:AlternateContent>
          <mc:Choice Requires="wps">
            <w:drawing>
              <wp:anchor distT="0" distB="0" distL="114300" distR="114300" simplePos="0" relativeHeight="251652096" behindDoc="0" locked="0" layoutInCell="1" allowOverlap="1" wp14:anchorId="237743B6" wp14:editId="4C8209EF">
                <wp:simplePos x="0" y="0"/>
                <wp:positionH relativeFrom="column">
                  <wp:posOffset>-588010</wp:posOffset>
                </wp:positionH>
                <wp:positionV relativeFrom="paragraph">
                  <wp:posOffset>-650240</wp:posOffset>
                </wp:positionV>
                <wp:extent cx="6878955" cy="9796780"/>
                <wp:effectExtent l="0" t="0" r="17145" b="1397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9796780"/>
                        </a:xfrm>
                        <a:prstGeom prst="rect">
                          <a:avLst/>
                        </a:prstGeom>
                        <a:solidFill>
                          <a:schemeClr val="tx2">
                            <a:lumMod val="75000"/>
                          </a:schemeClr>
                        </a:solidFill>
                        <a:ln w="9525">
                          <a:solidFill>
                            <a:schemeClr val="tx2">
                              <a:lumMod val="75000"/>
                            </a:schemeClr>
                          </a:solidFill>
                          <a:miter lim="800000"/>
                          <a:headEnd/>
                          <a:tailEnd/>
                        </a:ln>
                      </wps:spPr>
                      <wps:txbx>
                        <w:txbxContent>
                          <w:p w14:paraId="0166FBEA" w14:textId="77777777" w:rsidR="00D55F8F" w:rsidRPr="00EF09B4" w:rsidRDefault="00D55F8F" w:rsidP="00841EF2">
                            <w:pPr>
                              <w:shd w:val="clear" w:color="auto" w:fill="17365D" w:themeFill="text2" w:themeFillShade="BF"/>
                              <w:jc w:val="right"/>
                              <w:rPr>
                                <w:color w:val="FFFFFF" w:themeColor="background1"/>
                                <w:sz w:val="144"/>
                                <w:szCs w:val="144"/>
                                <w:lang w:val="en-GB"/>
                              </w:rPr>
                            </w:pPr>
                          </w:p>
                          <w:p w14:paraId="75E9A69A" w14:textId="35EFB396" w:rsidR="00D55F8F" w:rsidRPr="00F74542" w:rsidRDefault="00D55F8F" w:rsidP="00841EF2">
                            <w:pPr>
                              <w:pStyle w:val="Heading1"/>
                              <w:shd w:val="clear" w:color="auto" w:fill="17365D" w:themeFill="text2" w:themeFillShade="BF"/>
                              <w:tabs>
                                <w:tab w:val="num" w:pos="5670"/>
                              </w:tabs>
                              <w:spacing w:after="360"/>
                              <w:rPr>
                                <w:rFonts w:ascii="Myriad Pro Cond" w:hAnsi="Myriad Pro Cond" w:cstheme="minorHAnsi"/>
                                <w:b/>
                                <w:snapToGrid w:val="0"/>
                                <w:color w:val="auto"/>
                                <w:szCs w:val="144"/>
                              </w:rPr>
                            </w:pPr>
                            <w:r w:rsidRPr="00F74542">
                              <w:rPr>
                                <w:rFonts w:ascii="Myriad Pro Cond" w:hAnsi="Myriad Pro Cond" w:cstheme="minorHAnsi"/>
                                <w:b/>
                                <w:snapToGrid w:val="0"/>
                                <w:color w:val="auto"/>
                                <w:szCs w:val="144"/>
                              </w:rPr>
                              <w:t>NSP PILLAR</w:t>
                            </w:r>
                            <w:r>
                              <w:rPr>
                                <w:rFonts w:ascii="Myriad Pro Cond" w:hAnsi="Myriad Pro Cond" w:cstheme="minorHAnsi"/>
                                <w:b/>
                                <w:snapToGrid w:val="0"/>
                                <w:color w:val="auto"/>
                                <w:szCs w:val="144"/>
                              </w:rPr>
                              <w:t xml:space="preserve"> 2</w:t>
                            </w:r>
                          </w:p>
                          <w:p w14:paraId="66DAEA0A" w14:textId="127160FD" w:rsidR="00D55F8F" w:rsidRPr="0015012E" w:rsidRDefault="00D55F8F" w:rsidP="00841EF2">
                            <w:pPr>
                              <w:pStyle w:val="Heading1"/>
                              <w:shd w:val="clear" w:color="auto" w:fill="17365D" w:themeFill="text2" w:themeFillShade="BF"/>
                              <w:tabs>
                                <w:tab w:val="num" w:pos="5670"/>
                              </w:tabs>
                              <w:rPr>
                                <w:rFonts w:ascii="Myriad Pro Cond" w:hAnsi="Myriad Pro Cond" w:cstheme="minorHAnsi"/>
                                <w:b/>
                                <w:snapToGrid w:val="0"/>
                                <w:color w:val="auto"/>
                                <w:sz w:val="180"/>
                                <w:szCs w:val="144"/>
                              </w:rPr>
                            </w:pPr>
                            <w:r w:rsidRPr="0015012E">
                              <w:rPr>
                                <w:rFonts w:ascii="Myriad Pro Cond" w:hAnsi="Myriad Pro Cond" w:cstheme="minorHAnsi"/>
                                <w:b/>
                                <w:snapToGrid w:val="0"/>
                                <w:color w:val="auto"/>
                                <w:sz w:val="180"/>
                                <w:szCs w:val="144"/>
                              </w:rPr>
                              <w:t>PREVENT TB</w:t>
                            </w:r>
                          </w:p>
                          <w:p w14:paraId="77517E03" w14:textId="77777777" w:rsidR="00D55F8F" w:rsidRPr="00713F88" w:rsidRDefault="00D55F8F" w:rsidP="00841EF2">
                            <w:pPr>
                              <w:shd w:val="clear" w:color="auto" w:fill="17365D" w:themeFill="text2" w:themeFillShade="BF"/>
                              <w:ind w:left="144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ab/>
                            </w:r>
                          </w:p>
                        </w:txbxContent>
                      </wps:txbx>
                      <wps:bodyPr rot="0" vert="horz" wrap="square" lIns="91440" tIns="45720" rIns="4572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743B6" id="_x0000_s1029" type="#_x0000_t202" style="position:absolute;left:0;text-align:left;margin-left:-46.3pt;margin-top:-51.2pt;width:541.65pt;height:77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" fillcolor="#17365d [2415]" strokecolor="#17365d [2415]">
                <v:textbox inset=",,36pt">
                  <w:txbxContent>
                    <w:p w14:paraId="0166FBEA" w14:textId="77777777" w:rsidR="00D55F8F" w:rsidRPr="00EF09B4" w:rsidRDefault="00D55F8F" w:rsidP="00841EF2">
                      <w:pPr>
                        <w:shd w:val="clear" w:color="auto" w:fill="17365D" w:themeFill="text2" w:themeFillShade="BF"/>
                        <w:jc w:val="right"/>
                        <w:rPr>
                          <w:color w:val="FFFFFF" w:themeColor="background1"/>
                          <w:sz w:val="144"/>
                          <w:szCs w:val="144"/>
                          <w:lang w:val="en-GB"/>
                        </w:rPr>
                      </w:pPr>
                    </w:p>
                    <w:p w14:paraId="75E9A69A" w14:textId="35EFB396" w:rsidR="00D55F8F" w:rsidRPr="00F74542" w:rsidRDefault="00D55F8F" w:rsidP="00841EF2">
                      <w:pPr>
                        <w:pStyle w:val="Heading1"/>
                        <w:shd w:val="clear" w:color="auto" w:fill="17365D" w:themeFill="text2" w:themeFillShade="BF"/>
                        <w:tabs>
                          <w:tab w:val="num" w:pos="5670"/>
                        </w:tabs>
                        <w:spacing w:after="360"/>
                        <w:rPr>
                          <w:rFonts w:ascii="Myriad Pro Cond" w:hAnsi="Myriad Pro Cond" w:cstheme="minorHAnsi"/>
                          <w:b/>
                          <w:snapToGrid w:val="0"/>
                          <w:color w:val="auto"/>
                          <w:szCs w:val="144"/>
                        </w:rPr>
                      </w:pPr>
                      <w:r w:rsidRPr="00F74542">
                        <w:rPr>
                          <w:rFonts w:ascii="Myriad Pro Cond" w:hAnsi="Myriad Pro Cond" w:cstheme="minorHAnsi"/>
                          <w:b/>
                          <w:snapToGrid w:val="0"/>
                          <w:color w:val="auto"/>
                          <w:szCs w:val="144"/>
                        </w:rPr>
                        <w:t>NSP PILLAR</w:t>
                      </w:r>
                      <w:r>
                        <w:rPr>
                          <w:rFonts w:ascii="Myriad Pro Cond" w:hAnsi="Myriad Pro Cond" w:cstheme="minorHAnsi"/>
                          <w:b/>
                          <w:snapToGrid w:val="0"/>
                          <w:color w:val="auto"/>
                          <w:szCs w:val="144"/>
                        </w:rPr>
                        <w:t xml:space="preserve"> 2</w:t>
                      </w:r>
                    </w:p>
                    <w:p w14:paraId="66DAEA0A" w14:textId="127160FD" w:rsidR="00D55F8F" w:rsidRPr="0015012E" w:rsidRDefault="00D55F8F" w:rsidP="00841EF2">
                      <w:pPr>
                        <w:pStyle w:val="Heading1"/>
                        <w:shd w:val="clear" w:color="auto" w:fill="17365D" w:themeFill="text2" w:themeFillShade="BF"/>
                        <w:tabs>
                          <w:tab w:val="num" w:pos="5670"/>
                        </w:tabs>
                        <w:rPr>
                          <w:rFonts w:ascii="Myriad Pro Cond" w:hAnsi="Myriad Pro Cond" w:cstheme="minorHAnsi"/>
                          <w:b/>
                          <w:snapToGrid w:val="0"/>
                          <w:color w:val="auto"/>
                          <w:sz w:val="180"/>
                          <w:szCs w:val="144"/>
                        </w:rPr>
                      </w:pPr>
                      <w:r w:rsidRPr="0015012E">
                        <w:rPr>
                          <w:rFonts w:ascii="Myriad Pro Cond" w:hAnsi="Myriad Pro Cond" w:cstheme="minorHAnsi"/>
                          <w:b/>
                          <w:snapToGrid w:val="0"/>
                          <w:color w:val="auto"/>
                          <w:sz w:val="180"/>
                          <w:szCs w:val="144"/>
                        </w:rPr>
                        <w:t>PREVENT TB</w:t>
                      </w:r>
                    </w:p>
                    <w:p w14:paraId="77517E03" w14:textId="77777777" w:rsidR="00D55F8F" w:rsidRPr="00713F88" w:rsidRDefault="00D55F8F" w:rsidP="00841EF2">
                      <w:pPr>
                        <w:shd w:val="clear" w:color="auto" w:fill="17365D" w:themeFill="text2" w:themeFillShade="BF"/>
                        <w:ind w:left="144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ab/>
                      </w:r>
                    </w:p>
                  </w:txbxContent>
                </v:textbox>
                <w10:wrap type="topAndBottom"/>
              </v:shape>
            </w:pict>
          </mc:Fallback>
        </mc:AlternateContent>
      </w:r>
      <w:r w:rsidR="002842AA" w:rsidRPr="0075389F">
        <w:rPr>
          <w:rFonts w:asciiTheme="minorHAnsi" w:hAnsiTheme="minorHAnsi" w:cstheme="minorHAnsi"/>
          <w:b/>
          <w:snapToGrid w:val="0"/>
          <w:sz w:val="144"/>
          <w:szCs w:val="144"/>
        </w:rPr>
        <w:t xml:space="preserve"> </w:t>
      </w:r>
    </w:p>
    <w:p w14:paraId="6E13AAFA" w14:textId="207A2F69" w:rsidR="003E091E" w:rsidRDefault="00695A03" w:rsidP="00663C3B">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D514CD">
        <w:rPr>
          <w:rFonts w:asciiTheme="minorHAnsi" w:hAnsiTheme="minorHAnsi" w:cstheme="minorHAnsi"/>
          <w:b/>
          <w:snapToGrid w:val="0"/>
          <w:color w:val="auto"/>
          <w:sz w:val="36"/>
        </w:rPr>
        <w:t>2</w:t>
      </w:r>
      <w:r w:rsidR="00BE594E">
        <w:rPr>
          <w:rFonts w:asciiTheme="minorHAnsi" w:hAnsiTheme="minorHAnsi" w:cstheme="minorHAnsi"/>
          <w:b/>
          <w:snapToGrid w:val="0"/>
          <w:color w:val="auto"/>
          <w:sz w:val="36"/>
        </w:rPr>
        <w:t>2</w:t>
      </w:r>
    </w:p>
    <w:p w14:paraId="41DCF68D" w14:textId="4A6D4514" w:rsidR="003E091E" w:rsidRPr="006B7923" w:rsidRDefault="003E091E" w:rsidP="003E091E">
      <w:pPr>
        <w:shd w:val="clear" w:color="auto" w:fill="17365D" w:themeFill="text2" w:themeFillShade="BF"/>
        <w:spacing w:before="0" w:after="0"/>
        <w:jc w:val="right"/>
        <w:rPr>
          <w:b/>
          <w:sz w:val="28"/>
        </w:rPr>
      </w:pPr>
      <w:r>
        <w:rPr>
          <w:b/>
          <w:sz w:val="28"/>
        </w:rPr>
        <w:t xml:space="preserve">NSP </w:t>
      </w:r>
      <w:r w:rsidRPr="006B7923">
        <w:rPr>
          <w:b/>
          <w:sz w:val="28"/>
        </w:rPr>
        <w:t xml:space="preserve">STRATEGIC AREA </w:t>
      </w:r>
      <w:r>
        <w:rPr>
          <w:b/>
          <w:sz w:val="28"/>
        </w:rPr>
        <w:t>2.</w:t>
      </w:r>
      <w:r w:rsidRPr="006B7923">
        <w:rPr>
          <w:b/>
          <w:sz w:val="28"/>
        </w:rPr>
        <w:t>1</w:t>
      </w:r>
    </w:p>
    <w:p w14:paraId="24E7A813" w14:textId="1875BB40" w:rsidR="00695A03" w:rsidRPr="00734B6A" w:rsidRDefault="00695A03" w:rsidP="00663C3B">
      <w:pPr>
        <w:pStyle w:val="Heading1"/>
        <w:tabs>
          <w:tab w:val="num" w:pos="5670"/>
        </w:tabs>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sidR="009E7438">
        <w:rPr>
          <w:rFonts w:asciiTheme="minorHAnsi" w:hAnsiTheme="minorHAnsi" w:cstheme="minorHAnsi"/>
          <w:b/>
          <w:snapToGrid w:val="0"/>
          <w:color w:val="auto"/>
        </w:rPr>
        <w:t>Tb preventive treatment</w:t>
      </w:r>
      <w:r w:rsidR="00207A04">
        <w:rPr>
          <w:rFonts w:asciiTheme="minorHAnsi" w:hAnsiTheme="minorHAnsi" w:cstheme="minorHAnsi"/>
          <w:b/>
          <w:snapToGrid w:val="0"/>
          <w:color w:val="auto"/>
        </w:rPr>
        <w:t xml:space="preserve"> (TPT)</w:t>
      </w:r>
      <w:r w:rsidR="009E7438">
        <w:rPr>
          <w:rFonts w:asciiTheme="minorHAnsi" w:hAnsiTheme="minorHAnsi" w:cstheme="minorHAnsi"/>
          <w:b/>
          <w:snapToGrid w:val="0"/>
          <w:color w:val="auto"/>
        </w:rPr>
        <w:t xml:space="preserve"> and </w:t>
      </w:r>
      <w:r>
        <w:rPr>
          <w:rFonts w:asciiTheme="minorHAnsi" w:hAnsiTheme="minorHAnsi" w:cstheme="minorHAnsi"/>
          <w:b/>
          <w:snapToGrid w:val="0"/>
          <w:color w:val="auto"/>
        </w:rPr>
        <w:t xml:space="preserve">programmatic management of </w:t>
      </w:r>
      <w:r w:rsidR="00207A04">
        <w:rPr>
          <w:rFonts w:asciiTheme="minorHAnsi" w:hAnsiTheme="minorHAnsi" w:cstheme="minorHAnsi"/>
          <w:b/>
          <w:snapToGrid w:val="0"/>
          <w:color w:val="auto"/>
        </w:rPr>
        <w:t>TPT</w:t>
      </w:r>
    </w:p>
    <w:p w14:paraId="04E3DE1F" w14:textId="744CABA5" w:rsidR="0075389F" w:rsidRPr="00C45A90" w:rsidRDefault="00D756D3"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2</w:t>
      </w:r>
      <w:r>
        <w:rPr>
          <w:rFonts w:asciiTheme="minorHAnsi" w:hAnsiTheme="minorHAnsi" w:cstheme="minorHAnsi"/>
          <w:b/>
          <w:color w:val="C86A07" w:themeColor="accent2" w:themeShade="BF"/>
          <w:sz w:val="28"/>
          <w:lang w:val="en"/>
        </w:rPr>
        <w:t xml:space="preserve">.1 </w:t>
      </w:r>
      <w:r w:rsidR="0075389F" w:rsidRPr="00C45A90">
        <w:rPr>
          <w:rFonts w:asciiTheme="minorHAnsi" w:hAnsiTheme="minorHAnsi" w:cstheme="minorHAnsi"/>
          <w:b/>
          <w:color w:val="C86A07" w:themeColor="accent2" w:themeShade="BF"/>
          <w:sz w:val="28"/>
          <w:lang w:val="en"/>
        </w:rPr>
        <w:t>INTRODUCTION</w:t>
      </w:r>
    </w:p>
    <w:p w14:paraId="00CE942E" w14:textId="003BB3CD" w:rsidR="00AE1210" w:rsidRPr="00C37466" w:rsidRDefault="00695A03" w:rsidP="00C129C4">
      <w:pPr>
        <w:spacing w:before="0" w:after="0"/>
        <w:jc w:val="both"/>
        <w:rPr>
          <w:rFonts w:asciiTheme="minorHAnsi" w:hAnsiTheme="minorHAnsi" w:cstheme="minorHAnsi"/>
          <w:sz w:val="22"/>
          <w:lang w:val="en"/>
        </w:rPr>
      </w:pPr>
      <w:r>
        <w:rPr>
          <w:rFonts w:asciiTheme="minorHAnsi" w:hAnsiTheme="minorHAnsi" w:cstheme="minorHAnsi"/>
          <w:sz w:val="22"/>
          <w:lang w:val="en"/>
        </w:rPr>
        <w:t xml:space="preserve">It is now well established that </w:t>
      </w:r>
      <w:r w:rsidR="00AE1210" w:rsidRPr="00CE5D6D">
        <w:rPr>
          <w:rFonts w:asciiTheme="minorHAnsi" w:hAnsiTheme="minorHAnsi" w:cstheme="minorHAnsi"/>
          <w:sz w:val="22"/>
          <w:lang w:val="en"/>
        </w:rPr>
        <w:t>focus on TB disease alone has a limited impact on the reduction in future incidence without the additive effect of TB preventive treatment for people with latent TB infection (LTBI).</w:t>
      </w:r>
      <w:r w:rsidR="006F6335">
        <w:rPr>
          <w:rStyle w:val="FootnoteReference"/>
          <w:rFonts w:cstheme="minorHAnsi"/>
          <w:lang w:val="en"/>
        </w:rPr>
        <w:footnoteReference w:id="40"/>
      </w:r>
      <w:r>
        <w:rPr>
          <w:rFonts w:asciiTheme="minorHAnsi" w:hAnsiTheme="minorHAnsi" w:cstheme="minorHAnsi"/>
          <w:sz w:val="22"/>
          <w:vertAlign w:val="superscript"/>
          <w:lang w:val="en"/>
        </w:rPr>
        <w:t xml:space="preserve"> </w:t>
      </w:r>
      <w:r w:rsidR="00AE1210" w:rsidRPr="00CE5D6D">
        <w:rPr>
          <w:rFonts w:asciiTheme="minorHAnsi" w:hAnsiTheme="minorHAnsi" w:cstheme="minorHAnsi"/>
          <w:sz w:val="22"/>
          <w:lang w:val="en"/>
        </w:rPr>
        <w:t>Current estimates for the estimated number of persons with LTBI in India is substantial.</w:t>
      </w:r>
      <w:r w:rsidR="006F6335">
        <w:rPr>
          <w:rStyle w:val="FootnoteReference"/>
          <w:rFonts w:cstheme="minorHAnsi"/>
          <w:lang w:val="en"/>
        </w:rPr>
        <w:footnoteReference w:id="41"/>
      </w:r>
      <w:r w:rsidR="00AE1210" w:rsidRPr="00CE5D6D">
        <w:rPr>
          <w:rFonts w:asciiTheme="minorHAnsi" w:hAnsiTheme="minorHAnsi" w:cstheme="minorHAnsi"/>
          <w:sz w:val="22"/>
          <w:lang w:val="en"/>
        </w:rPr>
        <w:t xml:space="preserve">  Assuming a conservative average of four household contacts per notified patient and 50 percent tuberculosis infection rate among them, an estimated 4 million new tuberculosis household infections occur in India every year</w:t>
      </w:r>
      <w:r w:rsidR="006F6335">
        <w:rPr>
          <w:rFonts w:asciiTheme="minorHAnsi" w:hAnsiTheme="minorHAnsi" w:cstheme="minorHAnsi"/>
          <w:sz w:val="22"/>
          <w:lang w:val="en"/>
        </w:rPr>
        <w:t>.</w:t>
      </w:r>
      <w:r w:rsidR="00AE1210" w:rsidRPr="006F6335">
        <w:rPr>
          <w:rFonts w:asciiTheme="minorHAnsi" w:hAnsiTheme="minorHAnsi" w:cstheme="minorHAnsi"/>
          <w:sz w:val="22"/>
          <w:vertAlign w:val="superscript"/>
          <w:lang w:val="en"/>
        </w:rPr>
        <w:t>.</w:t>
      </w:r>
      <w:r w:rsidR="006F6335" w:rsidRPr="006F6335">
        <w:rPr>
          <w:rStyle w:val="FootnoteReference"/>
          <w:rFonts w:cstheme="minorHAnsi"/>
          <w:lang w:val="en"/>
        </w:rPr>
        <w:footnoteReference w:id="42"/>
      </w:r>
      <w:r w:rsidR="006F6335">
        <w:rPr>
          <w:rFonts w:asciiTheme="minorHAnsi" w:hAnsiTheme="minorHAnsi" w:cstheme="minorHAnsi"/>
          <w:sz w:val="22"/>
          <w:vertAlign w:val="superscript"/>
          <w:lang w:val="en"/>
        </w:rPr>
        <w:t>,</w:t>
      </w:r>
      <w:r w:rsidR="006F6335">
        <w:rPr>
          <w:rStyle w:val="FootnoteReference"/>
          <w:rFonts w:cstheme="minorHAnsi"/>
          <w:lang w:val="en"/>
        </w:rPr>
        <w:footnoteReference w:id="43"/>
      </w:r>
      <w:r w:rsidR="006F6335">
        <w:rPr>
          <w:rFonts w:asciiTheme="minorHAnsi" w:hAnsiTheme="minorHAnsi" w:cstheme="minorHAnsi"/>
          <w:sz w:val="22"/>
          <w:vertAlign w:val="superscript"/>
          <w:lang w:val="en"/>
        </w:rPr>
        <w:t>,</w:t>
      </w:r>
      <w:r w:rsidR="006F6335">
        <w:rPr>
          <w:rStyle w:val="FootnoteReference"/>
          <w:rFonts w:cstheme="minorHAnsi"/>
          <w:lang w:val="en"/>
        </w:rPr>
        <w:footnoteReference w:id="44"/>
      </w:r>
      <w:r w:rsidR="006F6335">
        <w:rPr>
          <w:rFonts w:asciiTheme="minorHAnsi" w:hAnsiTheme="minorHAnsi" w:cstheme="minorHAnsi"/>
          <w:sz w:val="22"/>
          <w:lang w:val="en"/>
        </w:rPr>
        <w:t xml:space="preserve">  </w:t>
      </w:r>
      <w:r w:rsidR="00AE1210" w:rsidRPr="00CE5D6D">
        <w:rPr>
          <w:rFonts w:asciiTheme="minorHAnsi" w:hAnsiTheme="minorHAnsi" w:cstheme="minorHAnsi"/>
          <w:sz w:val="22"/>
          <w:lang w:val="en"/>
        </w:rPr>
        <w:t>Without further action and investment, 24 million new tuberculosis household infections will occur by 2025</w:t>
      </w:r>
      <w:r w:rsidR="006F6335">
        <w:rPr>
          <w:rStyle w:val="FootnoteReference"/>
          <w:rFonts w:cstheme="minorHAnsi"/>
          <w:lang w:val="en"/>
        </w:rPr>
        <w:footnoteReference w:id="45"/>
      </w:r>
      <w:r w:rsidR="00766A08">
        <w:rPr>
          <w:rFonts w:asciiTheme="minorHAnsi" w:hAnsiTheme="minorHAnsi" w:cstheme="minorHAnsi"/>
          <w:sz w:val="22"/>
          <w:lang w:val="en"/>
        </w:rPr>
        <w:t>.</w:t>
      </w:r>
      <w:r w:rsidR="00AE1210" w:rsidRPr="00CE5D6D">
        <w:rPr>
          <w:rFonts w:asciiTheme="minorHAnsi" w:hAnsiTheme="minorHAnsi" w:cstheme="minorHAnsi"/>
          <w:sz w:val="22"/>
          <w:vertAlign w:val="superscript"/>
          <w:lang w:val="en"/>
        </w:rPr>
        <w:t xml:space="preserve"> </w:t>
      </w:r>
      <w:r>
        <w:rPr>
          <w:rFonts w:asciiTheme="minorHAnsi" w:hAnsiTheme="minorHAnsi" w:cstheme="minorHAnsi"/>
          <w:sz w:val="22"/>
          <w:lang w:val="en"/>
        </w:rPr>
        <w:t xml:space="preserve">Clearly, addressing LTBI is a </w:t>
      </w:r>
      <w:r w:rsidRPr="00C37466">
        <w:rPr>
          <w:rFonts w:asciiTheme="minorHAnsi" w:hAnsiTheme="minorHAnsi" w:cstheme="minorHAnsi"/>
          <w:sz w:val="22"/>
          <w:lang w:val="en"/>
        </w:rPr>
        <w:t>programme imperative in India.</w:t>
      </w:r>
      <w:r w:rsidR="003E5BD4" w:rsidRPr="00C37466">
        <w:rPr>
          <w:rFonts w:asciiTheme="minorHAnsi" w:hAnsiTheme="minorHAnsi" w:cstheme="minorHAnsi"/>
          <w:sz w:val="22"/>
          <w:lang w:val="en"/>
        </w:rPr>
        <w:t xml:space="preserve"> </w:t>
      </w:r>
    </w:p>
    <w:p w14:paraId="440F3720" w14:textId="39D993D6" w:rsidR="009E67CA" w:rsidRDefault="003E5BD4" w:rsidP="009E67CA">
      <w:pPr>
        <w:spacing w:before="0" w:after="0"/>
        <w:jc w:val="both"/>
        <w:rPr>
          <w:rFonts w:asciiTheme="minorHAnsi" w:hAnsiTheme="minorHAnsi" w:cstheme="minorHAnsi"/>
          <w:sz w:val="22"/>
        </w:rPr>
      </w:pPr>
      <w:r w:rsidRPr="00C37466">
        <w:rPr>
          <w:rFonts w:asciiTheme="minorHAnsi" w:hAnsiTheme="minorHAnsi" w:cstheme="minorHAnsi"/>
          <w:sz w:val="22"/>
        </w:rPr>
        <w:t>India’s TB program has moved forward on the LTBI front by adapting t</w:t>
      </w:r>
      <w:r w:rsidR="00D80D30">
        <w:rPr>
          <w:rFonts w:asciiTheme="minorHAnsi" w:hAnsiTheme="minorHAnsi" w:cstheme="minorHAnsi"/>
          <w:sz w:val="22"/>
        </w:rPr>
        <w:t>he</w:t>
      </w:r>
      <w:r w:rsidRPr="00C37466">
        <w:rPr>
          <w:rFonts w:asciiTheme="minorHAnsi" w:hAnsiTheme="minorHAnsi" w:cstheme="minorHAnsi"/>
          <w:sz w:val="22"/>
        </w:rPr>
        <w:t xml:space="preserve"> international guidelines. In 2020 and onward NTEP plans saturation of LTBI treatment in two groups (i.e. PLHIV and paediatric contact of active TB patient) with the additional inclusion of</w:t>
      </w:r>
      <w:r w:rsidR="009E67CA">
        <w:rPr>
          <w:rFonts w:asciiTheme="minorHAnsi" w:hAnsiTheme="minorHAnsi" w:cstheme="minorHAnsi"/>
          <w:sz w:val="22"/>
        </w:rPr>
        <w:t xml:space="preserve"> asymptomatic contact all ages, patient with silicosis and children/adult on immunosuppressive therapy, Anti-TNF treatment, Dialysis and transplantation. </w:t>
      </w:r>
    </w:p>
    <w:p w14:paraId="2167D61D" w14:textId="0E41EFE2" w:rsidR="00695A03" w:rsidRPr="00C45A90" w:rsidRDefault="00D756D3" w:rsidP="00C45A90">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2</w:t>
      </w:r>
      <w:r>
        <w:rPr>
          <w:rFonts w:asciiTheme="minorHAnsi" w:hAnsiTheme="minorHAnsi" w:cstheme="minorHAnsi"/>
          <w:b/>
          <w:color w:val="C86A07" w:themeColor="accent2" w:themeShade="BF"/>
          <w:sz w:val="28"/>
          <w:lang w:val="en"/>
        </w:rPr>
        <w:t xml:space="preserve">.2 </w:t>
      </w:r>
      <w:r w:rsidR="00695A03" w:rsidRPr="00C45A90">
        <w:rPr>
          <w:rFonts w:asciiTheme="minorHAnsi" w:hAnsiTheme="minorHAnsi" w:cstheme="minorHAnsi"/>
          <w:b/>
          <w:color w:val="C86A07" w:themeColor="accent2" w:themeShade="BF"/>
          <w:sz w:val="28"/>
          <w:lang w:val="en"/>
        </w:rPr>
        <w:t>THE PROGRESS SO FAR</w:t>
      </w:r>
    </w:p>
    <w:p w14:paraId="03482C7B" w14:textId="0F44109C" w:rsidR="00F83130" w:rsidRDefault="00F83130" w:rsidP="00442A67">
      <w:pPr>
        <w:pStyle w:val="ListParagraph"/>
        <w:numPr>
          <w:ilvl w:val="0"/>
          <w:numId w:val="40"/>
        </w:numPr>
        <w:spacing w:before="0" w:after="0"/>
        <w:jc w:val="both"/>
        <w:rPr>
          <w:rFonts w:asciiTheme="minorHAnsi" w:hAnsiTheme="minorHAnsi" w:cstheme="minorHAnsi"/>
          <w:sz w:val="22"/>
          <w:lang w:val="en"/>
        </w:rPr>
      </w:pPr>
      <w:r>
        <w:rPr>
          <w:rFonts w:asciiTheme="minorHAnsi" w:hAnsiTheme="minorHAnsi" w:cstheme="minorHAnsi"/>
          <w:sz w:val="22"/>
          <w:lang w:val="en"/>
        </w:rPr>
        <w:t xml:space="preserve">The </w:t>
      </w:r>
      <w:r w:rsidRPr="00F83130">
        <w:rPr>
          <w:rFonts w:asciiTheme="minorHAnsi" w:hAnsiTheme="minorHAnsi" w:cstheme="minorHAnsi"/>
          <w:sz w:val="22"/>
          <w:lang w:val="en"/>
        </w:rPr>
        <w:t>program has taken significant strides in ramping up TB prevention services, including aligning its targets with UNHLM goals and rolling out of TPT to PLHIV and child household contacts.  In order to reach a TB free India by 2025, an increase in funding and resources with specific attention to support the scale-up</w:t>
      </w:r>
      <w:r>
        <w:rPr>
          <w:rFonts w:asciiTheme="minorHAnsi" w:hAnsiTheme="minorHAnsi" w:cstheme="minorHAnsi"/>
          <w:sz w:val="22"/>
          <w:lang w:val="en"/>
        </w:rPr>
        <w:t xml:space="preserve"> is</w:t>
      </w:r>
      <w:r w:rsidRPr="00F83130">
        <w:rPr>
          <w:rFonts w:asciiTheme="minorHAnsi" w:hAnsiTheme="minorHAnsi" w:cstheme="minorHAnsi"/>
          <w:sz w:val="22"/>
          <w:lang w:val="en"/>
        </w:rPr>
        <w:t xml:space="preserve"> required </w:t>
      </w:r>
      <w:r>
        <w:rPr>
          <w:rFonts w:asciiTheme="minorHAnsi" w:hAnsiTheme="minorHAnsi" w:cstheme="minorHAnsi"/>
          <w:sz w:val="22"/>
          <w:lang w:val="en"/>
        </w:rPr>
        <w:t>for</w:t>
      </w:r>
      <w:r w:rsidRPr="00F83130">
        <w:rPr>
          <w:rFonts w:asciiTheme="minorHAnsi" w:hAnsiTheme="minorHAnsi" w:cstheme="minorHAnsi"/>
          <w:sz w:val="22"/>
          <w:lang w:val="en"/>
        </w:rPr>
        <w:t xml:space="preserve"> TPT activities to meet these ambitious targets.    </w:t>
      </w:r>
    </w:p>
    <w:p w14:paraId="618E9414" w14:textId="4DFCD8EB" w:rsidR="000B606B" w:rsidRDefault="000B606B" w:rsidP="00442A67">
      <w:pPr>
        <w:pStyle w:val="ListParagraph"/>
        <w:numPr>
          <w:ilvl w:val="0"/>
          <w:numId w:val="40"/>
        </w:numPr>
        <w:spacing w:before="0" w:after="0"/>
        <w:jc w:val="both"/>
        <w:rPr>
          <w:rFonts w:asciiTheme="minorHAnsi" w:hAnsiTheme="minorHAnsi" w:cstheme="minorHAnsi"/>
          <w:sz w:val="22"/>
          <w:lang w:val="en"/>
        </w:rPr>
      </w:pPr>
      <w:r w:rsidRPr="000B606B">
        <w:rPr>
          <w:rFonts w:asciiTheme="minorHAnsi" w:hAnsiTheme="minorHAnsi" w:cstheme="minorHAnsi"/>
          <w:sz w:val="22"/>
          <w:lang w:val="en"/>
        </w:rPr>
        <w:t>Since 2017, and particularly in 2019, there has been a marked increase in coverage of TB preventive services among child household cont</w:t>
      </w:r>
      <w:r w:rsidR="000544ED">
        <w:rPr>
          <w:rFonts w:asciiTheme="minorHAnsi" w:hAnsiTheme="minorHAnsi" w:cstheme="minorHAnsi"/>
          <w:sz w:val="22"/>
          <w:lang w:val="en"/>
        </w:rPr>
        <w:t>acts of TB patients (see Graph 37</w:t>
      </w:r>
      <w:r w:rsidRPr="000B606B">
        <w:rPr>
          <w:rFonts w:asciiTheme="minorHAnsi" w:hAnsiTheme="minorHAnsi" w:cstheme="minorHAnsi"/>
          <w:sz w:val="22"/>
          <w:lang w:val="en"/>
        </w:rPr>
        <w:t xml:space="preserve">). Some progress has also been noted in household contact investigation to reach child contacts of TB patients for TPT </w:t>
      </w:r>
      <w:r w:rsidR="009E67CA">
        <w:rPr>
          <w:rFonts w:asciiTheme="minorHAnsi" w:hAnsiTheme="minorHAnsi" w:cstheme="minorHAnsi"/>
          <w:sz w:val="22"/>
          <w:lang w:val="en"/>
        </w:rPr>
        <w:t>provision.  In 2019, close to 47</w:t>
      </w:r>
      <w:r w:rsidRPr="000B606B">
        <w:rPr>
          <w:rFonts w:asciiTheme="minorHAnsi" w:hAnsiTheme="minorHAnsi" w:cstheme="minorHAnsi"/>
          <w:sz w:val="22"/>
          <w:lang w:val="en"/>
        </w:rPr>
        <w:t xml:space="preserve"> percent of households of notified TB patients </w:t>
      </w:r>
      <w:r w:rsidRPr="000B606B">
        <w:rPr>
          <w:rFonts w:asciiTheme="minorHAnsi" w:hAnsiTheme="minorHAnsi" w:cstheme="minorHAnsi"/>
          <w:sz w:val="22"/>
          <w:lang w:val="en"/>
        </w:rPr>
        <w:lastRenderedPageBreak/>
        <w:t xml:space="preserve">were visited with </w:t>
      </w:r>
      <w:r w:rsidR="009E67CA">
        <w:rPr>
          <w:rFonts w:asciiTheme="minorHAnsi" w:hAnsiTheme="minorHAnsi" w:cstheme="minorHAnsi"/>
          <w:sz w:val="22"/>
          <w:lang w:val="en"/>
        </w:rPr>
        <w:t xml:space="preserve">540,013 child contacts identified and 417,643 (78 percent) </w:t>
      </w:r>
      <w:r w:rsidRPr="000B606B">
        <w:rPr>
          <w:rFonts w:asciiTheme="minorHAnsi" w:hAnsiTheme="minorHAnsi" w:cstheme="minorHAnsi"/>
          <w:sz w:val="22"/>
          <w:lang w:val="en"/>
        </w:rPr>
        <w:t xml:space="preserve">child contacts received TPT (see </w:t>
      </w:r>
      <w:r w:rsidR="004D3907">
        <w:rPr>
          <w:rFonts w:asciiTheme="minorHAnsi" w:hAnsiTheme="minorHAnsi" w:cstheme="minorHAnsi"/>
          <w:sz w:val="22"/>
          <w:lang w:val="en"/>
        </w:rPr>
        <w:t>Figure 3</w:t>
      </w:r>
      <w:r w:rsidR="00CB1ADF">
        <w:rPr>
          <w:rFonts w:asciiTheme="minorHAnsi" w:hAnsiTheme="minorHAnsi" w:cstheme="minorHAnsi"/>
          <w:sz w:val="22"/>
          <w:lang w:val="en"/>
        </w:rPr>
        <w:t>7</w:t>
      </w:r>
      <w:r w:rsidRPr="000B606B">
        <w:rPr>
          <w:rFonts w:asciiTheme="minorHAnsi" w:hAnsiTheme="minorHAnsi" w:cstheme="minorHAnsi"/>
          <w:sz w:val="22"/>
          <w:lang w:val="en"/>
        </w:rPr>
        <w:t>).</w:t>
      </w:r>
      <w:r w:rsidR="00CB1ADF">
        <w:rPr>
          <w:rFonts w:asciiTheme="minorHAnsi" w:hAnsiTheme="minorHAnsi" w:cstheme="minorHAnsi"/>
          <w:sz w:val="22"/>
          <w:lang w:val="en"/>
        </w:rPr>
        <w:t xml:space="preserve"> </w:t>
      </w:r>
    </w:p>
    <w:p w14:paraId="787DA0B7" w14:textId="47086F12" w:rsidR="00691BB1" w:rsidRPr="00691BB1" w:rsidRDefault="00691BB1" w:rsidP="00691BB1">
      <w:pPr>
        <w:pStyle w:val="ListParagraph"/>
        <w:spacing w:before="0" w:after="0"/>
        <w:ind w:left="0"/>
        <w:jc w:val="both"/>
        <w:rPr>
          <w:rFonts w:asciiTheme="minorHAnsi" w:hAnsiTheme="minorHAnsi" w:cstheme="minorHAnsi"/>
          <w:b/>
          <w:sz w:val="18"/>
          <w:lang w:val="en"/>
        </w:rPr>
      </w:pPr>
      <w:r w:rsidRPr="00691BB1">
        <w:rPr>
          <w:rFonts w:asciiTheme="minorHAnsi" w:hAnsiTheme="minorHAnsi" w:cstheme="minorHAnsi"/>
          <w:b/>
          <w:sz w:val="18"/>
          <w:lang w:val="en"/>
        </w:rPr>
        <w:t xml:space="preserve">Figure </w:t>
      </w:r>
      <w:r w:rsidR="00852BA1">
        <w:rPr>
          <w:rFonts w:asciiTheme="minorHAnsi" w:hAnsiTheme="minorHAnsi" w:cstheme="minorHAnsi"/>
          <w:b/>
          <w:sz w:val="18"/>
          <w:lang w:val="en"/>
        </w:rPr>
        <w:t>3</w:t>
      </w:r>
      <w:r w:rsidR="003D596B">
        <w:rPr>
          <w:rFonts w:asciiTheme="minorHAnsi" w:hAnsiTheme="minorHAnsi" w:cstheme="minorHAnsi"/>
          <w:b/>
          <w:sz w:val="18"/>
          <w:lang w:val="en"/>
        </w:rPr>
        <w:t>7</w:t>
      </w:r>
      <w:r w:rsidRPr="00691BB1">
        <w:rPr>
          <w:rFonts w:asciiTheme="minorHAnsi" w:hAnsiTheme="minorHAnsi" w:cstheme="minorHAnsi"/>
          <w:b/>
          <w:sz w:val="18"/>
          <w:lang w:val="en"/>
        </w:rPr>
        <w:t xml:space="preserve">: </w:t>
      </w:r>
      <w:r>
        <w:rPr>
          <w:rFonts w:asciiTheme="minorHAnsi" w:hAnsiTheme="minorHAnsi" w:cstheme="minorHAnsi"/>
          <w:b/>
          <w:sz w:val="18"/>
          <w:lang w:val="en"/>
        </w:rPr>
        <w:t xml:space="preserve">Preventive therapy </w:t>
      </w:r>
    </w:p>
    <w:p w14:paraId="543232DA" w14:textId="00C96567" w:rsidR="00B907E5" w:rsidRPr="000B606B" w:rsidRDefault="00B557B7" w:rsidP="00D237AB">
      <w:pPr>
        <w:pStyle w:val="ListParagraph"/>
        <w:spacing w:before="0" w:after="0"/>
        <w:ind w:left="0" w:hanging="450"/>
        <w:jc w:val="both"/>
        <w:rPr>
          <w:rFonts w:asciiTheme="minorHAnsi" w:hAnsiTheme="minorHAnsi" w:cstheme="minorHAnsi"/>
          <w:sz w:val="22"/>
          <w:lang w:val="en"/>
        </w:rPr>
      </w:pPr>
      <w:r w:rsidRPr="00B557B7">
        <w:rPr>
          <w:noProof/>
          <w:lang w:val="en-IN" w:eastAsia="en-IN"/>
        </w:rPr>
        <w:drawing>
          <wp:inline distT="0" distB="0" distL="0" distR="0" wp14:anchorId="4943D2EB" wp14:editId="33C3F37C">
            <wp:extent cx="6372225" cy="35083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90549" cy="3518448"/>
                    </a:xfrm>
                    <a:prstGeom prst="rect">
                      <a:avLst/>
                    </a:prstGeom>
                  </pic:spPr>
                </pic:pic>
              </a:graphicData>
            </a:graphic>
          </wp:inline>
        </w:drawing>
      </w:r>
    </w:p>
    <w:p w14:paraId="5217C226" w14:textId="774167F6" w:rsidR="000B606B" w:rsidRPr="00CB1ADF" w:rsidRDefault="000B606B" w:rsidP="00442A67">
      <w:pPr>
        <w:pStyle w:val="ListParagraph"/>
        <w:numPr>
          <w:ilvl w:val="0"/>
          <w:numId w:val="40"/>
        </w:numPr>
        <w:spacing w:before="0" w:after="0"/>
        <w:jc w:val="both"/>
        <w:rPr>
          <w:rFonts w:asciiTheme="minorHAnsi" w:hAnsiTheme="minorHAnsi" w:cstheme="minorHAnsi"/>
          <w:sz w:val="22"/>
          <w:highlight w:val="yellow"/>
          <w:lang w:val="en"/>
        </w:rPr>
      </w:pPr>
      <w:r w:rsidRPr="00D237AB">
        <w:rPr>
          <w:rFonts w:asciiTheme="minorHAnsi" w:hAnsiTheme="minorHAnsi" w:cstheme="minorHAnsi"/>
          <w:sz w:val="22"/>
          <w:lang w:val="en"/>
        </w:rPr>
        <w:t xml:space="preserve">Since 2017, </w:t>
      </w:r>
      <w:r w:rsidR="009A0FDD">
        <w:rPr>
          <w:rFonts w:asciiTheme="minorHAnsi" w:hAnsiTheme="minorHAnsi" w:cstheme="minorHAnsi"/>
          <w:sz w:val="22"/>
          <w:lang w:val="en"/>
        </w:rPr>
        <w:t>N</w:t>
      </w:r>
      <w:r w:rsidRPr="00D237AB">
        <w:rPr>
          <w:rFonts w:asciiTheme="minorHAnsi" w:hAnsiTheme="minorHAnsi" w:cstheme="minorHAnsi"/>
          <w:sz w:val="22"/>
          <w:lang w:val="en"/>
        </w:rPr>
        <w:t>ational TB and HIV programmes have also demonstrated momentum in improving</w:t>
      </w:r>
      <w:r w:rsidRPr="000B606B">
        <w:rPr>
          <w:rFonts w:asciiTheme="minorHAnsi" w:hAnsiTheme="minorHAnsi" w:cstheme="minorHAnsi"/>
          <w:sz w:val="22"/>
          <w:lang w:val="en"/>
        </w:rPr>
        <w:t xml:space="preserve"> the coverage of TPT for PL</w:t>
      </w:r>
      <w:r w:rsidR="00D237AB">
        <w:rPr>
          <w:rFonts w:asciiTheme="minorHAnsi" w:hAnsiTheme="minorHAnsi" w:cstheme="minorHAnsi"/>
          <w:sz w:val="22"/>
          <w:lang w:val="en"/>
        </w:rPr>
        <w:t xml:space="preserve">HIV </w:t>
      </w:r>
      <w:r w:rsidR="00D237AB" w:rsidRPr="00D237AB">
        <w:rPr>
          <w:rFonts w:asciiTheme="minorHAnsi" w:hAnsiTheme="minorHAnsi" w:cstheme="minorHAnsi"/>
          <w:sz w:val="22"/>
          <w:lang w:val="en"/>
        </w:rPr>
        <w:t>(Fig 37)</w:t>
      </w:r>
      <w:r w:rsidR="00D237AB">
        <w:rPr>
          <w:rFonts w:asciiTheme="minorHAnsi" w:hAnsiTheme="minorHAnsi" w:cstheme="minorHAnsi"/>
          <w:sz w:val="22"/>
          <w:lang w:val="en"/>
        </w:rPr>
        <w:t xml:space="preserve">. </w:t>
      </w:r>
      <w:r w:rsidR="009E67CA" w:rsidRPr="00D237AB">
        <w:rPr>
          <w:rFonts w:asciiTheme="minorHAnsi" w:hAnsiTheme="minorHAnsi" w:cstheme="minorHAnsi"/>
          <w:sz w:val="22"/>
          <w:lang w:val="en"/>
        </w:rPr>
        <w:t xml:space="preserve">Close to </w:t>
      </w:r>
      <w:r w:rsidR="00D237AB" w:rsidRPr="00D237AB">
        <w:rPr>
          <w:rFonts w:asciiTheme="minorHAnsi" w:hAnsiTheme="minorHAnsi" w:cstheme="minorHAnsi"/>
          <w:sz w:val="22"/>
          <w:lang w:val="en"/>
        </w:rPr>
        <w:t>6</w:t>
      </w:r>
      <w:r w:rsidR="009E67CA" w:rsidRPr="00D237AB">
        <w:rPr>
          <w:rFonts w:asciiTheme="minorHAnsi" w:hAnsiTheme="minorHAnsi" w:cstheme="minorHAnsi"/>
          <w:sz w:val="22"/>
          <w:lang w:val="en"/>
        </w:rPr>
        <w:t>5</w:t>
      </w:r>
      <w:r w:rsidRPr="00D237AB">
        <w:rPr>
          <w:rFonts w:asciiTheme="minorHAnsi" w:hAnsiTheme="minorHAnsi" w:cstheme="minorHAnsi"/>
          <w:sz w:val="22"/>
          <w:lang w:val="en"/>
        </w:rPr>
        <w:t xml:space="preserve"> percent of PLHIV </w:t>
      </w:r>
      <w:r w:rsidR="00D237AB" w:rsidRPr="00D237AB">
        <w:rPr>
          <w:rFonts w:asciiTheme="minorHAnsi" w:hAnsiTheme="minorHAnsi" w:cstheme="minorHAnsi"/>
          <w:sz w:val="22"/>
          <w:lang w:val="en"/>
        </w:rPr>
        <w:t>on treatment have received TPT till December</w:t>
      </w:r>
      <w:r w:rsidRPr="00D237AB">
        <w:rPr>
          <w:rFonts w:asciiTheme="minorHAnsi" w:hAnsiTheme="minorHAnsi" w:cstheme="minorHAnsi"/>
          <w:sz w:val="22"/>
          <w:lang w:val="en"/>
        </w:rPr>
        <w:t xml:space="preserve"> 2019.</w:t>
      </w:r>
      <w:r w:rsidR="00CB1ADF" w:rsidRPr="00D237AB">
        <w:rPr>
          <w:rFonts w:asciiTheme="minorHAnsi" w:hAnsiTheme="minorHAnsi" w:cstheme="minorHAnsi"/>
          <w:sz w:val="22"/>
          <w:lang w:val="en"/>
        </w:rPr>
        <w:t xml:space="preserve"> </w:t>
      </w:r>
    </w:p>
    <w:p w14:paraId="77DF146F" w14:textId="00AAF78C" w:rsidR="00EA47CE" w:rsidRDefault="0050507C" w:rsidP="00442A67">
      <w:pPr>
        <w:pStyle w:val="ListParagraph"/>
        <w:numPr>
          <w:ilvl w:val="0"/>
          <w:numId w:val="40"/>
        </w:numPr>
        <w:spacing w:before="0" w:after="0"/>
        <w:jc w:val="both"/>
        <w:rPr>
          <w:rFonts w:asciiTheme="minorHAnsi" w:hAnsiTheme="minorHAnsi" w:cstheme="minorHAnsi"/>
          <w:sz w:val="22"/>
          <w:lang w:val="en"/>
        </w:rPr>
      </w:pPr>
      <w:r>
        <w:rPr>
          <w:rFonts w:asciiTheme="minorHAnsi" w:hAnsiTheme="minorHAnsi" w:cstheme="minorHAnsi"/>
          <w:sz w:val="22"/>
          <w:lang w:val="en"/>
        </w:rPr>
        <w:t>NTEP</w:t>
      </w:r>
      <w:r w:rsidR="000B606B" w:rsidRPr="000B606B">
        <w:rPr>
          <w:rFonts w:asciiTheme="minorHAnsi" w:hAnsiTheme="minorHAnsi" w:cstheme="minorHAnsi"/>
          <w:sz w:val="22"/>
          <w:lang w:val="en"/>
        </w:rPr>
        <w:t xml:space="preserve"> is also currently testing operational feasibility of the WHO mobile application to strengthen recording and reporting of cascade of care for TB preventive treatment.</w:t>
      </w:r>
      <w:r w:rsidR="00EA47CE">
        <w:rPr>
          <w:rFonts w:asciiTheme="minorHAnsi" w:hAnsiTheme="minorHAnsi" w:cstheme="minorHAnsi"/>
          <w:sz w:val="22"/>
          <w:lang w:val="en"/>
        </w:rPr>
        <w:t xml:space="preserve">  </w:t>
      </w:r>
    </w:p>
    <w:p w14:paraId="229F8A02" w14:textId="148376AC" w:rsidR="00317D7B"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2</w:t>
      </w:r>
      <w:r>
        <w:rPr>
          <w:rFonts w:asciiTheme="minorHAnsi" w:hAnsiTheme="minorHAnsi" w:cstheme="minorHAnsi"/>
          <w:b/>
          <w:color w:val="C86A07" w:themeColor="accent2" w:themeShade="BF"/>
          <w:sz w:val="28"/>
          <w:lang w:val="en"/>
        </w:rPr>
        <w:t xml:space="preserve">.3 </w:t>
      </w:r>
      <w:r w:rsidR="00317D7B" w:rsidRPr="0030030B">
        <w:rPr>
          <w:rFonts w:asciiTheme="minorHAnsi" w:hAnsiTheme="minorHAnsi" w:cstheme="minorHAnsi"/>
          <w:b/>
          <w:color w:val="C86A07" w:themeColor="accent2" w:themeShade="BF"/>
          <w:sz w:val="28"/>
          <w:lang w:val="en"/>
        </w:rPr>
        <w:t>CHALLENGES REMAIN</w:t>
      </w:r>
    </w:p>
    <w:p w14:paraId="0746D1BF" w14:textId="15759C9A" w:rsidR="00317D7B" w:rsidRPr="00D95DF2" w:rsidRDefault="00317D7B" w:rsidP="00442A67">
      <w:pPr>
        <w:pStyle w:val="ListParagraph"/>
        <w:numPr>
          <w:ilvl w:val="0"/>
          <w:numId w:val="41"/>
        </w:numPr>
        <w:spacing w:before="0" w:after="0"/>
        <w:jc w:val="both"/>
        <w:rPr>
          <w:rFonts w:asciiTheme="minorHAnsi" w:hAnsiTheme="minorHAnsi" w:cstheme="minorHAnsi"/>
          <w:sz w:val="22"/>
          <w:lang w:val="en"/>
        </w:rPr>
      </w:pPr>
      <w:r w:rsidRPr="00D95DF2">
        <w:rPr>
          <w:rFonts w:asciiTheme="minorHAnsi" w:hAnsiTheme="minorHAnsi" w:cstheme="minorHAnsi"/>
          <w:sz w:val="22"/>
          <w:lang w:val="en"/>
        </w:rPr>
        <w:t xml:space="preserve">While important first steps have been taken by </w:t>
      </w:r>
      <w:r w:rsidR="0050507C">
        <w:rPr>
          <w:rFonts w:asciiTheme="minorHAnsi" w:hAnsiTheme="minorHAnsi" w:cstheme="minorHAnsi"/>
          <w:sz w:val="22"/>
          <w:lang w:val="en"/>
        </w:rPr>
        <w:t>NTEP</w:t>
      </w:r>
      <w:r w:rsidRPr="00D95DF2">
        <w:rPr>
          <w:rFonts w:asciiTheme="minorHAnsi" w:hAnsiTheme="minorHAnsi" w:cstheme="minorHAnsi"/>
          <w:sz w:val="22"/>
          <w:lang w:val="en"/>
        </w:rPr>
        <w:t xml:space="preserve"> to start TPT interventions</w:t>
      </w:r>
      <w:r w:rsidR="00D237AB">
        <w:rPr>
          <w:rFonts w:asciiTheme="minorHAnsi" w:hAnsiTheme="minorHAnsi" w:cstheme="minorHAnsi"/>
          <w:sz w:val="22"/>
          <w:lang w:val="en"/>
        </w:rPr>
        <w:t>, t</w:t>
      </w:r>
      <w:r w:rsidR="00D95DF2">
        <w:rPr>
          <w:rFonts w:asciiTheme="minorHAnsi" w:hAnsiTheme="minorHAnsi" w:cstheme="minorHAnsi"/>
          <w:sz w:val="22"/>
          <w:lang w:val="en"/>
        </w:rPr>
        <w:t xml:space="preserve">he challenges primarily relate to strategy and execution of the </w:t>
      </w:r>
      <w:r w:rsidR="00EE5061">
        <w:rPr>
          <w:rFonts w:asciiTheme="minorHAnsi" w:hAnsiTheme="minorHAnsi" w:cstheme="minorHAnsi"/>
          <w:sz w:val="22"/>
          <w:lang w:val="en"/>
        </w:rPr>
        <w:t>strategy</w:t>
      </w:r>
      <w:r w:rsidR="00D95DF2">
        <w:rPr>
          <w:rFonts w:asciiTheme="minorHAnsi" w:hAnsiTheme="minorHAnsi" w:cstheme="minorHAnsi"/>
          <w:sz w:val="22"/>
          <w:lang w:val="en"/>
        </w:rPr>
        <w:t xml:space="preserve">. </w:t>
      </w:r>
      <w:r w:rsidR="000B659C" w:rsidRPr="00D95DF2">
        <w:rPr>
          <w:rFonts w:asciiTheme="minorHAnsi" w:hAnsiTheme="minorHAnsi" w:cstheme="minorHAnsi"/>
          <w:sz w:val="22"/>
          <w:lang w:val="en"/>
        </w:rPr>
        <w:t xml:space="preserve"> </w:t>
      </w:r>
    </w:p>
    <w:p w14:paraId="028B8ADE" w14:textId="77777777" w:rsidR="00317D7B" w:rsidRPr="00317D7B" w:rsidRDefault="00317D7B" w:rsidP="00442A67">
      <w:pPr>
        <w:pStyle w:val="ListParagraph"/>
        <w:numPr>
          <w:ilvl w:val="1"/>
          <w:numId w:val="41"/>
        </w:numPr>
        <w:spacing w:before="0" w:after="0"/>
        <w:jc w:val="both"/>
        <w:rPr>
          <w:rFonts w:asciiTheme="minorHAnsi" w:hAnsiTheme="minorHAnsi" w:cstheme="minorHAnsi"/>
          <w:sz w:val="22"/>
          <w:lang w:val="en"/>
        </w:rPr>
      </w:pPr>
      <w:r w:rsidRPr="00317D7B">
        <w:rPr>
          <w:rFonts w:asciiTheme="minorHAnsi" w:hAnsiTheme="minorHAnsi" w:cstheme="minorHAnsi"/>
          <w:sz w:val="22"/>
          <w:lang w:val="en"/>
        </w:rPr>
        <w:t xml:space="preserve"> Strategy related</w:t>
      </w:r>
    </w:p>
    <w:p w14:paraId="3E5B1960" w14:textId="77777777" w:rsidR="00317D7B" w:rsidRPr="00317D7B" w:rsidRDefault="00317D7B" w:rsidP="00442A67">
      <w:pPr>
        <w:pStyle w:val="ListParagraph"/>
        <w:numPr>
          <w:ilvl w:val="2"/>
          <w:numId w:val="41"/>
        </w:numPr>
        <w:spacing w:before="0" w:after="0"/>
        <w:jc w:val="both"/>
        <w:rPr>
          <w:rFonts w:asciiTheme="minorHAnsi" w:hAnsiTheme="minorHAnsi" w:cstheme="minorHAnsi"/>
          <w:sz w:val="22"/>
          <w:lang w:val="en"/>
        </w:rPr>
      </w:pPr>
      <w:r w:rsidRPr="00317D7B">
        <w:rPr>
          <w:rFonts w:asciiTheme="minorHAnsi" w:hAnsiTheme="minorHAnsi" w:cstheme="minorHAnsi"/>
          <w:sz w:val="22"/>
          <w:lang w:val="en"/>
        </w:rPr>
        <w:t>Low priority accorded to TB preventive treatment by national TB and HIV programmes</w:t>
      </w:r>
    </w:p>
    <w:p w14:paraId="47E95098" w14:textId="77777777" w:rsidR="00317D7B" w:rsidRPr="00317D7B" w:rsidRDefault="00317D7B" w:rsidP="00442A67">
      <w:pPr>
        <w:pStyle w:val="ListParagraph"/>
        <w:numPr>
          <w:ilvl w:val="2"/>
          <w:numId w:val="41"/>
        </w:numPr>
        <w:spacing w:before="0" w:after="0"/>
        <w:jc w:val="both"/>
        <w:rPr>
          <w:rFonts w:asciiTheme="minorHAnsi" w:hAnsiTheme="minorHAnsi" w:cstheme="minorHAnsi"/>
          <w:sz w:val="22"/>
          <w:lang w:val="en"/>
        </w:rPr>
      </w:pPr>
      <w:r w:rsidRPr="00317D7B">
        <w:rPr>
          <w:rFonts w:asciiTheme="minorHAnsi" w:hAnsiTheme="minorHAnsi" w:cstheme="minorHAnsi"/>
          <w:sz w:val="22"/>
          <w:lang w:val="en"/>
        </w:rPr>
        <w:t>Restrictive eligibility criteria for TB preventive treatment</w:t>
      </w:r>
    </w:p>
    <w:p w14:paraId="5CC5A418" w14:textId="77777777" w:rsidR="00317D7B" w:rsidRPr="00317D7B" w:rsidRDefault="00317D7B" w:rsidP="00442A67">
      <w:pPr>
        <w:pStyle w:val="ListParagraph"/>
        <w:numPr>
          <w:ilvl w:val="2"/>
          <w:numId w:val="41"/>
        </w:numPr>
        <w:spacing w:before="0" w:after="0"/>
        <w:jc w:val="both"/>
        <w:rPr>
          <w:rFonts w:asciiTheme="minorHAnsi" w:hAnsiTheme="minorHAnsi" w:cstheme="minorHAnsi"/>
          <w:sz w:val="22"/>
          <w:lang w:val="en"/>
        </w:rPr>
      </w:pPr>
      <w:r w:rsidRPr="00317D7B">
        <w:rPr>
          <w:rFonts w:asciiTheme="minorHAnsi" w:hAnsiTheme="minorHAnsi" w:cstheme="minorHAnsi"/>
          <w:sz w:val="22"/>
          <w:lang w:val="en"/>
        </w:rPr>
        <w:t>Shorter regimen of TB preventive treatment yet to be implemented</w:t>
      </w:r>
    </w:p>
    <w:p w14:paraId="2535147F" w14:textId="77777777" w:rsidR="00317D7B" w:rsidRPr="00317D7B" w:rsidRDefault="00317D7B" w:rsidP="00442A67">
      <w:pPr>
        <w:pStyle w:val="ListParagraph"/>
        <w:numPr>
          <w:ilvl w:val="1"/>
          <w:numId w:val="41"/>
        </w:numPr>
        <w:spacing w:before="0" w:after="0"/>
        <w:jc w:val="both"/>
        <w:rPr>
          <w:rFonts w:asciiTheme="minorHAnsi" w:hAnsiTheme="minorHAnsi" w:cstheme="minorHAnsi"/>
          <w:sz w:val="22"/>
          <w:lang w:val="en"/>
        </w:rPr>
      </w:pPr>
      <w:r w:rsidRPr="00317D7B">
        <w:rPr>
          <w:rFonts w:asciiTheme="minorHAnsi" w:hAnsiTheme="minorHAnsi" w:cstheme="minorHAnsi"/>
          <w:sz w:val="22"/>
          <w:lang w:val="en"/>
        </w:rPr>
        <w:t>Operational</w:t>
      </w:r>
    </w:p>
    <w:p w14:paraId="00601592" w14:textId="77777777" w:rsidR="00317D7B" w:rsidRDefault="00317D7B" w:rsidP="00442A67">
      <w:pPr>
        <w:pStyle w:val="ListParagraph"/>
        <w:numPr>
          <w:ilvl w:val="2"/>
          <w:numId w:val="41"/>
        </w:numPr>
        <w:spacing w:before="0" w:after="0"/>
        <w:jc w:val="both"/>
        <w:rPr>
          <w:rFonts w:asciiTheme="minorHAnsi" w:hAnsiTheme="minorHAnsi" w:cstheme="minorHAnsi"/>
          <w:sz w:val="22"/>
          <w:lang w:val="en"/>
        </w:rPr>
      </w:pPr>
      <w:r w:rsidRPr="00317D7B">
        <w:rPr>
          <w:rFonts w:asciiTheme="minorHAnsi" w:hAnsiTheme="minorHAnsi" w:cstheme="minorHAnsi"/>
          <w:sz w:val="22"/>
          <w:lang w:val="en"/>
        </w:rPr>
        <w:t>Low coverage of household contact investigation</w:t>
      </w:r>
    </w:p>
    <w:p w14:paraId="1D9CB05E" w14:textId="1BE4AB05" w:rsidR="001E170B" w:rsidRPr="001E170B" w:rsidRDefault="009E67CA" w:rsidP="00442A67">
      <w:pPr>
        <w:pStyle w:val="ListParagraph"/>
        <w:numPr>
          <w:ilvl w:val="2"/>
          <w:numId w:val="41"/>
        </w:numPr>
        <w:rPr>
          <w:rFonts w:asciiTheme="minorHAnsi" w:hAnsiTheme="minorHAnsi" w:cstheme="minorHAnsi"/>
          <w:sz w:val="22"/>
          <w:lang w:val="en"/>
        </w:rPr>
      </w:pPr>
      <w:r w:rsidRPr="009E67CA">
        <w:rPr>
          <w:rFonts w:asciiTheme="minorHAnsi" w:hAnsiTheme="minorHAnsi" w:cstheme="minorHAnsi"/>
          <w:sz w:val="22"/>
          <w:lang w:val="en"/>
        </w:rPr>
        <w:t>T</w:t>
      </w:r>
      <w:r w:rsidR="001E170B" w:rsidRPr="009E67CA">
        <w:rPr>
          <w:rFonts w:asciiTheme="minorHAnsi" w:hAnsiTheme="minorHAnsi" w:cstheme="minorHAnsi"/>
          <w:sz w:val="22"/>
          <w:lang w:val="en"/>
        </w:rPr>
        <w:t>PT coverage in identified key populations (Children &lt;5 years and PLHIV) is sub-</w:t>
      </w:r>
      <w:r w:rsidR="001E170B" w:rsidRPr="001E170B">
        <w:rPr>
          <w:rFonts w:asciiTheme="minorHAnsi" w:hAnsiTheme="minorHAnsi" w:cstheme="minorHAnsi"/>
          <w:sz w:val="22"/>
          <w:lang w:val="en"/>
        </w:rPr>
        <w:t>optimal in most of the states.</w:t>
      </w:r>
    </w:p>
    <w:p w14:paraId="012835D2" w14:textId="77777777" w:rsidR="00317D7B" w:rsidRPr="00317D7B" w:rsidRDefault="00317D7B" w:rsidP="00442A67">
      <w:pPr>
        <w:pStyle w:val="ListParagraph"/>
        <w:numPr>
          <w:ilvl w:val="2"/>
          <w:numId w:val="41"/>
        </w:numPr>
        <w:spacing w:before="0" w:after="0"/>
        <w:jc w:val="both"/>
        <w:rPr>
          <w:rFonts w:asciiTheme="minorHAnsi" w:hAnsiTheme="minorHAnsi" w:cstheme="minorHAnsi"/>
          <w:sz w:val="22"/>
          <w:lang w:val="en"/>
        </w:rPr>
      </w:pPr>
      <w:r w:rsidRPr="00317D7B">
        <w:rPr>
          <w:rFonts w:asciiTheme="minorHAnsi" w:hAnsiTheme="minorHAnsi" w:cstheme="minorHAnsi"/>
          <w:sz w:val="22"/>
          <w:lang w:val="en"/>
        </w:rPr>
        <w:t>Low coverage of TPT among PLHIV newly enrolled in care</w:t>
      </w:r>
    </w:p>
    <w:p w14:paraId="7EA55A1B" w14:textId="77777777" w:rsidR="00317D7B" w:rsidRPr="00317D7B" w:rsidRDefault="00317D7B" w:rsidP="00442A67">
      <w:pPr>
        <w:pStyle w:val="ListParagraph"/>
        <w:numPr>
          <w:ilvl w:val="2"/>
          <w:numId w:val="41"/>
        </w:numPr>
        <w:spacing w:before="0" w:after="0"/>
        <w:jc w:val="both"/>
        <w:rPr>
          <w:rFonts w:asciiTheme="minorHAnsi" w:hAnsiTheme="minorHAnsi" w:cstheme="minorHAnsi"/>
          <w:sz w:val="22"/>
          <w:lang w:val="en"/>
        </w:rPr>
      </w:pPr>
      <w:r w:rsidRPr="00317D7B">
        <w:rPr>
          <w:rFonts w:asciiTheme="minorHAnsi" w:hAnsiTheme="minorHAnsi" w:cstheme="minorHAnsi"/>
          <w:sz w:val="22"/>
          <w:lang w:val="en"/>
        </w:rPr>
        <w:t>Contact investigation non-existent for TB patients detected and notified from private sector</w:t>
      </w:r>
    </w:p>
    <w:p w14:paraId="287EBB74" w14:textId="0C88D8B7" w:rsidR="00317D7B" w:rsidRDefault="00317D7B" w:rsidP="00442A67">
      <w:pPr>
        <w:pStyle w:val="ListParagraph"/>
        <w:numPr>
          <w:ilvl w:val="2"/>
          <w:numId w:val="41"/>
        </w:numPr>
        <w:spacing w:before="0" w:after="0"/>
        <w:jc w:val="both"/>
        <w:rPr>
          <w:rFonts w:asciiTheme="minorHAnsi" w:hAnsiTheme="minorHAnsi" w:cstheme="minorHAnsi"/>
          <w:sz w:val="22"/>
          <w:lang w:val="en"/>
        </w:rPr>
      </w:pPr>
      <w:r w:rsidRPr="00317D7B">
        <w:rPr>
          <w:rFonts w:asciiTheme="minorHAnsi" w:hAnsiTheme="minorHAnsi" w:cstheme="minorHAnsi"/>
          <w:sz w:val="22"/>
          <w:lang w:val="en"/>
        </w:rPr>
        <w:t>Missing cascade data (Nikshay/patient records)</w:t>
      </w:r>
      <w:r w:rsidR="000F6D1D">
        <w:rPr>
          <w:rFonts w:asciiTheme="minorHAnsi" w:hAnsiTheme="minorHAnsi" w:cstheme="minorHAnsi"/>
          <w:sz w:val="22"/>
          <w:lang w:val="en"/>
        </w:rPr>
        <w:t xml:space="preserve"> </w:t>
      </w:r>
    </w:p>
    <w:p w14:paraId="1FE76E8D" w14:textId="445C9A41" w:rsidR="000F6D1D" w:rsidRPr="00317D7B" w:rsidRDefault="000F6D1D" w:rsidP="00442A67">
      <w:pPr>
        <w:pStyle w:val="ListParagraph"/>
        <w:numPr>
          <w:ilvl w:val="2"/>
          <w:numId w:val="41"/>
        </w:numPr>
        <w:spacing w:before="0" w:after="0"/>
        <w:jc w:val="both"/>
        <w:rPr>
          <w:rFonts w:asciiTheme="minorHAnsi" w:hAnsiTheme="minorHAnsi" w:cstheme="minorHAnsi"/>
          <w:sz w:val="22"/>
          <w:lang w:val="en"/>
        </w:rPr>
      </w:pPr>
      <w:r w:rsidRPr="000F6D1D">
        <w:rPr>
          <w:rFonts w:asciiTheme="minorHAnsi" w:hAnsiTheme="minorHAnsi" w:cstheme="minorHAnsi"/>
          <w:sz w:val="22"/>
          <w:lang w:val="en"/>
        </w:rPr>
        <w:t>Limited TPT adherence real time digital monitoring and support system</w:t>
      </w:r>
    </w:p>
    <w:p w14:paraId="7970D24D" w14:textId="6556FD6B" w:rsidR="00961A7A"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2</w:t>
      </w:r>
      <w:r>
        <w:rPr>
          <w:rFonts w:asciiTheme="minorHAnsi" w:hAnsiTheme="minorHAnsi" w:cstheme="minorHAnsi"/>
          <w:b/>
          <w:color w:val="C86A07" w:themeColor="accent2" w:themeShade="BF"/>
          <w:sz w:val="28"/>
          <w:lang w:val="en"/>
        </w:rPr>
        <w:t xml:space="preserve">.4 </w:t>
      </w:r>
      <w:r w:rsidR="00961A7A" w:rsidRPr="0030030B">
        <w:rPr>
          <w:rFonts w:asciiTheme="minorHAnsi" w:hAnsiTheme="minorHAnsi" w:cstheme="minorHAnsi"/>
          <w:b/>
          <w:color w:val="C86A07" w:themeColor="accent2" w:themeShade="BF"/>
          <w:sz w:val="28"/>
          <w:lang w:val="en"/>
        </w:rPr>
        <w:t>THE WAY FORWARD</w:t>
      </w:r>
      <w:r w:rsidR="00EE09BE" w:rsidRPr="0030030B">
        <w:rPr>
          <w:rFonts w:asciiTheme="minorHAnsi" w:hAnsiTheme="minorHAnsi" w:cstheme="minorHAnsi"/>
          <w:b/>
          <w:color w:val="C86A07" w:themeColor="accent2" w:themeShade="BF"/>
          <w:sz w:val="28"/>
          <w:lang w:val="en"/>
        </w:rPr>
        <w:t xml:space="preserve"> (Interventions</w:t>
      </w:r>
      <w:r w:rsidR="006621C2">
        <w:rPr>
          <w:rFonts w:asciiTheme="minorHAnsi" w:hAnsiTheme="minorHAnsi" w:cstheme="minorHAnsi"/>
          <w:b/>
          <w:color w:val="C86A07" w:themeColor="accent2" w:themeShade="BF"/>
          <w:sz w:val="28"/>
          <w:lang w:val="en"/>
        </w:rPr>
        <w:t xml:space="preserve"> </w:t>
      </w:r>
      <w:r w:rsidR="00EE09BE" w:rsidRPr="0030030B">
        <w:rPr>
          <w:rFonts w:asciiTheme="minorHAnsi" w:hAnsiTheme="minorHAnsi" w:cstheme="minorHAnsi"/>
          <w:b/>
          <w:color w:val="C86A07" w:themeColor="accent2" w:themeShade="BF"/>
          <w:sz w:val="28"/>
          <w:lang w:val="en"/>
        </w:rPr>
        <w:t>/ Activities)</w:t>
      </w:r>
    </w:p>
    <w:p w14:paraId="1E5BD2DC" w14:textId="2DF05EF8" w:rsidR="00961A7A" w:rsidRPr="00E14A45" w:rsidRDefault="00961A7A" w:rsidP="00EB03CB">
      <w:pPr>
        <w:spacing w:before="0" w:after="0"/>
        <w:jc w:val="both"/>
        <w:rPr>
          <w:rFonts w:asciiTheme="minorHAnsi" w:eastAsia="Times New Roman" w:hAnsiTheme="minorHAnsi" w:cstheme="minorHAnsi"/>
          <w:b/>
          <w:bCs/>
          <w:sz w:val="22"/>
          <w:lang w:eastAsia="en-IN"/>
        </w:rPr>
      </w:pPr>
      <w:r w:rsidRPr="00E14A45">
        <w:rPr>
          <w:rFonts w:asciiTheme="minorHAnsi" w:eastAsia="Times New Roman" w:hAnsiTheme="minorHAnsi" w:cstheme="minorHAnsi"/>
          <w:b/>
          <w:bCs/>
          <w:sz w:val="22"/>
          <w:lang w:val="en-GB" w:eastAsia="en-IN"/>
        </w:rPr>
        <w:lastRenderedPageBreak/>
        <w:t>2.1.1 Saturation of TPT and monitoring in PLHIV and paediatric contact of active TB patient (expansion to other age group of contacts and selected groups</w:t>
      </w:r>
      <w:r w:rsidR="00052A52">
        <w:rPr>
          <w:rFonts w:asciiTheme="minorHAnsi" w:eastAsia="Times New Roman" w:hAnsiTheme="minorHAnsi" w:cstheme="minorHAnsi"/>
          <w:b/>
          <w:bCs/>
          <w:sz w:val="22"/>
          <w:lang w:val="en-GB" w:eastAsia="en-IN"/>
        </w:rPr>
        <w:t xml:space="preserve"> including health care workers</w:t>
      </w:r>
      <w:r w:rsidRPr="00E14A45">
        <w:rPr>
          <w:rFonts w:asciiTheme="minorHAnsi" w:eastAsia="Times New Roman" w:hAnsiTheme="minorHAnsi" w:cstheme="minorHAnsi"/>
          <w:b/>
          <w:bCs/>
          <w:sz w:val="22"/>
          <w:lang w:val="en-GB" w:eastAsia="en-IN"/>
        </w:rPr>
        <w:t xml:space="preserve"> in stages) – use contact investigation as </w:t>
      </w:r>
      <w:r w:rsidRPr="00E14A45">
        <w:rPr>
          <w:rFonts w:asciiTheme="minorHAnsi" w:eastAsia="Times New Roman" w:hAnsiTheme="minorHAnsi" w:cstheme="minorHAnsi"/>
          <w:b/>
          <w:bCs/>
          <w:sz w:val="22"/>
          <w:lang w:eastAsia="en-IN"/>
        </w:rPr>
        <w:t xml:space="preserve">entry point for provision of TPT for eligible contacts. </w:t>
      </w:r>
    </w:p>
    <w:p w14:paraId="0280C72D" w14:textId="590B3F5F" w:rsidR="00961A7A" w:rsidRPr="009A0FDD" w:rsidRDefault="00961A7A" w:rsidP="00C129C4">
      <w:pPr>
        <w:spacing w:before="0" w:after="0"/>
        <w:jc w:val="both"/>
        <w:rPr>
          <w:rFonts w:asciiTheme="minorHAnsi" w:eastAsia="Times New Roman" w:hAnsiTheme="minorHAnsi" w:cstheme="minorHAnsi"/>
          <w:bCs/>
          <w:sz w:val="22"/>
          <w:lang w:val="en" w:eastAsia="en-IN"/>
        </w:rPr>
      </w:pPr>
      <w:r>
        <w:rPr>
          <w:rFonts w:asciiTheme="minorHAnsi" w:eastAsia="Times New Roman" w:hAnsiTheme="minorHAnsi" w:cstheme="minorHAnsi"/>
          <w:bCs/>
          <w:sz w:val="22"/>
          <w:lang w:val="en" w:eastAsia="en-IN"/>
        </w:rPr>
        <w:t xml:space="preserve">2.1.1.1 </w:t>
      </w:r>
      <w:r w:rsidRPr="009A0FDD">
        <w:rPr>
          <w:rFonts w:asciiTheme="minorHAnsi" w:eastAsia="Times New Roman" w:hAnsiTheme="minorHAnsi" w:cstheme="minorHAnsi"/>
          <w:bCs/>
          <w:sz w:val="22"/>
          <w:lang w:val="en" w:eastAsia="en-IN"/>
        </w:rPr>
        <w:t>Secure the funding and resources to support the planned rapid scale-up of TB preventive services to reach 5 million per year and cover all eligible individuals by 202</w:t>
      </w:r>
      <w:r w:rsidR="009A0FDD" w:rsidRPr="009A0FDD">
        <w:rPr>
          <w:rFonts w:asciiTheme="minorHAnsi" w:eastAsia="Times New Roman" w:hAnsiTheme="minorHAnsi" w:cstheme="minorHAnsi"/>
          <w:bCs/>
          <w:sz w:val="22"/>
          <w:lang w:val="en" w:eastAsia="en-IN"/>
        </w:rPr>
        <w:t>5</w:t>
      </w:r>
      <w:r w:rsidRPr="009A0FDD">
        <w:rPr>
          <w:rFonts w:asciiTheme="minorHAnsi" w:eastAsia="Times New Roman" w:hAnsiTheme="minorHAnsi" w:cstheme="minorHAnsi"/>
          <w:bCs/>
          <w:sz w:val="22"/>
          <w:lang w:val="en" w:eastAsia="en-IN"/>
        </w:rPr>
        <w:t xml:space="preserve"> with TPT.</w:t>
      </w:r>
    </w:p>
    <w:p w14:paraId="6539AEEB" w14:textId="36F7FDFB" w:rsidR="00961A7A" w:rsidRPr="009A0FDD" w:rsidRDefault="00961A7A" w:rsidP="00C129C4">
      <w:pPr>
        <w:spacing w:before="0" w:after="0"/>
        <w:jc w:val="both"/>
        <w:rPr>
          <w:rFonts w:asciiTheme="minorHAnsi" w:eastAsia="Times New Roman" w:hAnsiTheme="minorHAnsi" w:cstheme="minorHAnsi"/>
          <w:bCs/>
          <w:sz w:val="22"/>
          <w:lang w:val="en" w:eastAsia="en-IN"/>
        </w:rPr>
      </w:pPr>
      <w:r w:rsidRPr="009A0FDD">
        <w:rPr>
          <w:rFonts w:asciiTheme="minorHAnsi" w:eastAsia="Times New Roman" w:hAnsiTheme="minorHAnsi" w:cstheme="minorHAnsi"/>
          <w:bCs/>
          <w:sz w:val="22"/>
          <w:lang w:val="en" w:eastAsia="en-IN"/>
        </w:rPr>
        <w:t>2.1.1.2 Establish a TB prevention cell</w:t>
      </w:r>
      <w:r w:rsidRPr="009A0FDD">
        <w:rPr>
          <w:rFonts w:asciiTheme="minorHAnsi" w:eastAsia="Times New Roman" w:hAnsiTheme="minorHAnsi" w:cstheme="minorHAnsi"/>
          <w:bCs/>
          <w:i/>
          <w:sz w:val="22"/>
          <w:lang w:val="en" w:eastAsia="en-IN"/>
        </w:rPr>
        <w:t xml:space="preserve"> </w:t>
      </w:r>
      <w:r w:rsidRPr="009A0FDD">
        <w:rPr>
          <w:rFonts w:asciiTheme="minorHAnsi" w:eastAsia="Times New Roman" w:hAnsiTheme="minorHAnsi" w:cstheme="minorHAnsi"/>
          <w:bCs/>
          <w:sz w:val="22"/>
          <w:lang w:val="en" w:eastAsia="en-IN"/>
        </w:rPr>
        <w:t xml:space="preserve">at national- and state-level </w:t>
      </w:r>
    </w:p>
    <w:p w14:paraId="3903734E" w14:textId="161EC3AE" w:rsidR="00961A7A" w:rsidRDefault="00961A7A" w:rsidP="00C129C4">
      <w:pPr>
        <w:spacing w:before="0" w:after="0"/>
        <w:jc w:val="both"/>
        <w:rPr>
          <w:rFonts w:asciiTheme="minorHAnsi" w:eastAsia="Times New Roman" w:hAnsiTheme="minorHAnsi" w:cstheme="minorHAnsi"/>
          <w:bCs/>
          <w:sz w:val="22"/>
          <w:lang w:eastAsia="en-IN"/>
        </w:rPr>
      </w:pPr>
      <w:r>
        <w:rPr>
          <w:rFonts w:asciiTheme="minorHAnsi" w:eastAsia="Times New Roman" w:hAnsiTheme="minorHAnsi" w:cstheme="minorHAnsi"/>
          <w:bCs/>
          <w:sz w:val="22"/>
          <w:lang w:val="en" w:eastAsia="en-IN"/>
        </w:rPr>
        <w:t xml:space="preserve">2.1.1.3 </w:t>
      </w:r>
      <w:r w:rsidRPr="00961A7A">
        <w:rPr>
          <w:rFonts w:asciiTheme="minorHAnsi" w:eastAsia="Times New Roman" w:hAnsiTheme="minorHAnsi" w:cstheme="minorHAnsi"/>
          <w:bCs/>
          <w:sz w:val="22"/>
          <w:lang w:eastAsia="en-IN"/>
        </w:rPr>
        <w:t>Integrate TB preventive services in all ACF efforts at health facilities, in communities and among vulnerable populations</w:t>
      </w:r>
      <w:r>
        <w:rPr>
          <w:rFonts w:asciiTheme="minorHAnsi" w:eastAsia="Times New Roman" w:hAnsiTheme="minorHAnsi" w:cstheme="minorHAnsi"/>
          <w:bCs/>
          <w:sz w:val="22"/>
          <w:lang w:eastAsia="en-IN"/>
        </w:rPr>
        <w:t xml:space="preserve"> and public private initiatives </w:t>
      </w:r>
    </w:p>
    <w:p w14:paraId="3DDE5990" w14:textId="252FACB4" w:rsidR="00961A7A" w:rsidRDefault="00961A7A" w:rsidP="00C129C4">
      <w:pPr>
        <w:spacing w:before="0" w:after="0"/>
        <w:jc w:val="both"/>
        <w:rPr>
          <w:rFonts w:asciiTheme="minorHAnsi" w:eastAsia="Times New Roman" w:hAnsiTheme="minorHAnsi" w:cstheme="minorHAnsi"/>
          <w:bCs/>
          <w:sz w:val="22"/>
          <w:lang w:eastAsia="en-IN"/>
        </w:rPr>
      </w:pPr>
      <w:r>
        <w:rPr>
          <w:rFonts w:asciiTheme="minorHAnsi" w:eastAsia="Times New Roman" w:hAnsiTheme="minorHAnsi" w:cstheme="minorHAnsi"/>
          <w:bCs/>
          <w:sz w:val="22"/>
          <w:lang w:eastAsia="en-IN"/>
        </w:rPr>
        <w:t>2.1.1.4</w:t>
      </w:r>
      <w:r w:rsidRPr="00961A7A">
        <w:rPr>
          <w:rFonts w:asciiTheme="minorHAnsi" w:eastAsia="Times New Roman" w:hAnsiTheme="minorHAnsi" w:cstheme="minorHAnsi"/>
          <w:bCs/>
          <w:sz w:val="22"/>
          <w:lang w:eastAsia="en-IN"/>
        </w:rPr>
        <w:tab/>
        <w:t>Strengthen household contact screening and evaluation by</w:t>
      </w:r>
      <w:r>
        <w:rPr>
          <w:rFonts w:asciiTheme="minorHAnsi" w:eastAsia="Times New Roman" w:hAnsiTheme="minorHAnsi" w:cstheme="minorHAnsi"/>
          <w:bCs/>
          <w:sz w:val="22"/>
          <w:lang w:eastAsia="en-IN"/>
        </w:rPr>
        <w:t xml:space="preserve"> d</w:t>
      </w:r>
      <w:r w:rsidRPr="00961A7A">
        <w:rPr>
          <w:rFonts w:asciiTheme="minorHAnsi" w:eastAsia="Times New Roman" w:hAnsiTheme="minorHAnsi" w:cstheme="minorHAnsi"/>
          <w:bCs/>
          <w:sz w:val="22"/>
          <w:lang w:eastAsia="en-IN"/>
        </w:rPr>
        <w:t>eveloping and providing a package of financial incentives for service providers (public and private) to ensure complete coverage of household contact investigation, initiation of TB preventive treatment and follow-up to complete the</w:t>
      </w:r>
      <w:r w:rsidR="00416159">
        <w:rPr>
          <w:rFonts w:asciiTheme="minorHAnsi" w:eastAsia="Times New Roman" w:hAnsiTheme="minorHAnsi" w:cstheme="minorHAnsi"/>
          <w:bCs/>
          <w:sz w:val="22"/>
          <w:lang w:eastAsia="en-IN"/>
        </w:rPr>
        <w:t xml:space="preserve"> course of preventive treatment and p</w:t>
      </w:r>
      <w:r w:rsidRPr="00961A7A">
        <w:rPr>
          <w:rFonts w:asciiTheme="minorHAnsi" w:eastAsia="Times New Roman" w:hAnsiTheme="minorHAnsi" w:cstheme="minorHAnsi"/>
          <w:bCs/>
          <w:sz w:val="22"/>
          <w:lang w:eastAsia="en-IN"/>
        </w:rPr>
        <w:t>roviding additional human resources at district- and state-level to support, supervise and monitor implementation.</w:t>
      </w:r>
    </w:p>
    <w:p w14:paraId="31013861" w14:textId="34AEBAB0" w:rsidR="00416159" w:rsidRDefault="00416159" w:rsidP="00C129C4">
      <w:pPr>
        <w:spacing w:before="0" w:after="0"/>
        <w:jc w:val="both"/>
        <w:rPr>
          <w:rFonts w:asciiTheme="minorHAnsi" w:eastAsia="Times New Roman" w:hAnsiTheme="minorHAnsi" w:cstheme="minorHAnsi"/>
          <w:bCs/>
          <w:sz w:val="22"/>
          <w:lang w:eastAsia="en-IN"/>
        </w:rPr>
      </w:pPr>
      <w:r>
        <w:rPr>
          <w:rFonts w:asciiTheme="minorHAnsi" w:eastAsia="Times New Roman" w:hAnsiTheme="minorHAnsi" w:cstheme="minorHAnsi"/>
          <w:bCs/>
          <w:sz w:val="22"/>
          <w:lang w:eastAsia="en-IN"/>
        </w:rPr>
        <w:t xml:space="preserve">2.1.1.5 </w:t>
      </w:r>
      <w:r w:rsidRPr="00416159">
        <w:rPr>
          <w:rFonts w:asciiTheme="minorHAnsi" w:eastAsia="Times New Roman" w:hAnsiTheme="minorHAnsi" w:cstheme="minorHAnsi"/>
          <w:bCs/>
          <w:sz w:val="22"/>
          <w:lang w:eastAsia="en-IN"/>
        </w:rPr>
        <w:t xml:space="preserve">Start a nationwide </w:t>
      </w:r>
      <w:r w:rsidR="00F51523">
        <w:rPr>
          <w:rFonts w:asciiTheme="minorHAnsi" w:eastAsia="Times New Roman" w:hAnsiTheme="minorHAnsi" w:cstheme="minorHAnsi"/>
          <w:bCs/>
          <w:sz w:val="22"/>
          <w:lang w:eastAsia="en-IN"/>
        </w:rPr>
        <w:t>scale up</w:t>
      </w:r>
      <w:r w:rsidRPr="00416159">
        <w:rPr>
          <w:rFonts w:asciiTheme="minorHAnsi" w:eastAsia="Times New Roman" w:hAnsiTheme="minorHAnsi" w:cstheme="minorHAnsi"/>
          <w:bCs/>
          <w:sz w:val="22"/>
          <w:lang w:eastAsia="en-IN"/>
        </w:rPr>
        <w:t>-up campaign to achieve universal TPT coverage for all PLHIV in care and child (under five-years of age) household contacts of notified TB patients</w:t>
      </w:r>
      <w:r>
        <w:rPr>
          <w:rFonts w:asciiTheme="minorHAnsi" w:eastAsia="Times New Roman" w:hAnsiTheme="minorHAnsi" w:cstheme="minorHAnsi"/>
          <w:bCs/>
          <w:sz w:val="22"/>
          <w:lang w:eastAsia="en-IN"/>
        </w:rPr>
        <w:t xml:space="preserve"> with the goal to </w:t>
      </w:r>
      <w:r w:rsidRPr="00416159">
        <w:rPr>
          <w:rFonts w:asciiTheme="minorHAnsi" w:eastAsia="Times New Roman" w:hAnsiTheme="minorHAnsi" w:cstheme="minorHAnsi"/>
          <w:bCs/>
          <w:sz w:val="22"/>
          <w:lang w:eastAsia="en-IN"/>
        </w:rPr>
        <w:t>achieve universal coverage among these two eligible groups by 2021.</w:t>
      </w:r>
      <w:r>
        <w:rPr>
          <w:rFonts w:asciiTheme="minorHAnsi" w:eastAsia="Times New Roman" w:hAnsiTheme="minorHAnsi" w:cstheme="minorHAnsi"/>
          <w:bCs/>
          <w:sz w:val="22"/>
          <w:lang w:eastAsia="en-IN"/>
        </w:rPr>
        <w:t xml:space="preserve"> </w:t>
      </w:r>
    </w:p>
    <w:p w14:paraId="51103C74" w14:textId="2C2E52B6" w:rsidR="00697F3A" w:rsidRDefault="00697F3A" w:rsidP="00C129C4">
      <w:pPr>
        <w:spacing w:before="0" w:after="0"/>
        <w:jc w:val="both"/>
        <w:rPr>
          <w:rFonts w:asciiTheme="minorHAnsi" w:eastAsia="Times New Roman" w:hAnsiTheme="minorHAnsi" w:cstheme="minorHAnsi"/>
          <w:bCs/>
          <w:sz w:val="22"/>
          <w:lang w:eastAsia="en-IN"/>
        </w:rPr>
      </w:pPr>
      <w:r>
        <w:rPr>
          <w:rFonts w:asciiTheme="minorHAnsi" w:eastAsia="Times New Roman" w:hAnsiTheme="minorHAnsi" w:cstheme="minorHAnsi"/>
          <w:bCs/>
          <w:sz w:val="22"/>
          <w:lang w:eastAsia="en-IN"/>
        </w:rPr>
        <w:t xml:space="preserve">2.1.1.6 </w:t>
      </w:r>
      <w:r w:rsidRPr="00697F3A">
        <w:rPr>
          <w:rFonts w:asciiTheme="minorHAnsi" w:eastAsia="Times New Roman" w:hAnsiTheme="minorHAnsi" w:cstheme="minorHAnsi"/>
          <w:bCs/>
          <w:sz w:val="22"/>
          <w:lang w:eastAsia="en-IN"/>
        </w:rPr>
        <w:t>Strengthen monitoring and evaluation by ensuring capture of data on cascade of care for TPT in the Nikshay platform as well as scaling up digital tools such as LTBI mobile application/contact register for systematic recording of cascade data. These efforts should also include establishment of mechanism to assess TPT completion and monitoring of TB among health care workers.</w:t>
      </w:r>
      <w:r w:rsidR="00592EDF">
        <w:rPr>
          <w:rFonts w:asciiTheme="minorHAnsi" w:eastAsia="Times New Roman" w:hAnsiTheme="minorHAnsi" w:cstheme="minorHAnsi"/>
          <w:bCs/>
          <w:sz w:val="22"/>
          <w:lang w:eastAsia="en-IN"/>
        </w:rPr>
        <w:t xml:space="preserve"> </w:t>
      </w:r>
      <w:r w:rsidR="005F4CBF">
        <w:rPr>
          <w:rFonts w:asciiTheme="minorHAnsi" w:eastAsia="Times New Roman" w:hAnsiTheme="minorHAnsi" w:cstheme="minorHAnsi"/>
          <w:bCs/>
          <w:sz w:val="22"/>
          <w:lang w:eastAsia="en-IN"/>
        </w:rPr>
        <w:t xml:space="preserve">Appropriate preventive treatment </w:t>
      </w:r>
      <w:r w:rsidR="009010EE">
        <w:rPr>
          <w:rFonts w:asciiTheme="minorHAnsi" w:eastAsia="Times New Roman" w:hAnsiTheme="minorHAnsi" w:cstheme="minorHAnsi"/>
          <w:bCs/>
          <w:sz w:val="22"/>
          <w:lang w:eastAsia="en-IN"/>
        </w:rPr>
        <w:t xml:space="preserve">regimen </w:t>
      </w:r>
      <w:r w:rsidR="005F4CBF">
        <w:rPr>
          <w:rFonts w:asciiTheme="minorHAnsi" w:eastAsia="Times New Roman" w:hAnsiTheme="minorHAnsi" w:cstheme="minorHAnsi"/>
          <w:bCs/>
          <w:sz w:val="22"/>
          <w:lang w:eastAsia="en-IN"/>
        </w:rPr>
        <w:t>for health care workers to be instituted.</w:t>
      </w:r>
    </w:p>
    <w:p w14:paraId="16DCA38D" w14:textId="77777777" w:rsidR="00416159" w:rsidRPr="00961A7A" w:rsidRDefault="00416159" w:rsidP="00C129C4">
      <w:pPr>
        <w:spacing w:before="0" w:after="0"/>
        <w:jc w:val="both"/>
        <w:rPr>
          <w:rFonts w:asciiTheme="minorHAnsi" w:eastAsia="Times New Roman" w:hAnsiTheme="minorHAnsi" w:cstheme="minorHAnsi"/>
          <w:bCs/>
          <w:sz w:val="22"/>
          <w:lang w:eastAsia="en-IN"/>
        </w:rPr>
      </w:pPr>
    </w:p>
    <w:p w14:paraId="43B4F3E6" w14:textId="6B438253" w:rsidR="00961A7A" w:rsidRPr="00E14A45" w:rsidRDefault="00961A7A" w:rsidP="00EB03CB">
      <w:pPr>
        <w:spacing w:before="0" w:after="0"/>
        <w:jc w:val="both"/>
        <w:rPr>
          <w:rFonts w:asciiTheme="minorHAnsi" w:eastAsia="Times New Roman" w:hAnsiTheme="minorHAnsi" w:cstheme="minorHAnsi"/>
          <w:b/>
          <w:bCs/>
          <w:sz w:val="22"/>
          <w:lang w:val="en-GB" w:eastAsia="en-IN"/>
        </w:rPr>
      </w:pPr>
      <w:r w:rsidRPr="00E14A45">
        <w:rPr>
          <w:rFonts w:asciiTheme="minorHAnsi" w:eastAsia="Times New Roman" w:hAnsiTheme="minorHAnsi" w:cstheme="minorHAnsi"/>
          <w:b/>
          <w:bCs/>
          <w:sz w:val="22"/>
          <w:lang w:val="en-GB" w:eastAsia="en-IN"/>
        </w:rPr>
        <w:t>2.1.2 Fast track approvals and phase wise capacity augmentation for detection of latent TB infection: TST, 4</w:t>
      </w:r>
      <w:r w:rsidRPr="00E14A45">
        <w:rPr>
          <w:rFonts w:asciiTheme="minorHAnsi" w:eastAsia="Times New Roman" w:hAnsiTheme="minorHAnsi" w:cstheme="minorHAnsi"/>
          <w:b/>
          <w:bCs/>
          <w:sz w:val="22"/>
          <w:vertAlign w:val="superscript"/>
          <w:lang w:val="en-GB" w:eastAsia="en-IN"/>
        </w:rPr>
        <w:t>th</w:t>
      </w:r>
      <w:r w:rsidRPr="00E14A45">
        <w:rPr>
          <w:rFonts w:asciiTheme="minorHAnsi" w:eastAsia="Times New Roman" w:hAnsiTheme="minorHAnsi" w:cstheme="minorHAnsi"/>
          <w:b/>
          <w:bCs/>
          <w:sz w:val="22"/>
          <w:lang w:val="en-GB" w:eastAsia="en-IN"/>
        </w:rPr>
        <w:t xml:space="preserve"> gen IGRA, POC to detect infection (CTB)</w:t>
      </w:r>
      <w:r w:rsidR="00416159" w:rsidRPr="00E14A45">
        <w:rPr>
          <w:rFonts w:asciiTheme="minorHAnsi" w:eastAsia="Times New Roman" w:hAnsiTheme="minorHAnsi" w:cstheme="minorHAnsi"/>
          <w:b/>
          <w:bCs/>
          <w:sz w:val="22"/>
          <w:lang w:val="en-GB" w:eastAsia="en-IN"/>
        </w:rPr>
        <w:t xml:space="preserve"> </w:t>
      </w:r>
    </w:p>
    <w:p w14:paraId="0F2DCDF9" w14:textId="77777777" w:rsidR="00416159" w:rsidRPr="00961A7A" w:rsidRDefault="00416159" w:rsidP="00C129C4">
      <w:pPr>
        <w:spacing w:before="0" w:after="0"/>
        <w:jc w:val="both"/>
        <w:rPr>
          <w:rFonts w:asciiTheme="minorHAnsi" w:eastAsia="Times New Roman" w:hAnsiTheme="minorHAnsi" w:cstheme="minorHAnsi"/>
          <w:bCs/>
          <w:sz w:val="22"/>
          <w:lang w:val="en-GB" w:eastAsia="en-IN"/>
        </w:rPr>
      </w:pPr>
    </w:p>
    <w:p w14:paraId="0FFD9E51" w14:textId="1582AC14" w:rsidR="00961A7A" w:rsidRPr="00E14A45" w:rsidRDefault="00961A7A" w:rsidP="00697F3A">
      <w:pPr>
        <w:spacing w:before="0" w:after="0"/>
        <w:jc w:val="both"/>
        <w:rPr>
          <w:rFonts w:asciiTheme="minorHAnsi" w:eastAsia="Times New Roman" w:hAnsiTheme="minorHAnsi" w:cstheme="minorHAnsi"/>
          <w:b/>
          <w:bCs/>
          <w:sz w:val="22"/>
          <w:lang w:val="en-GB" w:eastAsia="en-IN"/>
        </w:rPr>
      </w:pPr>
      <w:r w:rsidRPr="00E14A45">
        <w:rPr>
          <w:rFonts w:asciiTheme="minorHAnsi" w:eastAsia="Times New Roman" w:hAnsiTheme="minorHAnsi" w:cstheme="minorHAnsi"/>
          <w:b/>
          <w:bCs/>
          <w:sz w:val="22"/>
          <w:lang w:val="en-GB" w:eastAsia="en-IN"/>
        </w:rPr>
        <w:t xml:space="preserve">2.1.3 </w:t>
      </w:r>
      <w:r w:rsidR="00697F3A" w:rsidRPr="00697F3A">
        <w:rPr>
          <w:rFonts w:asciiTheme="minorHAnsi" w:eastAsia="Times New Roman" w:hAnsiTheme="minorHAnsi" w:cstheme="minorHAnsi"/>
          <w:b/>
          <w:bCs/>
          <w:sz w:val="22"/>
          <w:lang w:val="en-GB" w:eastAsia="en-IN"/>
        </w:rPr>
        <w:t>Rapidly adopt and scale-up use of</w:t>
      </w:r>
      <w:r w:rsidRPr="00E14A45">
        <w:rPr>
          <w:rFonts w:asciiTheme="minorHAnsi" w:eastAsia="Times New Roman" w:hAnsiTheme="minorHAnsi" w:cstheme="minorHAnsi"/>
          <w:b/>
          <w:bCs/>
          <w:sz w:val="22"/>
          <w:lang w:val="en-GB" w:eastAsia="en-IN"/>
        </w:rPr>
        <w:t xml:space="preserve"> newer and effective TPT </w:t>
      </w:r>
      <w:r w:rsidR="00B06862" w:rsidRPr="00E14A45">
        <w:rPr>
          <w:rFonts w:asciiTheme="minorHAnsi" w:eastAsia="Times New Roman" w:hAnsiTheme="minorHAnsi" w:cstheme="minorHAnsi"/>
          <w:b/>
          <w:bCs/>
          <w:sz w:val="22"/>
          <w:lang w:val="en-GB" w:eastAsia="en-IN"/>
        </w:rPr>
        <w:t>diagnostics and</w:t>
      </w:r>
      <w:r w:rsidR="00697F3A">
        <w:rPr>
          <w:rFonts w:asciiTheme="minorHAnsi" w:eastAsia="Times New Roman" w:hAnsiTheme="minorHAnsi" w:cstheme="minorHAnsi"/>
          <w:b/>
          <w:bCs/>
          <w:sz w:val="22"/>
          <w:lang w:val="en-GB" w:eastAsia="en-IN"/>
        </w:rPr>
        <w:t xml:space="preserve"> </w:t>
      </w:r>
      <w:r w:rsidR="00697F3A" w:rsidRPr="00697F3A">
        <w:rPr>
          <w:rFonts w:asciiTheme="minorHAnsi" w:eastAsia="Times New Roman" w:hAnsiTheme="minorHAnsi" w:cstheme="minorHAnsi"/>
          <w:b/>
          <w:bCs/>
          <w:sz w:val="22"/>
          <w:lang w:val="en-GB" w:eastAsia="en-IN"/>
        </w:rPr>
        <w:t>shorter rifamycin-based TB preventive treatment regimen (3HP, 1HP, 3HR, 4R)</w:t>
      </w:r>
    </w:p>
    <w:p w14:paraId="5691BBDB" w14:textId="4AB8A981" w:rsidR="00416159" w:rsidRDefault="00416159"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2.1.3.1</w:t>
      </w:r>
      <w:r w:rsidRPr="00416159">
        <w:rPr>
          <w:rFonts w:asciiTheme="minorHAnsi" w:eastAsia="Times New Roman" w:hAnsiTheme="minorHAnsi" w:cstheme="minorHAnsi"/>
          <w:bCs/>
          <w:sz w:val="22"/>
          <w:lang w:val="en-GB" w:eastAsia="en-IN"/>
        </w:rPr>
        <w:tab/>
        <w:t>Considering the rapid scale-up of molecular diagn</w:t>
      </w:r>
      <w:r w:rsidR="00D66B88">
        <w:rPr>
          <w:rFonts w:asciiTheme="minorHAnsi" w:eastAsia="Times New Roman" w:hAnsiTheme="minorHAnsi" w:cstheme="minorHAnsi"/>
          <w:bCs/>
          <w:sz w:val="22"/>
          <w:lang w:val="en-GB" w:eastAsia="en-IN"/>
        </w:rPr>
        <w:t>ostics, the National programme will</w:t>
      </w:r>
      <w:r w:rsidRPr="00416159">
        <w:rPr>
          <w:rFonts w:asciiTheme="minorHAnsi" w:eastAsia="Times New Roman" w:hAnsiTheme="minorHAnsi" w:cstheme="minorHAnsi"/>
          <w:bCs/>
          <w:sz w:val="22"/>
          <w:lang w:val="en-GB" w:eastAsia="en-IN"/>
        </w:rPr>
        <w:t xml:space="preserve"> explore TPT for contacts of DR-TB patients based on drug susceptibility patterns of index cases.</w:t>
      </w:r>
    </w:p>
    <w:p w14:paraId="48126CA7" w14:textId="2C08671E" w:rsidR="00697F3A" w:rsidRDefault="00697F3A" w:rsidP="00697F3A">
      <w:pPr>
        <w:spacing w:before="0" w:after="0"/>
        <w:jc w:val="both"/>
        <w:rPr>
          <w:rFonts w:asciiTheme="minorHAnsi" w:eastAsia="Times New Roman" w:hAnsiTheme="minorHAnsi" w:cstheme="minorHAnsi"/>
          <w:bCs/>
          <w:sz w:val="22"/>
          <w:lang w:eastAsia="en-IN"/>
        </w:rPr>
      </w:pPr>
      <w:r>
        <w:rPr>
          <w:rFonts w:asciiTheme="minorHAnsi" w:eastAsia="Times New Roman" w:hAnsiTheme="minorHAnsi" w:cstheme="minorHAnsi"/>
          <w:bCs/>
          <w:sz w:val="22"/>
          <w:lang w:eastAsia="en-IN"/>
        </w:rPr>
        <w:t xml:space="preserve">2.1.3.2 </w:t>
      </w:r>
      <w:r w:rsidRPr="00416159">
        <w:rPr>
          <w:rFonts w:asciiTheme="minorHAnsi" w:eastAsia="Times New Roman" w:hAnsiTheme="minorHAnsi" w:cstheme="minorHAnsi"/>
          <w:bCs/>
          <w:sz w:val="22"/>
          <w:lang w:eastAsia="en-IN"/>
        </w:rPr>
        <w:t>Establish mechanisms for TPT adherence support and adverse events monitoring to ensure prompt action and management of the rare adverse events</w:t>
      </w:r>
      <w:r>
        <w:rPr>
          <w:rFonts w:asciiTheme="minorHAnsi" w:eastAsia="Times New Roman" w:hAnsiTheme="minorHAnsi" w:cstheme="minorHAnsi"/>
          <w:bCs/>
          <w:sz w:val="22"/>
          <w:lang w:eastAsia="en-IN"/>
        </w:rPr>
        <w:t xml:space="preserve"> </w:t>
      </w:r>
    </w:p>
    <w:p w14:paraId="17EBA530" w14:textId="1213B606" w:rsidR="00416159" w:rsidRDefault="00416159"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2.1.3.2 </w:t>
      </w:r>
      <w:r w:rsidRPr="00416159">
        <w:rPr>
          <w:rFonts w:asciiTheme="minorHAnsi" w:eastAsia="Times New Roman" w:hAnsiTheme="minorHAnsi" w:cstheme="minorHAnsi"/>
          <w:bCs/>
          <w:sz w:val="22"/>
          <w:lang w:val="en-GB" w:eastAsia="en-IN"/>
        </w:rPr>
        <w:t xml:space="preserve">The National programme </w:t>
      </w:r>
      <w:r w:rsidR="00D66B88">
        <w:rPr>
          <w:rFonts w:asciiTheme="minorHAnsi" w:eastAsia="Times New Roman" w:hAnsiTheme="minorHAnsi" w:cstheme="minorHAnsi"/>
          <w:bCs/>
          <w:sz w:val="22"/>
          <w:lang w:val="en-GB" w:eastAsia="en-IN"/>
        </w:rPr>
        <w:t>will</w:t>
      </w:r>
      <w:r w:rsidRPr="00416159">
        <w:rPr>
          <w:rFonts w:asciiTheme="minorHAnsi" w:eastAsia="Times New Roman" w:hAnsiTheme="minorHAnsi" w:cstheme="minorHAnsi"/>
          <w:bCs/>
          <w:sz w:val="22"/>
          <w:lang w:val="en-GB" w:eastAsia="en-IN"/>
        </w:rPr>
        <w:t xml:space="preserve"> consider procurement of technology-based tools for adherence support to support the shorter regimen treatment (e.g., ICT, IDAT).  </w:t>
      </w:r>
    </w:p>
    <w:p w14:paraId="462CDFCE" w14:textId="77777777" w:rsidR="00416159" w:rsidRPr="00961A7A" w:rsidRDefault="00416159" w:rsidP="00C129C4">
      <w:pPr>
        <w:spacing w:before="0" w:after="0"/>
        <w:jc w:val="both"/>
        <w:rPr>
          <w:rFonts w:asciiTheme="minorHAnsi" w:eastAsia="Times New Roman" w:hAnsiTheme="minorHAnsi" w:cstheme="minorHAnsi"/>
          <w:bCs/>
          <w:sz w:val="22"/>
          <w:lang w:val="en-GB" w:eastAsia="en-IN"/>
        </w:rPr>
      </w:pPr>
    </w:p>
    <w:p w14:paraId="39A587E9" w14:textId="345ABF9B" w:rsidR="00961A7A" w:rsidRPr="00E14A45" w:rsidRDefault="00961A7A" w:rsidP="00697F3A">
      <w:pPr>
        <w:spacing w:before="0" w:after="0"/>
        <w:jc w:val="both"/>
        <w:rPr>
          <w:b/>
        </w:rPr>
      </w:pPr>
      <w:r w:rsidRPr="00E14A45">
        <w:rPr>
          <w:rFonts w:asciiTheme="minorHAnsi" w:hAnsiTheme="minorHAnsi" w:cstheme="minorHAnsi"/>
          <w:b/>
          <w:sz w:val="22"/>
        </w:rPr>
        <w:t>2.1.4</w:t>
      </w:r>
      <w:r w:rsidR="00575E9C" w:rsidRPr="00E14A45">
        <w:rPr>
          <w:rFonts w:asciiTheme="minorHAnsi" w:hAnsiTheme="minorHAnsi" w:cstheme="minorHAnsi"/>
          <w:b/>
          <w:sz w:val="22"/>
        </w:rPr>
        <w:t xml:space="preserve"> Research and fast tracking adoption of new products and innovations</w:t>
      </w:r>
    </w:p>
    <w:p w14:paraId="7AE864FA" w14:textId="09761BDC" w:rsidR="002335F5" w:rsidRPr="002335F5" w:rsidRDefault="002335F5"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2.1.4.1 </w:t>
      </w:r>
      <w:r w:rsidRPr="002335F5">
        <w:rPr>
          <w:rFonts w:asciiTheme="minorHAnsi" w:eastAsia="Times New Roman" w:hAnsiTheme="minorHAnsi" w:cstheme="minorHAnsi"/>
          <w:bCs/>
          <w:sz w:val="22"/>
          <w:lang w:val="en-GB" w:eastAsia="en-IN"/>
        </w:rPr>
        <w:t xml:space="preserve">India TB Research consortium (ITRC) involved in designing and validating new vaccine candidates. Several potential vaccines candidates are identified and work is progressing- VPM1002 (Live recombinant vaccine from the Serum Institute), ID93/ GLA-SE (recombinant protein vaccine, discovered by Infectious Disease Research Institute, Seattle), M72/ AS01 (recombinant protein vaccine by GSK, Belgium), MIP (whole cell inactivated vaccine, Cadila Pharmaceuticals in collaboration with the Department of Biotechnology, DAR 901. Two the candidates (VPM1002 and MIP) are now in Phase III trials. </w:t>
      </w:r>
    </w:p>
    <w:p w14:paraId="4076BD03" w14:textId="70E25E46" w:rsidR="002335F5" w:rsidRPr="002335F5" w:rsidRDefault="002335F5"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2.1.4.2 </w:t>
      </w:r>
      <w:r w:rsidRPr="002335F5">
        <w:rPr>
          <w:rFonts w:asciiTheme="minorHAnsi" w:eastAsia="Times New Roman" w:hAnsiTheme="minorHAnsi" w:cstheme="minorHAnsi"/>
          <w:bCs/>
          <w:sz w:val="22"/>
          <w:lang w:val="en-GB" w:eastAsia="en-IN"/>
        </w:rPr>
        <w:t xml:space="preserve">Government of India to continue to support vaccine research and fast-track clinical trials and necessary regulatory approvals so the products could progress to next stage of validation. </w:t>
      </w:r>
    </w:p>
    <w:p w14:paraId="263DEF0A" w14:textId="52DEA9B4" w:rsidR="002335F5" w:rsidRPr="002335F5" w:rsidRDefault="002335F5"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2.1.4.3 </w:t>
      </w:r>
      <w:r w:rsidRPr="002335F5">
        <w:rPr>
          <w:rFonts w:asciiTheme="minorHAnsi" w:eastAsia="Times New Roman" w:hAnsiTheme="minorHAnsi" w:cstheme="minorHAnsi"/>
          <w:bCs/>
          <w:sz w:val="22"/>
          <w:lang w:val="en-GB" w:eastAsia="en-IN"/>
        </w:rPr>
        <w:t>Ministry of health to fast-track validation and roll out of LTBI diagnostic tests e.g. C-Tb, next generation IGRA</w:t>
      </w:r>
    </w:p>
    <w:p w14:paraId="1C4F4CCD" w14:textId="16080E39" w:rsidR="002335F5" w:rsidRDefault="002335F5"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2.1.4.</w:t>
      </w:r>
      <w:r w:rsidR="00CB1ADF">
        <w:rPr>
          <w:rFonts w:asciiTheme="minorHAnsi" w:eastAsia="Times New Roman" w:hAnsiTheme="minorHAnsi" w:cstheme="minorHAnsi"/>
          <w:bCs/>
          <w:sz w:val="22"/>
          <w:lang w:val="en-GB" w:eastAsia="en-IN"/>
        </w:rPr>
        <w:t>4</w:t>
      </w:r>
      <w:r>
        <w:rPr>
          <w:rFonts w:asciiTheme="minorHAnsi" w:eastAsia="Times New Roman" w:hAnsiTheme="minorHAnsi" w:cstheme="minorHAnsi"/>
          <w:bCs/>
          <w:sz w:val="22"/>
          <w:lang w:val="en-GB" w:eastAsia="en-IN"/>
        </w:rPr>
        <w:t xml:space="preserve"> </w:t>
      </w:r>
      <w:r w:rsidRPr="002335F5">
        <w:rPr>
          <w:rFonts w:asciiTheme="minorHAnsi" w:eastAsia="Times New Roman" w:hAnsiTheme="minorHAnsi" w:cstheme="minorHAnsi"/>
          <w:bCs/>
          <w:sz w:val="22"/>
          <w:lang w:val="en-GB" w:eastAsia="en-IN"/>
        </w:rPr>
        <w:t>To address concerns around high background INH resistance</w:t>
      </w:r>
      <w:r w:rsidR="00CB1ADF">
        <w:rPr>
          <w:rFonts w:asciiTheme="minorHAnsi" w:eastAsia="Times New Roman" w:hAnsiTheme="minorHAnsi" w:cstheme="minorHAnsi"/>
          <w:bCs/>
          <w:sz w:val="22"/>
          <w:lang w:val="en-GB" w:eastAsia="en-IN"/>
        </w:rPr>
        <w:t>, the</w:t>
      </w:r>
      <w:r w:rsidRPr="002335F5">
        <w:rPr>
          <w:rFonts w:asciiTheme="minorHAnsi" w:eastAsia="Times New Roman" w:hAnsiTheme="minorHAnsi" w:cstheme="minorHAnsi"/>
          <w:bCs/>
          <w:sz w:val="22"/>
          <w:lang w:val="en-GB" w:eastAsia="en-IN"/>
        </w:rPr>
        <w:t xml:space="preserve"> national programme may consider use of shorter rifamycin based regimen (e.g. 4R), enhance coverage of drug sensitivity testing of index cases (including patients notified from private) and generate evidence around use of </w:t>
      </w:r>
      <w:r w:rsidRPr="002335F5">
        <w:rPr>
          <w:rFonts w:asciiTheme="minorHAnsi" w:eastAsia="Times New Roman" w:hAnsiTheme="minorHAnsi" w:cstheme="minorHAnsi"/>
          <w:bCs/>
          <w:sz w:val="22"/>
          <w:lang w:val="en-GB" w:eastAsia="en-IN"/>
        </w:rPr>
        <w:lastRenderedPageBreak/>
        <w:t>index case DST guided preventive treatment regimen among eligible contacts</w:t>
      </w:r>
      <w:r w:rsidR="00CB1ADF">
        <w:rPr>
          <w:rFonts w:asciiTheme="minorHAnsi" w:eastAsia="Times New Roman" w:hAnsiTheme="minorHAnsi" w:cstheme="minorHAnsi"/>
          <w:bCs/>
          <w:sz w:val="22"/>
          <w:lang w:val="en-GB" w:eastAsia="en-IN"/>
        </w:rPr>
        <w:t xml:space="preserve"> of DRTB</w:t>
      </w:r>
      <w:r w:rsidRPr="002335F5">
        <w:rPr>
          <w:rFonts w:asciiTheme="minorHAnsi" w:eastAsia="Times New Roman" w:hAnsiTheme="minorHAnsi" w:cstheme="minorHAnsi"/>
          <w:bCs/>
          <w:sz w:val="22"/>
          <w:lang w:val="en-GB" w:eastAsia="en-IN"/>
        </w:rPr>
        <w:t xml:space="preserve">. These data may inform global guidance for management of contacts of drug resistant TB cases. </w:t>
      </w:r>
    </w:p>
    <w:p w14:paraId="5FB4943B" w14:textId="77777777" w:rsidR="00C776D0" w:rsidRDefault="00C776D0">
      <w:pPr>
        <w:spacing w:before="0" w:after="0"/>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617CD734" w14:textId="1F38C399" w:rsidR="003E091E" w:rsidRDefault="00B06862" w:rsidP="00663C3B">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D514CD">
        <w:rPr>
          <w:rFonts w:asciiTheme="minorHAnsi" w:hAnsiTheme="minorHAnsi" w:cstheme="minorHAnsi"/>
          <w:b/>
          <w:snapToGrid w:val="0"/>
          <w:color w:val="auto"/>
          <w:sz w:val="36"/>
        </w:rPr>
        <w:t>2</w:t>
      </w:r>
      <w:r w:rsidR="00BE594E">
        <w:rPr>
          <w:rFonts w:asciiTheme="minorHAnsi" w:hAnsiTheme="minorHAnsi" w:cstheme="minorHAnsi"/>
          <w:b/>
          <w:snapToGrid w:val="0"/>
          <w:color w:val="auto"/>
          <w:sz w:val="36"/>
        </w:rPr>
        <w:t>3</w:t>
      </w:r>
    </w:p>
    <w:p w14:paraId="2166F31B" w14:textId="791E3E03" w:rsidR="003E091E" w:rsidRPr="006B7923" w:rsidRDefault="003E091E" w:rsidP="003E091E">
      <w:pPr>
        <w:shd w:val="clear" w:color="auto" w:fill="17365D" w:themeFill="text2" w:themeFillShade="BF"/>
        <w:spacing w:before="0" w:after="0"/>
        <w:jc w:val="right"/>
        <w:rPr>
          <w:b/>
          <w:sz w:val="28"/>
        </w:rPr>
      </w:pPr>
      <w:r>
        <w:rPr>
          <w:b/>
          <w:sz w:val="28"/>
        </w:rPr>
        <w:t xml:space="preserve">NSP </w:t>
      </w:r>
      <w:r w:rsidRPr="006B7923">
        <w:rPr>
          <w:b/>
          <w:sz w:val="28"/>
        </w:rPr>
        <w:t xml:space="preserve">STRATEGIC AREA </w:t>
      </w:r>
      <w:r>
        <w:rPr>
          <w:b/>
          <w:sz w:val="28"/>
        </w:rPr>
        <w:t>2.2</w:t>
      </w:r>
    </w:p>
    <w:p w14:paraId="0FE12E15" w14:textId="48D066D3" w:rsidR="00B06862" w:rsidRPr="00734B6A" w:rsidRDefault="00B06862" w:rsidP="00663C3B">
      <w:pPr>
        <w:pStyle w:val="Heading1"/>
        <w:tabs>
          <w:tab w:val="num" w:pos="5670"/>
        </w:tabs>
        <w:rPr>
          <w:rFonts w:asciiTheme="minorHAnsi" w:hAnsiTheme="minorHAnsi" w:cstheme="minorHAnsi"/>
          <w:b/>
          <w:snapToGrid w:val="0"/>
          <w:color w:val="auto"/>
        </w:rPr>
      </w:pPr>
      <w:r w:rsidRPr="00734B6A">
        <w:rPr>
          <w:rFonts w:asciiTheme="minorHAnsi" w:hAnsiTheme="minorHAnsi" w:cstheme="minorHAnsi"/>
          <w:b/>
          <w:snapToGrid w:val="0"/>
          <w:color w:val="auto"/>
        </w:rPr>
        <w:t xml:space="preserve">     </w:t>
      </w:r>
      <w:r>
        <w:rPr>
          <w:rFonts w:asciiTheme="minorHAnsi" w:hAnsiTheme="minorHAnsi" w:cstheme="minorHAnsi"/>
          <w:b/>
          <w:snapToGrid w:val="0"/>
          <w:color w:val="auto"/>
        </w:rPr>
        <w:t>AIrborne infection control</w:t>
      </w:r>
    </w:p>
    <w:p w14:paraId="7210367B" w14:textId="2BFEF972" w:rsidR="00576B2F" w:rsidRDefault="00576B2F" w:rsidP="00C129C4">
      <w:pPr>
        <w:spacing w:before="0" w:after="0"/>
        <w:jc w:val="both"/>
        <w:rPr>
          <w:rFonts w:asciiTheme="minorHAnsi" w:eastAsia="Times New Roman" w:hAnsiTheme="minorHAnsi" w:cstheme="minorHAnsi"/>
          <w:caps/>
          <w:color w:val="2B3990"/>
          <w:sz w:val="22"/>
          <w:szCs w:val="28"/>
        </w:rPr>
      </w:pPr>
    </w:p>
    <w:p w14:paraId="35E89D64" w14:textId="4D463678" w:rsidR="00AB176D" w:rsidRPr="0030030B" w:rsidRDefault="00D756D3" w:rsidP="00AF5B00">
      <w:pPr>
        <w:spacing w:before="0"/>
        <w:jc w:val="both"/>
        <w:rPr>
          <w:rFonts w:asciiTheme="minorHAnsi" w:hAnsiTheme="minorHAnsi" w:cstheme="minorHAnsi"/>
          <w:b/>
          <w:color w:val="CD630B" w:themeColor="accent4" w:themeShade="80"/>
          <w:sz w:val="28"/>
        </w:rPr>
      </w:pPr>
      <w:bookmarkStart w:id="58" w:name="_Toc472976163"/>
      <w:bookmarkStart w:id="59" w:name="_Toc474783493"/>
      <w:bookmarkStart w:id="60" w:name="_Toc476668577"/>
      <w:bookmarkStart w:id="61" w:name="_Toc476680441"/>
      <w:bookmarkStart w:id="62" w:name="_Toc476681697"/>
      <w:bookmarkStart w:id="63" w:name="_Toc476682945"/>
      <w:bookmarkStart w:id="64" w:name="_Toc2777259"/>
      <w:r>
        <w:rPr>
          <w:rFonts w:asciiTheme="minorHAnsi" w:hAnsiTheme="minorHAnsi" w:cstheme="minorHAnsi"/>
          <w:b/>
          <w:color w:val="CD630B" w:themeColor="accent4" w:themeShade="80"/>
          <w:sz w:val="28"/>
        </w:rPr>
        <w:t>2</w:t>
      </w:r>
      <w:r w:rsidR="00BE594E">
        <w:rPr>
          <w:rFonts w:asciiTheme="minorHAnsi" w:hAnsiTheme="minorHAnsi" w:cstheme="minorHAnsi"/>
          <w:b/>
          <w:color w:val="CD630B" w:themeColor="accent4" w:themeShade="80"/>
          <w:sz w:val="28"/>
        </w:rPr>
        <w:t>3</w:t>
      </w:r>
      <w:r>
        <w:rPr>
          <w:rFonts w:asciiTheme="minorHAnsi" w:hAnsiTheme="minorHAnsi" w:cstheme="minorHAnsi"/>
          <w:b/>
          <w:color w:val="CD630B" w:themeColor="accent4" w:themeShade="80"/>
          <w:sz w:val="28"/>
        </w:rPr>
        <w:t xml:space="preserve">.1 </w:t>
      </w:r>
      <w:r w:rsidR="00AB176D" w:rsidRPr="0030030B">
        <w:rPr>
          <w:rFonts w:asciiTheme="minorHAnsi" w:hAnsiTheme="minorHAnsi" w:cstheme="minorHAnsi"/>
          <w:b/>
          <w:color w:val="CD630B" w:themeColor="accent4" w:themeShade="80"/>
          <w:sz w:val="28"/>
        </w:rPr>
        <w:t>INTRODUCTION</w:t>
      </w:r>
    </w:p>
    <w:p w14:paraId="71D678F0" w14:textId="05F2737E" w:rsidR="00A549E3" w:rsidRPr="00575AC0" w:rsidRDefault="00AA5988" w:rsidP="00C129C4">
      <w:pPr>
        <w:spacing w:before="0" w:after="0"/>
        <w:jc w:val="both"/>
        <w:rPr>
          <w:rFonts w:asciiTheme="minorHAnsi" w:hAnsiTheme="minorHAnsi" w:cstheme="minorHAnsi"/>
          <w:snapToGrid w:val="0"/>
          <w:sz w:val="22"/>
        </w:rPr>
      </w:pPr>
      <w:r w:rsidRPr="00575AC0">
        <w:rPr>
          <w:rFonts w:asciiTheme="minorHAnsi" w:hAnsiTheme="minorHAnsi" w:cstheme="minorHAnsi"/>
          <w:snapToGrid w:val="0"/>
          <w:sz w:val="22"/>
        </w:rPr>
        <w:t xml:space="preserve">Infection prevention and control (IPC) measures in health-care settings are of central importance to the safety of patients, health-care workers and the environment, and to the management of communicable disease threats to the global and local community. Application of basic IPC precautions, such as Standard Precautions, is a cornerstone for providing safe health care. In an era of emerging and re-emerging infectious diseases and the recent </w:t>
      </w:r>
      <w:r w:rsidR="001A7278">
        <w:rPr>
          <w:rFonts w:asciiTheme="minorHAnsi" w:hAnsiTheme="minorHAnsi" w:cstheme="minorHAnsi"/>
          <w:snapToGrid w:val="0"/>
          <w:sz w:val="22"/>
        </w:rPr>
        <w:t xml:space="preserve">COVID-19   </w:t>
      </w:r>
      <w:r w:rsidRPr="00575AC0">
        <w:rPr>
          <w:rFonts w:asciiTheme="minorHAnsi" w:hAnsiTheme="minorHAnsi" w:cstheme="minorHAnsi"/>
          <w:snapToGrid w:val="0"/>
          <w:sz w:val="22"/>
        </w:rPr>
        <w:t xml:space="preserve"> pandemic, IPC in health care is a critical step now. It is hoped that with the enhanced awareness about Acute respiratory infections (ARIs), modes of transmission through droplets, infectious respiratory aerosols, or contact will change the way of living of Indian’s which will be more oriented towards precautionary and preventive measures; as has been the case with COVID 19.</w:t>
      </w:r>
      <w:r w:rsidR="00EE3614" w:rsidRPr="00575AC0">
        <w:rPr>
          <w:rFonts w:asciiTheme="minorHAnsi" w:hAnsiTheme="minorHAnsi" w:cstheme="minorHAnsi"/>
          <w:snapToGrid w:val="0"/>
          <w:sz w:val="22"/>
        </w:rPr>
        <w:t xml:space="preserve"> Face masks, indiscriminate spitting, cough hygiene practices, and other civic responsibilities during the pandemic is expected to continue, given the exhortation by the Prime Minister</w:t>
      </w:r>
      <w:r w:rsidR="00575AC0">
        <w:rPr>
          <w:rFonts w:asciiTheme="minorHAnsi" w:hAnsiTheme="minorHAnsi" w:cstheme="minorHAnsi"/>
          <w:snapToGrid w:val="0"/>
          <w:sz w:val="22"/>
        </w:rPr>
        <w:t xml:space="preserve"> and heightened awareness</w:t>
      </w:r>
      <w:r w:rsidR="008026AC">
        <w:rPr>
          <w:rFonts w:asciiTheme="minorHAnsi" w:hAnsiTheme="minorHAnsi" w:cstheme="minorHAnsi"/>
          <w:snapToGrid w:val="0"/>
          <w:sz w:val="22"/>
        </w:rPr>
        <w:t xml:space="preserve"> about disease transmission and safety measures</w:t>
      </w:r>
      <w:r w:rsidR="00EE3614" w:rsidRPr="00575AC0">
        <w:rPr>
          <w:rFonts w:asciiTheme="minorHAnsi" w:hAnsiTheme="minorHAnsi" w:cstheme="minorHAnsi"/>
          <w:snapToGrid w:val="0"/>
          <w:sz w:val="22"/>
        </w:rPr>
        <w:t xml:space="preserve"> </w:t>
      </w:r>
      <w:r w:rsidR="00575AC0">
        <w:rPr>
          <w:rFonts w:asciiTheme="minorHAnsi" w:hAnsiTheme="minorHAnsi" w:cstheme="minorHAnsi"/>
          <w:snapToGrid w:val="0"/>
          <w:sz w:val="22"/>
        </w:rPr>
        <w:t>during the pandemic</w:t>
      </w:r>
      <w:r w:rsidR="00EE3614" w:rsidRPr="00575AC0">
        <w:rPr>
          <w:rFonts w:asciiTheme="minorHAnsi" w:hAnsiTheme="minorHAnsi" w:cstheme="minorHAnsi"/>
          <w:snapToGrid w:val="0"/>
          <w:sz w:val="22"/>
        </w:rPr>
        <w:t xml:space="preserve">. </w:t>
      </w:r>
      <w:r w:rsidRPr="00575AC0">
        <w:rPr>
          <w:rFonts w:asciiTheme="minorHAnsi" w:hAnsiTheme="minorHAnsi" w:cstheme="minorHAnsi"/>
          <w:snapToGrid w:val="0"/>
          <w:sz w:val="22"/>
        </w:rPr>
        <w:t xml:space="preserve"> </w:t>
      </w:r>
    </w:p>
    <w:p w14:paraId="760E27FC" w14:textId="5518590E" w:rsidR="00A549E3"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3</w:t>
      </w:r>
      <w:r>
        <w:rPr>
          <w:rFonts w:asciiTheme="minorHAnsi" w:hAnsiTheme="minorHAnsi" w:cstheme="minorHAnsi"/>
          <w:b/>
          <w:color w:val="C86A07" w:themeColor="accent2" w:themeShade="BF"/>
          <w:sz w:val="28"/>
          <w:lang w:val="en"/>
        </w:rPr>
        <w:t xml:space="preserve">.2 </w:t>
      </w:r>
      <w:r w:rsidR="00A549E3" w:rsidRPr="0030030B">
        <w:rPr>
          <w:rFonts w:asciiTheme="minorHAnsi" w:hAnsiTheme="minorHAnsi" w:cstheme="minorHAnsi"/>
          <w:b/>
          <w:color w:val="C86A07" w:themeColor="accent2" w:themeShade="BF"/>
          <w:sz w:val="28"/>
          <w:lang w:val="en"/>
        </w:rPr>
        <w:t xml:space="preserve">PROGRESS MADE SO FAR </w:t>
      </w:r>
    </w:p>
    <w:p w14:paraId="1820E802" w14:textId="4F1C41B0" w:rsidR="00A549E3" w:rsidRPr="00C87DC4" w:rsidRDefault="00A31EBF" w:rsidP="00442A67">
      <w:pPr>
        <w:pStyle w:val="ListParagraph"/>
        <w:numPr>
          <w:ilvl w:val="0"/>
          <w:numId w:val="43"/>
        </w:numPr>
        <w:spacing w:before="0" w:after="0"/>
        <w:jc w:val="both"/>
        <w:rPr>
          <w:rFonts w:asciiTheme="minorHAnsi" w:hAnsiTheme="minorHAnsi" w:cstheme="minorHAnsi"/>
          <w:snapToGrid w:val="0"/>
          <w:sz w:val="22"/>
        </w:rPr>
      </w:pPr>
      <w:r w:rsidRPr="00C87DC4">
        <w:rPr>
          <w:rFonts w:asciiTheme="minorHAnsi" w:hAnsiTheme="minorHAnsi" w:cstheme="minorHAnsi"/>
          <w:snapToGrid w:val="0"/>
          <w:sz w:val="22"/>
        </w:rPr>
        <w:t xml:space="preserve">National guidelines on airborne infection control in all health settings including HIV care settings were developed that included a combination of simple managerial, administrative, environmental and personal protection measures. </w:t>
      </w:r>
    </w:p>
    <w:p w14:paraId="4AF5B48C" w14:textId="1ECB3694" w:rsidR="00A31EBF" w:rsidRPr="00C87DC4" w:rsidRDefault="00A31EBF" w:rsidP="00442A67">
      <w:pPr>
        <w:pStyle w:val="ListParagraph"/>
        <w:numPr>
          <w:ilvl w:val="0"/>
          <w:numId w:val="43"/>
        </w:numPr>
        <w:spacing w:before="0" w:after="0"/>
        <w:jc w:val="both"/>
        <w:rPr>
          <w:rFonts w:asciiTheme="minorHAnsi" w:hAnsiTheme="minorHAnsi" w:cstheme="minorHAnsi"/>
          <w:snapToGrid w:val="0"/>
          <w:sz w:val="22"/>
        </w:rPr>
      </w:pPr>
      <w:r w:rsidRPr="00C87DC4">
        <w:rPr>
          <w:rFonts w:asciiTheme="minorHAnsi" w:hAnsiTheme="minorHAnsi" w:cstheme="minorHAnsi"/>
          <w:snapToGrid w:val="0"/>
          <w:sz w:val="22"/>
        </w:rPr>
        <w:t xml:space="preserve">Good practice with regards to </w:t>
      </w:r>
      <w:r w:rsidR="008026AC" w:rsidRPr="00C87DC4">
        <w:rPr>
          <w:rFonts w:asciiTheme="minorHAnsi" w:hAnsiTheme="minorHAnsi" w:cstheme="minorHAnsi"/>
          <w:snapToGrid w:val="0"/>
          <w:sz w:val="22"/>
        </w:rPr>
        <w:t xml:space="preserve">Airborne Infection Control </w:t>
      </w:r>
      <w:r w:rsidRPr="00C87DC4">
        <w:rPr>
          <w:rFonts w:asciiTheme="minorHAnsi" w:hAnsiTheme="minorHAnsi" w:cstheme="minorHAnsi"/>
          <w:snapToGrid w:val="0"/>
          <w:sz w:val="22"/>
        </w:rPr>
        <w:t>(AIC) in states can be scaled up. This included TB screening among healthcare worker using CBNAAT</w:t>
      </w:r>
      <w:r w:rsidR="00C87DC4" w:rsidRPr="00C87DC4">
        <w:rPr>
          <w:rFonts w:asciiTheme="minorHAnsi" w:hAnsiTheme="minorHAnsi" w:cstheme="minorHAnsi"/>
          <w:snapToGrid w:val="0"/>
          <w:sz w:val="22"/>
        </w:rPr>
        <w:t xml:space="preserve">, </w:t>
      </w:r>
      <w:r w:rsidRPr="00C87DC4">
        <w:rPr>
          <w:rFonts w:asciiTheme="minorHAnsi" w:hAnsiTheme="minorHAnsi" w:cstheme="minorHAnsi"/>
          <w:snapToGrid w:val="0"/>
          <w:sz w:val="22"/>
        </w:rPr>
        <w:t>vulnerability mapping, cough corners, AIC awareness campaigns and distribution of home AIC kits</w:t>
      </w:r>
      <w:r w:rsidR="00C87DC4" w:rsidRPr="00C87DC4">
        <w:rPr>
          <w:rFonts w:asciiTheme="minorHAnsi" w:hAnsiTheme="minorHAnsi" w:cstheme="minorHAnsi"/>
          <w:snapToGrid w:val="0"/>
          <w:sz w:val="22"/>
        </w:rPr>
        <w:t xml:space="preserve">. </w:t>
      </w:r>
    </w:p>
    <w:p w14:paraId="170A1CFF" w14:textId="5A87E7CF" w:rsidR="00A549E3"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3</w:t>
      </w:r>
      <w:r>
        <w:rPr>
          <w:rFonts w:asciiTheme="minorHAnsi" w:hAnsiTheme="minorHAnsi" w:cstheme="minorHAnsi"/>
          <w:b/>
          <w:color w:val="C86A07" w:themeColor="accent2" w:themeShade="BF"/>
          <w:sz w:val="28"/>
          <w:lang w:val="en"/>
        </w:rPr>
        <w:t xml:space="preserve">.3 </w:t>
      </w:r>
      <w:r w:rsidR="00A549E3" w:rsidRPr="0030030B">
        <w:rPr>
          <w:rFonts w:asciiTheme="minorHAnsi" w:hAnsiTheme="minorHAnsi" w:cstheme="minorHAnsi"/>
          <w:b/>
          <w:color w:val="C86A07" w:themeColor="accent2" w:themeShade="BF"/>
          <w:sz w:val="28"/>
          <w:lang w:val="en"/>
        </w:rPr>
        <w:t xml:space="preserve">CHALLENGES REMAIN </w:t>
      </w:r>
    </w:p>
    <w:p w14:paraId="67BA042F" w14:textId="77777777" w:rsidR="008026AC" w:rsidRDefault="008026AC" w:rsidP="008026AC">
      <w:pPr>
        <w:pStyle w:val="ListParagraph"/>
        <w:numPr>
          <w:ilvl w:val="0"/>
          <w:numId w:val="42"/>
        </w:numPr>
        <w:spacing w:before="0" w:after="0"/>
        <w:jc w:val="both"/>
        <w:rPr>
          <w:rFonts w:asciiTheme="minorHAnsi" w:hAnsiTheme="minorHAnsi" w:cstheme="minorHAnsi"/>
          <w:snapToGrid w:val="0"/>
          <w:sz w:val="22"/>
        </w:rPr>
      </w:pPr>
      <w:r w:rsidRPr="00AA5988">
        <w:rPr>
          <w:rFonts w:asciiTheme="minorHAnsi" w:hAnsiTheme="minorHAnsi" w:cstheme="minorHAnsi"/>
          <w:snapToGrid w:val="0"/>
          <w:sz w:val="22"/>
          <w:lang w:val="en-IN"/>
        </w:rPr>
        <w:t xml:space="preserve">AIC measures </w:t>
      </w:r>
      <w:r>
        <w:rPr>
          <w:rFonts w:asciiTheme="minorHAnsi" w:hAnsiTheme="minorHAnsi" w:cstheme="minorHAnsi"/>
          <w:snapToGrid w:val="0"/>
          <w:sz w:val="22"/>
          <w:lang w:val="en-IN"/>
        </w:rPr>
        <w:t>are yet to be</w:t>
      </w:r>
      <w:r w:rsidRPr="00AA5988">
        <w:rPr>
          <w:rFonts w:asciiTheme="minorHAnsi" w:hAnsiTheme="minorHAnsi" w:cstheme="minorHAnsi"/>
          <w:snapToGrid w:val="0"/>
          <w:sz w:val="22"/>
          <w:lang w:val="en-IN"/>
        </w:rPr>
        <w:t xml:space="preserve"> included in Indian Public Health Standards</w:t>
      </w:r>
      <w:r>
        <w:rPr>
          <w:rFonts w:asciiTheme="minorHAnsi" w:hAnsiTheme="minorHAnsi" w:cstheme="minorHAnsi"/>
          <w:snapToGrid w:val="0"/>
          <w:sz w:val="22"/>
          <w:lang w:val="en-IN"/>
        </w:rPr>
        <w:t xml:space="preserve"> (IPHS)</w:t>
      </w:r>
    </w:p>
    <w:p w14:paraId="663F5A8F" w14:textId="77777777" w:rsidR="008026AC" w:rsidRPr="00AA5988" w:rsidRDefault="008026AC" w:rsidP="008026AC">
      <w:pPr>
        <w:pStyle w:val="ListParagraph"/>
        <w:numPr>
          <w:ilvl w:val="0"/>
          <w:numId w:val="42"/>
        </w:numPr>
        <w:spacing w:before="0" w:after="0"/>
        <w:jc w:val="both"/>
        <w:rPr>
          <w:rFonts w:asciiTheme="minorHAnsi" w:hAnsiTheme="minorHAnsi" w:cstheme="minorHAnsi"/>
          <w:snapToGrid w:val="0"/>
          <w:sz w:val="22"/>
        </w:rPr>
      </w:pPr>
      <w:r w:rsidRPr="00AA5988">
        <w:rPr>
          <w:rFonts w:asciiTheme="minorHAnsi" w:hAnsiTheme="minorHAnsi" w:cstheme="minorHAnsi"/>
          <w:snapToGrid w:val="0"/>
          <w:sz w:val="22"/>
        </w:rPr>
        <w:t xml:space="preserve">Low priority given to AIC by national TB and HIV programmes and </w:t>
      </w:r>
      <w:r>
        <w:rPr>
          <w:rFonts w:asciiTheme="minorHAnsi" w:hAnsiTheme="minorHAnsi" w:cstheme="minorHAnsi"/>
          <w:snapToGrid w:val="0"/>
          <w:sz w:val="22"/>
        </w:rPr>
        <w:t>overall</w:t>
      </w:r>
      <w:r w:rsidRPr="00AA5988">
        <w:rPr>
          <w:rFonts w:asciiTheme="minorHAnsi" w:hAnsiTheme="minorHAnsi" w:cstheme="minorHAnsi"/>
          <w:snapToGrid w:val="0"/>
          <w:sz w:val="22"/>
        </w:rPr>
        <w:t xml:space="preserve"> general health system</w:t>
      </w:r>
    </w:p>
    <w:p w14:paraId="278217D6" w14:textId="77777777" w:rsidR="008026AC" w:rsidRPr="00AA5988" w:rsidRDefault="008026AC" w:rsidP="008026AC">
      <w:pPr>
        <w:pStyle w:val="ListParagraph"/>
        <w:numPr>
          <w:ilvl w:val="0"/>
          <w:numId w:val="42"/>
        </w:numPr>
        <w:spacing w:before="0" w:after="0"/>
        <w:jc w:val="both"/>
        <w:rPr>
          <w:rFonts w:asciiTheme="minorHAnsi" w:hAnsiTheme="minorHAnsi" w:cstheme="minorHAnsi"/>
          <w:snapToGrid w:val="0"/>
          <w:sz w:val="22"/>
        </w:rPr>
      </w:pPr>
      <w:r w:rsidRPr="00AA5988">
        <w:rPr>
          <w:rFonts w:asciiTheme="minorHAnsi" w:hAnsiTheme="minorHAnsi" w:cstheme="minorHAnsi"/>
          <w:snapToGrid w:val="0"/>
          <w:sz w:val="22"/>
        </w:rPr>
        <w:t xml:space="preserve">Lack of implementation of AIC interventions at </w:t>
      </w:r>
      <w:r>
        <w:rPr>
          <w:rFonts w:asciiTheme="minorHAnsi" w:hAnsiTheme="minorHAnsi" w:cstheme="minorHAnsi"/>
          <w:snapToGrid w:val="0"/>
          <w:sz w:val="22"/>
        </w:rPr>
        <w:t xml:space="preserve">majority of </w:t>
      </w:r>
      <w:r w:rsidRPr="00AA5988">
        <w:rPr>
          <w:rFonts w:asciiTheme="minorHAnsi" w:hAnsiTheme="minorHAnsi" w:cstheme="minorHAnsi"/>
          <w:snapToGrid w:val="0"/>
          <w:sz w:val="22"/>
        </w:rPr>
        <w:t>health facilities</w:t>
      </w:r>
      <w:r>
        <w:rPr>
          <w:rFonts w:asciiTheme="minorHAnsi" w:hAnsiTheme="minorHAnsi" w:cstheme="minorHAnsi"/>
          <w:snapToGrid w:val="0"/>
          <w:sz w:val="22"/>
        </w:rPr>
        <w:t xml:space="preserve"> (Public as well as Private)</w:t>
      </w:r>
    </w:p>
    <w:p w14:paraId="44D93832" w14:textId="77777777" w:rsidR="008026AC" w:rsidRPr="00AA5988" w:rsidRDefault="008026AC" w:rsidP="008026AC">
      <w:pPr>
        <w:pStyle w:val="ListParagraph"/>
        <w:numPr>
          <w:ilvl w:val="0"/>
          <w:numId w:val="42"/>
        </w:numPr>
        <w:spacing w:before="0" w:after="0"/>
        <w:jc w:val="both"/>
        <w:rPr>
          <w:rFonts w:asciiTheme="minorHAnsi" w:hAnsiTheme="minorHAnsi" w:cstheme="minorHAnsi"/>
          <w:snapToGrid w:val="0"/>
          <w:sz w:val="22"/>
        </w:rPr>
      </w:pPr>
      <w:r w:rsidRPr="00AA5988">
        <w:rPr>
          <w:rFonts w:asciiTheme="minorHAnsi" w:hAnsiTheme="minorHAnsi" w:cstheme="minorHAnsi"/>
          <w:snapToGrid w:val="0"/>
          <w:sz w:val="22"/>
        </w:rPr>
        <w:t>Triage and fast tracking of symptomatic persons limited to HIV care sites</w:t>
      </w:r>
      <w:r>
        <w:rPr>
          <w:rFonts w:asciiTheme="minorHAnsi" w:hAnsiTheme="minorHAnsi" w:cstheme="minorHAnsi"/>
          <w:snapToGrid w:val="0"/>
          <w:sz w:val="22"/>
        </w:rPr>
        <w:t xml:space="preserve"> only</w:t>
      </w:r>
    </w:p>
    <w:p w14:paraId="5C4DACA1" w14:textId="77777777" w:rsidR="008026AC" w:rsidRPr="00AA5988" w:rsidRDefault="008026AC" w:rsidP="008026AC">
      <w:pPr>
        <w:pStyle w:val="ListParagraph"/>
        <w:numPr>
          <w:ilvl w:val="0"/>
          <w:numId w:val="42"/>
        </w:numPr>
        <w:spacing w:before="0" w:after="0"/>
        <w:jc w:val="both"/>
        <w:rPr>
          <w:rFonts w:asciiTheme="minorHAnsi" w:hAnsiTheme="minorHAnsi" w:cstheme="minorHAnsi"/>
          <w:snapToGrid w:val="0"/>
          <w:sz w:val="22"/>
        </w:rPr>
      </w:pPr>
      <w:r w:rsidRPr="00AA5988">
        <w:rPr>
          <w:rFonts w:asciiTheme="minorHAnsi" w:hAnsiTheme="minorHAnsi" w:cstheme="minorHAnsi"/>
          <w:snapToGrid w:val="0"/>
          <w:sz w:val="22"/>
        </w:rPr>
        <w:t xml:space="preserve">Absence of consistent supply and use of personal protective equipment (e.g., N95 particulate respirator masks) (only seen in DR-TB </w:t>
      </w:r>
      <w:r>
        <w:rPr>
          <w:rFonts w:asciiTheme="minorHAnsi" w:hAnsiTheme="minorHAnsi" w:cstheme="minorHAnsi"/>
          <w:snapToGrid w:val="0"/>
          <w:sz w:val="22"/>
        </w:rPr>
        <w:t xml:space="preserve">treatment </w:t>
      </w:r>
      <w:r w:rsidRPr="00AA5988">
        <w:rPr>
          <w:rFonts w:asciiTheme="minorHAnsi" w:hAnsiTheme="minorHAnsi" w:cstheme="minorHAnsi"/>
          <w:snapToGrid w:val="0"/>
          <w:sz w:val="22"/>
        </w:rPr>
        <w:t>centres)</w:t>
      </w:r>
    </w:p>
    <w:p w14:paraId="2AE48DDB" w14:textId="77777777" w:rsidR="008026AC" w:rsidRPr="00AA5988" w:rsidRDefault="008026AC" w:rsidP="008026AC">
      <w:pPr>
        <w:pStyle w:val="ListParagraph"/>
        <w:numPr>
          <w:ilvl w:val="0"/>
          <w:numId w:val="42"/>
        </w:numPr>
        <w:spacing w:before="0" w:after="0"/>
        <w:jc w:val="both"/>
        <w:rPr>
          <w:rFonts w:asciiTheme="minorHAnsi" w:hAnsiTheme="minorHAnsi" w:cstheme="minorHAnsi"/>
          <w:b/>
          <w:snapToGrid w:val="0"/>
          <w:sz w:val="22"/>
        </w:rPr>
      </w:pPr>
      <w:r w:rsidRPr="00AA5988">
        <w:rPr>
          <w:rFonts w:asciiTheme="minorHAnsi" w:hAnsiTheme="minorHAnsi" w:cstheme="minorHAnsi"/>
          <w:snapToGrid w:val="0"/>
          <w:sz w:val="22"/>
        </w:rPr>
        <w:t>Inadequacy</w:t>
      </w:r>
      <w:r w:rsidRPr="00AA5988">
        <w:rPr>
          <w:rFonts w:asciiTheme="minorHAnsi" w:hAnsiTheme="minorHAnsi" w:cstheme="minorHAnsi"/>
          <w:b/>
          <w:snapToGrid w:val="0"/>
          <w:sz w:val="22"/>
        </w:rPr>
        <w:t xml:space="preserve"> </w:t>
      </w:r>
      <w:r w:rsidRPr="00AA5988">
        <w:rPr>
          <w:rFonts w:asciiTheme="minorHAnsi" w:hAnsiTheme="minorHAnsi" w:cstheme="minorHAnsi"/>
          <w:snapToGrid w:val="0"/>
          <w:sz w:val="22"/>
        </w:rPr>
        <w:t xml:space="preserve">of health care workers (HCWs) screening practice and </w:t>
      </w:r>
      <w:r>
        <w:rPr>
          <w:rFonts w:asciiTheme="minorHAnsi" w:hAnsiTheme="minorHAnsi" w:cstheme="minorHAnsi"/>
          <w:snapToGrid w:val="0"/>
          <w:sz w:val="22"/>
        </w:rPr>
        <w:t xml:space="preserve">lack of </w:t>
      </w:r>
      <w:r w:rsidRPr="00AA5988">
        <w:rPr>
          <w:rFonts w:asciiTheme="minorHAnsi" w:hAnsiTheme="minorHAnsi" w:cstheme="minorHAnsi"/>
          <w:snapToGrid w:val="0"/>
          <w:sz w:val="22"/>
        </w:rPr>
        <w:t>data on TB among HCWs</w:t>
      </w:r>
      <w:r w:rsidRPr="00AA5988">
        <w:rPr>
          <w:rFonts w:asciiTheme="minorHAnsi" w:hAnsiTheme="minorHAnsi" w:cstheme="minorHAnsi"/>
          <w:b/>
          <w:snapToGrid w:val="0"/>
          <w:sz w:val="22"/>
        </w:rPr>
        <w:t xml:space="preserve"> </w:t>
      </w:r>
    </w:p>
    <w:p w14:paraId="3F54CB3E" w14:textId="41D0425D" w:rsidR="00467898"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3</w:t>
      </w:r>
      <w:r>
        <w:rPr>
          <w:rFonts w:asciiTheme="minorHAnsi" w:hAnsiTheme="minorHAnsi" w:cstheme="minorHAnsi"/>
          <w:b/>
          <w:color w:val="C86A07" w:themeColor="accent2" w:themeShade="BF"/>
          <w:sz w:val="28"/>
          <w:lang w:val="en"/>
        </w:rPr>
        <w:t xml:space="preserve">.4 </w:t>
      </w:r>
      <w:r w:rsidR="00A549E3" w:rsidRPr="0030030B">
        <w:rPr>
          <w:rFonts w:asciiTheme="minorHAnsi" w:hAnsiTheme="minorHAnsi" w:cstheme="minorHAnsi"/>
          <w:b/>
          <w:color w:val="C86A07" w:themeColor="accent2" w:themeShade="BF"/>
          <w:sz w:val="28"/>
          <w:lang w:val="en"/>
        </w:rPr>
        <w:t xml:space="preserve">THE WAY FORWARD </w:t>
      </w:r>
    </w:p>
    <w:p w14:paraId="047813A2" w14:textId="77777777" w:rsidR="00216DE8" w:rsidRPr="00CD3222" w:rsidRDefault="00467898" w:rsidP="0030030B">
      <w:pPr>
        <w:spacing w:before="0" w:after="0"/>
        <w:jc w:val="both"/>
        <w:rPr>
          <w:rFonts w:asciiTheme="minorHAnsi" w:hAnsiTheme="minorHAnsi" w:cstheme="minorHAnsi"/>
          <w:b/>
          <w:sz w:val="22"/>
        </w:rPr>
      </w:pPr>
      <w:r w:rsidRPr="00CD3222">
        <w:rPr>
          <w:rFonts w:asciiTheme="minorHAnsi" w:hAnsiTheme="minorHAnsi" w:cstheme="minorHAnsi"/>
          <w:b/>
          <w:sz w:val="22"/>
        </w:rPr>
        <w:t xml:space="preserve">2.2.1 </w:t>
      </w:r>
      <w:r w:rsidR="00216DE8" w:rsidRPr="00CD3222">
        <w:rPr>
          <w:rFonts w:asciiTheme="minorHAnsi" w:hAnsiTheme="minorHAnsi" w:cstheme="minorHAnsi"/>
          <w:b/>
          <w:sz w:val="22"/>
        </w:rPr>
        <w:t xml:space="preserve">Enhanced policy support and financial human and financial resources to mainstream AIC </w:t>
      </w:r>
    </w:p>
    <w:p w14:paraId="5C3324F2" w14:textId="77777777" w:rsidR="00216DE8" w:rsidRDefault="00216DE8" w:rsidP="00C129C4">
      <w:pPr>
        <w:spacing w:before="0" w:after="0"/>
        <w:jc w:val="both"/>
        <w:rPr>
          <w:rFonts w:asciiTheme="minorHAnsi" w:hAnsiTheme="minorHAnsi" w:cstheme="minorHAnsi"/>
          <w:sz w:val="22"/>
        </w:rPr>
      </w:pPr>
      <w:r>
        <w:rPr>
          <w:rFonts w:asciiTheme="minorHAnsi" w:hAnsiTheme="minorHAnsi" w:cstheme="minorHAnsi"/>
          <w:sz w:val="22"/>
        </w:rPr>
        <w:t xml:space="preserve">2.2.1.1. </w:t>
      </w:r>
      <w:r w:rsidRPr="00216DE8">
        <w:rPr>
          <w:rFonts w:asciiTheme="minorHAnsi" w:hAnsiTheme="minorHAnsi" w:cstheme="minorHAnsi"/>
          <w:sz w:val="22"/>
          <w:lang w:val="en-IN"/>
        </w:rPr>
        <w:t>Revise the AIC Guidelines in line with the National TB Elimination programme vision and objective so as to be inclusive of community, general settings and all healthcare facilities</w:t>
      </w:r>
      <w:r w:rsidRPr="00216DE8">
        <w:rPr>
          <w:rFonts w:asciiTheme="minorHAnsi" w:hAnsiTheme="minorHAnsi" w:cstheme="minorHAnsi"/>
          <w:sz w:val="22"/>
        </w:rPr>
        <w:t xml:space="preserve"> </w:t>
      </w:r>
    </w:p>
    <w:p w14:paraId="7D59462B" w14:textId="5D9B5A7E" w:rsidR="00216DE8" w:rsidRDefault="00216DE8" w:rsidP="00C129C4">
      <w:pPr>
        <w:spacing w:before="0" w:after="0"/>
        <w:jc w:val="both"/>
        <w:rPr>
          <w:rFonts w:asciiTheme="minorHAnsi" w:hAnsiTheme="minorHAnsi" w:cstheme="minorHAnsi"/>
          <w:sz w:val="22"/>
        </w:rPr>
      </w:pPr>
      <w:r>
        <w:rPr>
          <w:rFonts w:asciiTheme="minorHAnsi" w:hAnsiTheme="minorHAnsi" w:cstheme="minorHAnsi"/>
          <w:sz w:val="22"/>
        </w:rPr>
        <w:lastRenderedPageBreak/>
        <w:t xml:space="preserve">2.2.1.2 Advocate with the </w:t>
      </w:r>
      <w:r w:rsidRPr="00216DE8">
        <w:rPr>
          <w:rFonts w:asciiTheme="minorHAnsi" w:hAnsiTheme="minorHAnsi" w:cstheme="minorHAnsi"/>
          <w:sz w:val="22"/>
          <w:lang w:val="en-IN"/>
        </w:rPr>
        <w:t>Ministry of Health/National Health Mission to approve and make available increased budget</w:t>
      </w:r>
      <w:r w:rsidR="008026AC">
        <w:rPr>
          <w:rFonts w:asciiTheme="minorHAnsi" w:hAnsiTheme="minorHAnsi" w:cstheme="minorHAnsi"/>
          <w:sz w:val="22"/>
          <w:lang w:val="en-IN"/>
        </w:rPr>
        <w:t xml:space="preserve"> allocation</w:t>
      </w:r>
      <w:r w:rsidRPr="00216DE8">
        <w:rPr>
          <w:rFonts w:asciiTheme="minorHAnsi" w:hAnsiTheme="minorHAnsi" w:cstheme="minorHAnsi"/>
          <w:sz w:val="22"/>
          <w:lang w:val="en-IN"/>
        </w:rPr>
        <w:t xml:space="preserve"> that will be required to support implementation of all components of AIC as suggested in the AIC guidelines</w:t>
      </w:r>
    </w:p>
    <w:p w14:paraId="2EF7C41C" w14:textId="3384BB38" w:rsidR="00216DE8" w:rsidRDefault="00216DE8" w:rsidP="00C129C4">
      <w:pPr>
        <w:spacing w:before="0" w:after="0"/>
        <w:jc w:val="both"/>
        <w:rPr>
          <w:rFonts w:asciiTheme="minorHAnsi" w:hAnsiTheme="minorHAnsi" w:cstheme="minorHAnsi"/>
          <w:sz w:val="22"/>
        </w:rPr>
      </w:pPr>
      <w:r>
        <w:rPr>
          <w:rFonts w:asciiTheme="minorHAnsi" w:hAnsiTheme="minorHAnsi" w:cstheme="minorHAnsi"/>
          <w:sz w:val="22"/>
        </w:rPr>
        <w:t xml:space="preserve">2.2.1.3 </w:t>
      </w:r>
      <w:r w:rsidR="008026AC">
        <w:rPr>
          <w:rFonts w:asciiTheme="minorHAnsi" w:hAnsiTheme="minorHAnsi" w:cstheme="minorHAnsi"/>
          <w:sz w:val="22"/>
        </w:rPr>
        <w:t xml:space="preserve">Work with other departments for mandatory </w:t>
      </w:r>
      <w:r w:rsidR="008026AC" w:rsidRPr="00216DE8">
        <w:rPr>
          <w:rFonts w:asciiTheme="minorHAnsi" w:hAnsiTheme="minorHAnsi" w:cstheme="minorHAnsi"/>
          <w:sz w:val="22"/>
          <w:lang w:val="en-IN"/>
        </w:rPr>
        <w:t xml:space="preserve">AIC </w:t>
      </w:r>
      <w:r w:rsidR="008026AC">
        <w:rPr>
          <w:rFonts w:asciiTheme="minorHAnsi" w:hAnsiTheme="minorHAnsi" w:cstheme="minorHAnsi"/>
          <w:sz w:val="22"/>
          <w:lang w:val="en-IN"/>
        </w:rPr>
        <w:t xml:space="preserve">measures </w:t>
      </w:r>
      <w:r w:rsidR="008026AC" w:rsidRPr="00216DE8">
        <w:rPr>
          <w:rFonts w:asciiTheme="minorHAnsi" w:hAnsiTheme="minorHAnsi" w:cstheme="minorHAnsi"/>
          <w:sz w:val="22"/>
          <w:lang w:val="en-IN"/>
        </w:rPr>
        <w:t xml:space="preserve">implementation and </w:t>
      </w:r>
      <w:r w:rsidR="008026AC">
        <w:rPr>
          <w:rFonts w:asciiTheme="minorHAnsi" w:hAnsiTheme="minorHAnsi" w:cstheme="minorHAnsi"/>
          <w:sz w:val="22"/>
          <w:lang w:val="en-IN"/>
        </w:rPr>
        <w:t xml:space="preserve">AIC to be </w:t>
      </w:r>
      <w:r w:rsidR="008026AC" w:rsidRPr="00216DE8">
        <w:rPr>
          <w:rFonts w:asciiTheme="minorHAnsi" w:hAnsiTheme="minorHAnsi" w:cstheme="minorHAnsi"/>
          <w:sz w:val="22"/>
          <w:lang w:val="en-IN"/>
        </w:rPr>
        <w:t>included as a necessary clause in NABL/NABH Accreditation of all Health care establishments in Private sector</w:t>
      </w:r>
    </w:p>
    <w:p w14:paraId="6C1DC3F8" w14:textId="3F9913A2" w:rsidR="00467898" w:rsidRPr="00467898" w:rsidRDefault="00467898" w:rsidP="00C129C4">
      <w:pPr>
        <w:spacing w:before="0" w:after="0"/>
        <w:jc w:val="both"/>
        <w:rPr>
          <w:rFonts w:asciiTheme="minorHAnsi" w:eastAsia="Times New Roman" w:hAnsiTheme="minorHAnsi" w:cstheme="minorHAnsi"/>
          <w:bCs/>
          <w:sz w:val="22"/>
          <w:lang w:val="en-GB" w:eastAsia="en-IN"/>
        </w:rPr>
      </w:pPr>
      <w:r w:rsidRPr="00467898">
        <w:rPr>
          <w:rFonts w:asciiTheme="minorHAnsi" w:hAnsiTheme="minorHAnsi" w:cstheme="minorHAnsi"/>
          <w:sz w:val="22"/>
        </w:rPr>
        <w:t xml:space="preserve"> </w:t>
      </w:r>
      <w:r w:rsidR="00216DE8">
        <w:rPr>
          <w:rFonts w:asciiTheme="minorHAnsi" w:hAnsiTheme="minorHAnsi" w:cstheme="minorHAnsi"/>
          <w:sz w:val="22"/>
        </w:rPr>
        <w:t xml:space="preserve">2.2.1.4 Provide </w:t>
      </w:r>
      <w:r w:rsidR="00216DE8" w:rsidRPr="00216DE8">
        <w:rPr>
          <w:rFonts w:asciiTheme="minorHAnsi" w:hAnsiTheme="minorHAnsi" w:cstheme="minorHAnsi"/>
          <w:sz w:val="22"/>
          <w:lang w:val="en-IN"/>
        </w:rPr>
        <w:t>additional dedicated staff at TB unit level to coordinate, supervise and monitor systematic implementation and monitoring of AIC measures</w:t>
      </w:r>
      <w:r w:rsidR="00216DE8">
        <w:rPr>
          <w:rFonts w:asciiTheme="minorHAnsi" w:hAnsiTheme="minorHAnsi" w:cstheme="minorHAnsi"/>
          <w:sz w:val="22"/>
          <w:lang w:val="en-IN"/>
        </w:rPr>
        <w:t xml:space="preserve"> along with the </w:t>
      </w:r>
      <w:r w:rsidR="00216DE8" w:rsidRPr="00216DE8">
        <w:rPr>
          <w:rFonts w:asciiTheme="minorHAnsi" w:hAnsiTheme="minorHAnsi" w:cstheme="minorHAnsi"/>
          <w:sz w:val="22"/>
          <w:lang w:val="en-IN"/>
        </w:rPr>
        <w:t>expansion of TB preventive treatment services</w:t>
      </w:r>
      <w:r w:rsidR="00216DE8">
        <w:rPr>
          <w:rFonts w:asciiTheme="minorHAnsi" w:hAnsiTheme="minorHAnsi" w:cstheme="minorHAnsi"/>
          <w:sz w:val="22"/>
          <w:lang w:val="en-IN"/>
        </w:rPr>
        <w:t xml:space="preserve">. </w:t>
      </w:r>
      <w:r w:rsidR="00216DE8" w:rsidRPr="00216DE8">
        <w:rPr>
          <w:rFonts w:asciiTheme="minorHAnsi" w:hAnsiTheme="minorHAnsi" w:cstheme="minorHAnsi"/>
          <w:sz w:val="22"/>
          <w:lang w:val="en-IN"/>
        </w:rPr>
        <w:t xml:space="preserve"> </w:t>
      </w:r>
    </w:p>
    <w:p w14:paraId="1AD714C0" w14:textId="37795324" w:rsidR="00216DE8" w:rsidRPr="00AD7A7C" w:rsidRDefault="00AD7A7C" w:rsidP="0030030B">
      <w:pPr>
        <w:spacing w:before="0" w:after="0"/>
        <w:jc w:val="both"/>
        <w:rPr>
          <w:rFonts w:asciiTheme="minorHAnsi" w:hAnsiTheme="minorHAnsi" w:cstheme="minorHAnsi"/>
          <w:b/>
          <w:sz w:val="22"/>
        </w:rPr>
      </w:pPr>
      <w:r>
        <w:rPr>
          <w:rFonts w:asciiTheme="minorHAnsi" w:hAnsiTheme="minorHAnsi" w:cstheme="minorHAnsi"/>
          <w:b/>
          <w:sz w:val="22"/>
        </w:rPr>
        <w:t xml:space="preserve">2.2.2 </w:t>
      </w:r>
      <w:r w:rsidR="00216DE8" w:rsidRPr="00AD7A7C">
        <w:rPr>
          <w:rFonts w:asciiTheme="minorHAnsi" w:hAnsiTheme="minorHAnsi" w:cstheme="minorHAnsi"/>
          <w:b/>
          <w:sz w:val="22"/>
        </w:rPr>
        <w:t xml:space="preserve">Strengthen Airborne Infection Control (AIC) through effective implementation of administrative and environmental measures. </w:t>
      </w:r>
    </w:p>
    <w:p w14:paraId="1C2EBD89" w14:textId="58A9DC54" w:rsidR="00216DE8" w:rsidRPr="00216DE8" w:rsidRDefault="007A0671"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2.2.2.1 </w:t>
      </w:r>
      <w:r w:rsidR="00216DE8" w:rsidRPr="00216DE8">
        <w:rPr>
          <w:rFonts w:asciiTheme="minorHAnsi" w:eastAsia="Times New Roman" w:hAnsiTheme="minorHAnsi" w:cstheme="minorHAnsi"/>
          <w:bCs/>
          <w:sz w:val="22"/>
          <w:lang w:val="en-GB" w:eastAsia="en-IN"/>
        </w:rPr>
        <w:t xml:space="preserve">Leverage ongoing initiatives e.g. </w:t>
      </w:r>
      <w:r w:rsidR="00F51523" w:rsidRPr="00216DE8">
        <w:rPr>
          <w:rFonts w:asciiTheme="minorHAnsi" w:eastAsia="Times New Roman" w:hAnsiTheme="minorHAnsi" w:cstheme="minorHAnsi"/>
          <w:bCs/>
          <w:sz w:val="22"/>
          <w:lang w:val="en-GB" w:eastAsia="en-IN"/>
        </w:rPr>
        <w:t>scale up</w:t>
      </w:r>
      <w:r w:rsidR="00216DE8" w:rsidRPr="00216DE8">
        <w:rPr>
          <w:rFonts w:asciiTheme="minorHAnsi" w:eastAsia="Times New Roman" w:hAnsiTheme="minorHAnsi" w:cstheme="minorHAnsi"/>
          <w:bCs/>
          <w:sz w:val="22"/>
          <w:lang w:val="en-GB" w:eastAsia="en-IN"/>
        </w:rPr>
        <w:t xml:space="preserve"> of health and wellness centres under the Ayushman Bharat scheme, initiatives by the NHM such as Kayakalp (promote inclusion of AIC as a criterion for awards).</w:t>
      </w:r>
    </w:p>
    <w:p w14:paraId="4829EE36" w14:textId="56E4EB8E" w:rsidR="00216DE8" w:rsidRDefault="007A0671"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2.2.2.2 Roll out </w:t>
      </w:r>
      <w:r w:rsidR="00216DE8" w:rsidRPr="00216DE8">
        <w:rPr>
          <w:rFonts w:asciiTheme="minorHAnsi" w:eastAsia="Times New Roman" w:hAnsiTheme="minorHAnsi" w:cstheme="minorHAnsi"/>
          <w:bCs/>
          <w:sz w:val="22"/>
          <w:lang w:val="en-GB" w:eastAsia="en-IN"/>
        </w:rPr>
        <w:t>a sustained national campaign for cough hygiene using e.g. mass media, awareness programmes in education institutions.</w:t>
      </w:r>
      <w:r w:rsidR="00CD3222">
        <w:rPr>
          <w:rFonts w:asciiTheme="minorHAnsi" w:eastAsia="Times New Roman" w:hAnsiTheme="minorHAnsi" w:cstheme="minorHAnsi"/>
          <w:bCs/>
          <w:sz w:val="22"/>
          <w:lang w:val="en-GB" w:eastAsia="en-IN"/>
        </w:rPr>
        <w:t xml:space="preserve"> </w:t>
      </w:r>
    </w:p>
    <w:p w14:paraId="0BA4655D" w14:textId="240B5A73" w:rsidR="00216DE8" w:rsidRPr="00216DE8" w:rsidRDefault="007A0671"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2.2.2.3 </w:t>
      </w:r>
      <w:r w:rsidR="00CF7D4F">
        <w:rPr>
          <w:rFonts w:asciiTheme="minorHAnsi" w:eastAsia="Times New Roman" w:hAnsiTheme="minorHAnsi" w:cstheme="minorHAnsi"/>
          <w:bCs/>
          <w:sz w:val="22"/>
          <w:lang w:val="en-GB" w:eastAsia="en-IN"/>
        </w:rPr>
        <w:t>P</w:t>
      </w:r>
      <w:r w:rsidR="00CD3222" w:rsidRPr="00CD3222">
        <w:rPr>
          <w:rFonts w:asciiTheme="minorHAnsi" w:eastAsia="Times New Roman" w:hAnsiTheme="minorHAnsi" w:cstheme="minorHAnsi"/>
          <w:bCs/>
          <w:sz w:val="22"/>
          <w:lang w:val="en-GB" w:eastAsia="en-IN"/>
        </w:rPr>
        <w:t>romot</w:t>
      </w:r>
      <w:r w:rsidR="00CF7D4F">
        <w:rPr>
          <w:rFonts w:asciiTheme="minorHAnsi" w:eastAsia="Times New Roman" w:hAnsiTheme="minorHAnsi" w:cstheme="minorHAnsi"/>
          <w:bCs/>
          <w:sz w:val="22"/>
          <w:lang w:val="en-GB" w:eastAsia="en-IN"/>
        </w:rPr>
        <w:t xml:space="preserve">e </w:t>
      </w:r>
      <w:r w:rsidR="00CD3222" w:rsidRPr="00CD3222">
        <w:rPr>
          <w:rFonts w:asciiTheme="minorHAnsi" w:eastAsia="Times New Roman" w:hAnsiTheme="minorHAnsi" w:cstheme="minorHAnsi"/>
          <w:bCs/>
          <w:sz w:val="22"/>
          <w:lang w:val="en-GB" w:eastAsia="en-IN"/>
        </w:rPr>
        <w:t>AIC practices/new AIC mechanisms in public</w:t>
      </w:r>
      <w:r w:rsidR="008026AC">
        <w:rPr>
          <w:rFonts w:asciiTheme="minorHAnsi" w:eastAsia="Times New Roman" w:hAnsiTheme="minorHAnsi" w:cstheme="minorHAnsi"/>
          <w:bCs/>
          <w:sz w:val="22"/>
          <w:lang w:val="en-GB" w:eastAsia="en-IN"/>
        </w:rPr>
        <w:t xml:space="preserve"> </w:t>
      </w:r>
      <w:r w:rsidR="008026AC">
        <w:rPr>
          <w:rFonts w:asciiTheme="minorHAnsi" w:eastAsia="Times New Roman" w:hAnsiTheme="minorHAnsi" w:cstheme="minorHAnsi"/>
          <w:bCs/>
          <w:sz w:val="22"/>
          <w:lang w:val="en-GB" w:eastAsia="en-IN"/>
        </w:rPr>
        <w:tab/>
      </w:r>
      <w:r w:rsidR="00CD3222" w:rsidRPr="00CD3222">
        <w:rPr>
          <w:rFonts w:asciiTheme="minorHAnsi" w:eastAsia="Times New Roman" w:hAnsiTheme="minorHAnsi" w:cstheme="minorHAnsi"/>
          <w:bCs/>
          <w:sz w:val="22"/>
          <w:lang w:val="en-GB" w:eastAsia="en-IN"/>
        </w:rPr>
        <w:t xml:space="preserve">transport, promote policy </w:t>
      </w:r>
      <w:r w:rsidR="00657510" w:rsidRPr="00CD3222">
        <w:rPr>
          <w:rFonts w:asciiTheme="minorHAnsi" w:eastAsia="Times New Roman" w:hAnsiTheme="minorHAnsi" w:cstheme="minorHAnsi"/>
          <w:bCs/>
          <w:sz w:val="22"/>
          <w:lang w:val="en-GB" w:eastAsia="en-IN"/>
        </w:rPr>
        <w:t>for mandatory</w:t>
      </w:r>
      <w:r w:rsidR="00CD3222" w:rsidRPr="00CD3222">
        <w:rPr>
          <w:rFonts w:asciiTheme="minorHAnsi" w:eastAsia="Times New Roman" w:hAnsiTheme="minorHAnsi" w:cstheme="minorHAnsi"/>
          <w:bCs/>
          <w:sz w:val="22"/>
          <w:lang w:val="en-GB" w:eastAsia="en-IN"/>
        </w:rPr>
        <w:t>/voluntary leave for those patients who are smear or culture positive in workplaces schools and colleges.</w:t>
      </w:r>
      <w:r w:rsidR="00CD3222">
        <w:rPr>
          <w:rFonts w:asciiTheme="minorHAnsi" w:eastAsia="Times New Roman" w:hAnsiTheme="minorHAnsi" w:cstheme="minorHAnsi"/>
          <w:bCs/>
          <w:sz w:val="22"/>
          <w:lang w:val="en-GB" w:eastAsia="en-IN"/>
        </w:rPr>
        <w:t xml:space="preserve"> </w:t>
      </w:r>
    </w:p>
    <w:p w14:paraId="529CD8F3" w14:textId="77777777" w:rsidR="00CD3222" w:rsidRPr="00216DE8" w:rsidRDefault="007A0671" w:rsidP="00CD3222">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2.2.2.4 </w:t>
      </w:r>
      <w:r w:rsidR="00CD3222" w:rsidRPr="00216DE8">
        <w:rPr>
          <w:rFonts w:asciiTheme="minorHAnsi" w:eastAsia="Times New Roman" w:hAnsiTheme="minorHAnsi" w:cstheme="minorHAnsi"/>
          <w:bCs/>
          <w:sz w:val="22"/>
          <w:lang w:val="en-GB" w:eastAsia="en-IN"/>
        </w:rPr>
        <w:t>Provide updated implementation guide and standard operating procedures (SoPs) e.g. patient flow, engineering measures at health facilities.</w:t>
      </w:r>
    </w:p>
    <w:p w14:paraId="63CDBA2E" w14:textId="77777777" w:rsidR="00CD3222" w:rsidRPr="00216DE8" w:rsidRDefault="007A0671" w:rsidP="00CD3222">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2.2.2.5 </w:t>
      </w:r>
      <w:r w:rsidR="00CD3222" w:rsidRPr="00216DE8">
        <w:rPr>
          <w:rFonts w:asciiTheme="minorHAnsi" w:eastAsia="Times New Roman" w:hAnsiTheme="minorHAnsi" w:cstheme="minorHAnsi"/>
          <w:bCs/>
          <w:sz w:val="22"/>
          <w:lang w:val="en-GB" w:eastAsia="en-IN"/>
        </w:rPr>
        <w:t>Promote innovations such as AIC helpdesk to identify presumptive TB and fast-track</w:t>
      </w:r>
    </w:p>
    <w:p w14:paraId="666C6EE5" w14:textId="77777777" w:rsidR="00CD3222" w:rsidRPr="00216DE8" w:rsidRDefault="00CD3222" w:rsidP="00CD3222">
      <w:pPr>
        <w:spacing w:before="0" w:after="0"/>
        <w:jc w:val="both"/>
        <w:rPr>
          <w:rFonts w:asciiTheme="minorHAnsi" w:eastAsia="Times New Roman" w:hAnsiTheme="minorHAnsi" w:cstheme="minorHAnsi"/>
          <w:bCs/>
          <w:sz w:val="22"/>
          <w:lang w:val="en-GB" w:eastAsia="en-IN"/>
        </w:rPr>
      </w:pPr>
      <w:r w:rsidRPr="00216DE8">
        <w:rPr>
          <w:rFonts w:asciiTheme="minorHAnsi" w:eastAsia="Times New Roman" w:hAnsiTheme="minorHAnsi" w:cstheme="minorHAnsi"/>
          <w:bCs/>
          <w:sz w:val="22"/>
          <w:lang w:val="en-GB" w:eastAsia="en-IN"/>
        </w:rPr>
        <w:t>NTEP staff to ensure compliance with national AIC guidelines mandatorily at the NTEP supported laboratories/ MDR-TB wards, leverage infection control committee meetings</w:t>
      </w:r>
    </w:p>
    <w:p w14:paraId="2EB549E3" w14:textId="2D2AD87A" w:rsidR="00216DE8" w:rsidRPr="00216DE8" w:rsidRDefault="00CD3222"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2.2.2.6 </w:t>
      </w:r>
      <w:r w:rsidR="00216DE8" w:rsidRPr="00216DE8">
        <w:rPr>
          <w:rFonts w:asciiTheme="minorHAnsi" w:eastAsia="Times New Roman" w:hAnsiTheme="minorHAnsi" w:cstheme="minorHAnsi"/>
          <w:bCs/>
          <w:sz w:val="22"/>
          <w:lang w:val="en-GB" w:eastAsia="en-IN"/>
        </w:rPr>
        <w:t>Develop and disseminate IEC specific for AIC and TPT (cough hygiene/ fast tracking)</w:t>
      </w:r>
    </w:p>
    <w:p w14:paraId="7BE056F0" w14:textId="48FADDD4" w:rsidR="00216DE8" w:rsidRPr="00216DE8" w:rsidRDefault="00CD3222"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2.2.2.7 </w:t>
      </w:r>
      <w:r w:rsidR="00216DE8" w:rsidRPr="00216DE8">
        <w:rPr>
          <w:rFonts w:asciiTheme="minorHAnsi" w:eastAsia="Times New Roman" w:hAnsiTheme="minorHAnsi" w:cstheme="minorHAnsi"/>
          <w:bCs/>
          <w:sz w:val="22"/>
          <w:lang w:val="en-GB" w:eastAsia="en-IN"/>
        </w:rPr>
        <w:t>Ensure adequate supply of personal protection equipment and monitor their usage amongst health care workers and at risk groups. Supply mandatory masks to all patients with respiratory infections in hospital settings.</w:t>
      </w:r>
    </w:p>
    <w:p w14:paraId="6278C0AA" w14:textId="33DED495" w:rsidR="00216DE8" w:rsidRDefault="00CD3222" w:rsidP="00C129C4">
      <w:pPr>
        <w:spacing w:before="0" w:after="0"/>
        <w:jc w:val="both"/>
        <w:rPr>
          <w:rFonts w:asciiTheme="minorHAnsi" w:eastAsia="Times New Roman" w:hAnsiTheme="minorHAnsi" w:cstheme="minorHAnsi"/>
          <w:bCs/>
          <w:sz w:val="22"/>
          <w:lang w:val="en-GB" w:eastAsia="en-IN"/>
        </w:rPr>
      </w:pPr>
      <w:r>
        <w:rPr>
          <w:rFonts w:asciiTheme="minorHAnsi" w:eastAsia="Times New Roman" w:hAnsiTheme="minorHAnsi" w:cstheme="minorHAnsi"/>
          <w:bCs/>
          <w:sz w:val="22"/>
          <w:lang w:val="en-GB" w:eastAsia="en-IN"/>
        </w:rPr>
        <w:t xml:space="preserve">2.2.2.8 </w:t>
      </w:r>
      <w:r w:rsidR="00216DE8" w:rsidRPr="00216DE8">
        <w:rPr>
          <w:rFonts w:asciiTheme="minorHAnsi" w:eastAsia="Times New Roman" w:hAnsiTheme="minorHAnsi" w:cstheme="minorHAnsi"/>
          <w:bCs/>
          <w:sz w:val="22"/>
          <w:lang w:val="en-GB" w:eastAsia="en-IN"/>
        </w:rPr>
        <w:t>Provide AIC Kits to all TB patients</w:t>
      </w:r>
      <w:r w:rsidR="000F6D1D">
        <w:rPr>
          <w:rFonts w:asciiTheme="minorHAnsi" w:eastAsia="Times New Roman" w:hAnsiTheme="minorHAnsi" w:cstheme="minorHAnsi"/>
          <w:bCs/>
          <w:sz w:val="22"/>
          <w:lang w:val="en-GB" w:eastAsia="en-IN"/>
        </w:rPr>
        <w:t xml:space="preserve"> </w:t>
      </w:r>
    </w:p>
    <w:p w14:paraId="4D8413D2" w14:textId="77777777" w:rsidR="00216DE8" w:rsidRDefault="00216DE8" w:rsidP="00C129C4">
      <w:pPr>
        <w:spacing w:before="0" w:after="0"/>
        <w:jc w:val="both"/>
        <w:rPr>
          <w:rFonts w:asciiTheme="minorHAnsi" w:eastAsia="Times New Roman" w:hAnsiTheme="minorHAnsi" w:cstheme="minorHAnsi"/>
          <w:bCs/>
          <w:sz w:val="22"/>
          <w:lang w:val="en-GB" w:eastAsia="en-IN"/>
        </w:rPr>
      </w:pPr>
    </w:p>
    <w:p w14:paraId="5EF945DD" w14:textId="77777777" w:rsidR="00216DE8" w:rsidRDefault="00216DE8" w:rsidP="00C129C4">
      <w:pPr>
        <w:spacing w:before="0" w:after="0"/>
        <w:jc w:val="both"/>
        <w:rPr>
          <w:rFonts w:asciiTheme="minorHAnsi" w:eastAsia="Times New Roman" w:hAnsiTheme="minorHAnsi" w:cstheme="minorHAnsi"/>
          <w:bCs/>
          <w:sz w:val="22"/>
          <w:lang w:val="en-GB" w:eastAsia="en-IN"/>
        </w:rPr>
      </w:pPr>
    </w:p>
    <w:p w14:paraId="1BFA22AD" w14:textId="77777777" w:rsidR="00216DE8" w:rsidRDefault="00216DE8" w:rsidP="00C129C4">
      <w:pPr>
        <w:spacing w:before="0" w:after="0"/>
        <w:jc w:val="both"/>
        <w:rPr>
          <w:rFonts w:asciiTheme="minorHAnsi" w:eastAsia="Times New Roman" w:hAnsiTheme="minorHAnsi" w:cstheme="minorHAnsi"/>
          <w:bCs/>
          <w:sz w:val="22"/>
          <w:lang w:val="en-GB" w:eastAsia="en-IN"/>
        </w:rPr>
      </w:pPr>
    </w:p>
    <w:p w14:paraId="66111632" w14:textId="77777777" w:rsidR="00216DE8" w:rsidRDefault="00216DE8" w:rsidP="00C129C4">
      <w:pPr>
        <w:spacing w:before="0" w:after="0"/>
        <w:jc w:val="both"/>
        <w:rPr>
          <w:rFonts w:asciiTheme="minorHAnsi" w:eastAsia="Times New Roman" w:hAnsiTheme="minorHAnsi" w:cstheme="minorHAnsi"/>
          <w:bCs/>
          <w:sz w:val="22"/>
          <w:lang w:val="en-GB" w:eastAsia="en-IN"/>
        </w:rPr>
      </w:pPr>
    </w:p>
    <w:p w14:paraId="6A3B012C" w14:textId="3305D115" w:rsidR="00B06862" w:rsidRPr="00A549E3" w:rsidRDefault="00B06862" w:rsidP="00C129C4">
      <w:pPr>
        <w:spacing w:before="0" w:after="0"/>
        <w:jc w:val="both"/>
        <w:rPr>
          <w:rFonts w:asciiTheme="minorHAnsi" w:eastAsia="Times New Roman" w:hAnsiTheme="minorHAnsi" w:cstheme="minorHAnsi"/>
          <w:b/>
          <w:caps/>
          <w:snapToGrid w:val="0"/>
          <w:sz w:val="22"/>
        </w:rPr>
      </w:pPr>
      <w:r w:rsidRPr="00A549E3">
        <w:rPr>
          <w:rFonts w:asciiTheme="minorHAnsi" w:hAnsiTheme="minorHAnsi" w:cstheme="minorHAnsi"/>
          <w:b/>
          <w:snapToGrid w:val="0"/>
          <w:sz w:val="22"/>
        </w:rPr>
        <w:br w:type="page"/>
      </w:r>
    </w:p>
    <w:bookmarkEnd w:id="58"/>
    <w:bookmarkEnd w:id="59"/>
    <w:bookmarkEnd w:id="60"/>
    <w:bookmarkEnd w:id="61"/>
    <w:bookmarkEnd w:id="62"/>
    <w:bookmarkEnd w:id="63"/>
    <w:bookmarkEnd w:id="64"/>
    <w:p w14:paraId="4640741F" w14:textId="58EF8B59" w:rsidR="0015012E" w:rsidRDefault="0015012E">
      <w:pPr>
        <w:spacing w:before="0" w:after="0"/>
        <w:rPr>
          <w:rFonts w:asciiTheme="minorHAnsi" w:eastAsia="Times New Roman" w:hAnsiTheme="minorHAnsi" w:cstheme="minorHAnsi"/>
          <w:b/>
          <w:caps/>
          <w:snapToGrid w:val="0"/>
          <w:sz w:val="36"/>
          <w:szCs w:val="28"/>
        </w:rPr>
      </w:pPr>
      <w:r>
        <w:rPr>
          <w:rFonts w:asciiTheme="minorHAnsi" w:hAnsiTheme="minorHAnsi" w:cstheme="minorHAnsi"/>
          <w:b/>
          <w:noProof/>
          <w:sz w:val="28"/>
          <w:szCs w:val="28"/>
          <w:lang w:val="en-IN" w:eastAsia="en-IN"/>
        </w:rPr>
        <w:lastRenderedPageBreak/>
        <mc:AlternateContent>
          <mc:Choice Requires="wps">
            <w:drawing>
              <wp:anchor distT="0" distB="0" distL="114300" distR="114300" simplePos="0" relativeHeight="251659264" behindDoc="0" locked="0" layoutInCell="1" allowOverlap="1" wp14:anchorId="78C1B097" wp14:editId="7F60B7D5">
                <wp:simplePos x="0" y="0"/>
                <wp:positionH relativeFrom="column">
                  <wp:posOffset>-588010</wp:posOffset>
                </wp:positionH>
                <wp:positionV relativeFrom="paragraph">
                  <wp:posOffset>-650240</wp:posOffset>
                </wp:positionV>
                <wp:extent cx="6878955" cy="9796780"/>
                <wp:effectExtent l="0" t="0" r="17145" b="1397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9796780"/>
                        </a:xfrm>
                        <a:prstGeom prst="rect">
                          <a:avLst/>
                        </a:prstGeom>
                        <a:solidFill>
                          <a:schemeClr val="tx2">
                            <a:lumMod val="75000"/>
                          </a:schemeClr>
                        </a:solidFill>
                        <a:ln w="9525">
                          <a:solidFill>
                            <a:schemeClr val="tx2">
                              <a:lumMod val="75000"/>
                            </a:schemeClr>
                          </a:solidFill>
                          <a:miter lim="800000"/>
                          <a:headEnd/>
                          <a:tailEnd/>
                        </a:ln>
                      </wps:spPr>
                      <wps:txbx>
                        <w:txbxContent>
                          <w:p w14:paraId="31B3AF04" w14:textId="77777777" w:rsidR="00D55F8F" w:rsidRPr="00EF09B4" w:rsidRDefault="00D55F8F" w:rsidP="00841EF2">
                            <w:pPr>
                              <w:shd w:val="clear" w:color="auto" w:fill="17365D" w:themeFill="text2" w:themeFillShade="BF"/>
                              <w:jc w:val="right"/>
                              <w:rPr>
                                <w:color w:val="FFFFFF" w:themeColor="background1"/>
                                <w:sz w:val="144"/>
                                <w:szCs w:val="144"/>
                                <w:lang w:val="en-GB"/>
                              </w:rPr>
                            </w:pPr>
                          </w:p>
                          <w:p w14:paraId="3D21E06A" w14:textId="2B205462" w:rsidR="00D55F8F" w:rsidRPr="00F74542" w:rsidRDefault="00D55F8F" w:rsidP="00841EF2">
                            <w:pPr>
                              <w:pStyle w:val="Heading1"/>
                              <w:shd w:val="clear" w:color="auto" w:fill="17365D" w:themeFill="text2" w:themeFillShade="BF"/>
                              <w:tabs>
                                <w:tab w:val="num" w:pos="5670"/>
                              </w:tabs>
                              <w:spacing w:after="360"/>
                              <w:rPr>
                                <w:rFonts w:ascii="Myriad Pro Cond" w:hAnsi="Myriad Pro Cond" w:cstheme="minorHAnsi"/>
                                <w:b/>
                                <w:snapToGrid w:val="0"/>
                                <w:color w:val="auto"/>
                                <w:szCs w:val="144"/>
                              </w:rPr>
                            </w:pPr>
                            <w:r w:rsidRPr="00F74542">
                              <w:rPr>
                                <w:rFonts w:ascii="Myriad Pro Cond" w:hAnsi="Myriad Pro Cond" w:cstheme="minorHAnsi"/>
                                <w:b/>
                                <w:snapToGrid w:val="0"/>
                                <w:color w:val="auto"/>
                                <w:szCs w:val="144"/>
                              </w:rPr>
                              <w:t>NSP PILLAR</w:t>
                            </w:r>
                            <w:r>
                              <w:rPr>
                                <w:rFonts w:ascii="Myriad Pro Cond" w:hAnsi="Myriad Pro Cond" w:cstheme="minorHAnsi"/>
                                <w:b/>
                                <w:snapToGrid w:val="0"/>
                                <w:color w:val="auto"/>
                                <w:szCs w:val="144"/>
                              </w:rPr>
                              <w:t xml:space="preserve"> 3 </w:t>
                            </w:r>
                          </w:p>
                          <w:p w14:paraId="554DF98E" w14:textId="283679B4" w:rsidR="00D55F8F" w:rsidRPr="0015012E" w:rsidRDefault="00D55F8F" w:rsidP="00841EF2">
                            <w:pPr>
                              <w:pStyle w:val="Heading1"/>
                              <w:shd w:val="clear" w:color="auto" w:fill="17365D" w:themeFill="text2" w:themeFillShade="BF"/>
                              <w:tabs>
                                <w:tab w:val="num" w:pos="5670"/>
                              </w:tabs>
                              <w:rPr>
                                <w:rFonts w:ascii="Myriad Pro Cond" w:hAnsi="Myriad Pro Cond" w:cstheme="minorHAnsi"/>
                                <w:b/>
                                <w:snapToGrid w:val="0"/>
                                <w:color w:val="auto"/>
                                <w:sz w:val="180"/>
                                <w:szCs w:val="144"/>
                              </w:rPr>
                            </w:pPr>
                            <w:r>
                              <w:rPr>
                                <w:rFonts w:ascii="Myriad Pro Cond" w:hAnsi="Myriad Pro Cond" w:cstheme="minorHAnsi"/>
                                <w:b/>
                                <w:snapToGrid w:val="0"/>
                                <w:color w:val="auto"/>
                                <w:sz w:val="180"/>
                                <w:szCs w:val="144"/>
                              </w:rPr>
                              <w:t>DETECT ALL</w:t>
                            </w:r>
                          </w:p>
                          <w:p w14:paraId="2B6B92E8" w14:textId="77777777" w:rsidR="00D55F8F" w:rsidRPr="00713F88" w:rsidRDefault="00D55F8F" w:rsidP="00841EF2">
                            <w:pPr>
                              <w:shd w:val="clear" w:color="auto" w:fill="17365D" w:themeFill="text2" w:themeFillShade="BF"/>
                              <w:ind w:left="144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ab/>
                            </w:r>
                          </w:p>
                        </w:txbxContent>
                      </wps:txbx>
                      <wps:bodyPr rot="0" vert="horz" wrap="square" lIns="91440" tIns="45720" rIns="5486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1B097" id="_x0000_s1030" type="#_x0000_t202" style="position:absolute;margin-left:-46.3pt;margin-top:-51.2pt;width:541.65pt;height:7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" fillcolor="#17365d [2415]" strokecolor="#17365d [2415]">
                <v:textbox inset=",,43.2pt">
                  <w:txbxContent>
                    <w:p w14:paraId="31B3AF04" w14:textId="77777777" w:rsidR="00D55F8F" w:rsidRPr="00EF09B4" w:rsidRDefault="00D55F8F" w:rsidP="00841EF2">
                      <w:pPr>
                        <w:shd w:val="clear" w:color="auto" w:fill="17365D" w:themeFill="text2" w:themeFillShade="BF"/>
                        <w:jc w:val="right"/>
                        <w:rPr>
                          <w:color w:val="FFFFFF" w:themeColor="background1"/>
                          <w:sz w:val="144"/>
                          <w:szCs w:val="144"/>
                          <w:lang w:val="en-GB"/>
                        </w:rPr>
                      </w:pPr>
                    </w:p>
                    <w:p w14:paraId="3D21E06A" w14:textId="2B205462" w:rsidR="00D55F8F" w:rsidRPr="00F74542" w:rsidRDefault="00D55F8F" w:rsidP="00841EF2">
                      <w:pPr>
                        <w:pStyle w:val="Heading1"/>
                        <w:shd w:val="clear" w:color="auto" w:fill="17365D" w:themeFill="text2" w:themeFillShade="BF"/>
                        <w:tabs>
                          <w:tab w:val="num" w:pos="5670"/>
                        </w:tabs>
                        <w:spacing w:after="360"/>
                        <w:rPr>
                          <w:rFonts w:ascii="Myriad Pro Cond" w:hAnsi="Myriad Pro Cond" w:cstheme="minorHAnsi"/>
                          <w:b/>
                          <w:snapToGrid w:val="0"/>
                          <w:color w:val="auto"/>
                          <w:szCs w:val="144"/>
                        </w:rPr>
                      </w:pPr>
                      <w:r w:rsidRPr="00F74542">
                        <w:rPr>
                          <w:rFonts w:ascii="Myriad Pro Cond" w:hAnsi="Myriad Pro Cond" w:cstheme="minorHAnsi"/>
                          <w:b/>
                          <w:snapToGrid w:val="0"/>
                          <w:color w:val="auto"/>
                          <w:szCs w:val="144"/>
                        </w:rPr>
                        <w:t>NSP PILLAR</w:t>
                      </w:r>
                      <w:r>
                        <w:rPr>
                          <w:rFonts w:ascii="Myriad Pro Cond" w:hAnsi="Myriad Pro Cond" w:cstheme="minorHAnsi"/>
                          <w:b/>
                          <w:snapToGrid w:val="0"/>
                          <w:color w:val="auto"/>
                          <w:szCs w:val="144"/>
                        </w:rPr>
                        <w:t xml:space="preserve"> 3 </w:t>
                      </w:r>
                    </w:p>
                    <w:p w14:paraId="554DF98E" w14:textId="283679B4" w:rsidR="00D55F8F" w:rsidRPr="0015012E" w:rsidRDefault="00D55F8F" w:rsidP="00841EF2">
                      <w:pPr>
                        <w:pStyle w:val="Heading1"/>
                        <w:shd w:val="clear" w:color="auto" w:fill="17365D" w:themeFill="text2" w:themeFillShade="BF"/>
                        <w:tabs>
                          <w:tab w:val="num" w:pos="5670"/>
                        </w:tabs>
                        <w:rPr>
                          <w:rFonts w:ascii="Myriad Pro Cond" w:hAnsi="Myriad Pro Cond" w:cstheme="minorHAnsi"/>
                          <w:b/>
                          <w:snapToGrid w:val="0"/>
                          <w:color w:val="auto"/>
                          <w:sz w:val="180"/>
                          <w:szCs w:val="144"/>
                        </w:rPr>
                      </w:pPr>
                      <w:r>
                        <w:rPr>
                          <w:rFonts w:ascii="Myriad Pro Cond" w:hAnsi="Myriad Pro Cond" w:cstheme="minorHAnsi"/>
                          <w:b/>
                          <w:snapToGrid w:val="0"/>
                          <w:color w:val="auto"/>
                          <w:sz w:val="180"/>
                          <w:szCs w:val="144"/>
                        </w:rPr>
                        <w:t>DETECT ALL</w:t>
                      </w:r>
                    </w:p>
                    <w:p w14:paraId="2B6B92E8" w14:textId="77777777" w:rsidR="00D55F8F" w:rsidRPr="00713F88" w:rsidRDefault="00D55F8F" w:rsidP="00841EF2">
                      <w:pPr>
                        <w:shd w:val="clear" w:color="auto" w:fill="17365D" w:themeFill="text2" w:themeFillShade="BF"/>
                        <w:ind w:left="144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ab/>
                      </w:r>
                    </w:p>
                  </w:txbxContent>
                </v:textbox>
                <w10:wrap type="topAndBottom"/>
              </v:shape>
            </w:pict>
          </mc:Fallback>
        </mc:AlternateContent>
      </w:r>
      <w:r>
        <w:rPr>
          <w:rFonts w:asciiTheme="minorHAnsi" w:hAnsiTheme="minorHAnsi" w:cstheme="minorHAnsi"/>
          <w:b/>
          <w:snapToGrid w:val="0"/>
          <w:sz w:val="36"/>
        </w:rPr>
        <w:br w:type="page"/>
      </w:r>
    </w:p>
    <w:p w14:paraId="491751C0" w14:textId="1878085C" w:rsidR="00FD452C" w:rsidRDefault="00FD452C" w:rsidP="00D8123A">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FA1515">
        <w:rPr>
          <w:rFonts w:asciiTheme="minorHAnsi" w:hAnsiTheme="minorHAnsi" w:cstheme="minorHAnsi"/>
          <w:b/>
          <w:snapToGrid w:val="0"/>
          <w:color w:val="auto"/>
          <w:sz w:val="36"/>
        </w:rPr>
        <w:t>2</w:t>
      </w:r>
      <w:r w:rsidR="00BE594E">
        <w:rPr>
          <w:rFonts w:asciiTheme="minorHAnsi" w:hAnsiTheme="minorHAnsi" w:cstheme="minorHAnsi"/>
          <w:b/>
          <w:snapToGrid w:val="0"/>
          <w:color w:val="auto"/>
          <w:sz w:val="36"/>
        </w:rPr>
        <w:t>4</w:t>
      </w:r>
    </w:p>
    <w:p w14:paraId="344ABBCD" w14:textId="2F5222E3" w:rsidR="003E091E" w:rsidRPr="006B7923" w:rsidRDefault="003E091E" w:rsidP="003E091E">
      <w:pPr>
        <w:shd w:val="clear" w:color="auto" w:fill="17365D" w:themeFill="text2" w:themeFillShade="BF"/>
        <w:spacing w:before="0" w:after="0"/>
        <w:jc w:val="right"/>
        <w:rPr>
          <w:b/>
          <w:sz w:val="28"/>
        </w:rPr>
      </w:pPr>
      <w:r>
        <w:rPr>
          <w:b/>
          <w:sz w:val="28"/>
        </w:rPr>
        <w:t xml:space="preserve">NSP </w:t>
      </w:r>
      <w:r w:rsidRPr="006B7923">
        <w:rPr>
          <w:b/>
          <w:sz w:val="28"/>
        </w:rPr>
        <w:t xml:space="preserve">STRATEGIC AREA </w:t>
      </w:r>
      <w:r>
        <w:rPr>
          <w:b/>
          <w:sz w:val="28"/>
        </w:rPr>
        <w:t>3.</w:t>
      </w:r>
      <w:r w:rsidRPr="006B7923">
        <w:rPr>
          <w:b/>
          <w:sz w:val="28"/>
        </w:rPr>
        <w:t>1</w:t>
      </w:r>
    </w:p>
    <w:p w14:paraId="1EA80B2B" w14:textId="0A57A910" w:rsidR="00FD452C" w:rsidRPr="00734B6A" w:rsidRDefault="00DB12F4" w:rsidP="00D8123A">
      <w:pPr>
        <w:pStyle w:val="Heading1"/>
        <w:tabs>
          <w:tab w:val="num" w:pos="5670"/>
        </w:tabs>
        <w:rPr>
          <w:rFonts w:asciiTheme="minorHAnsi" w:hAnsiTheme="minorHAnsi" w:cstheme="minorHAnsi"/>
          <w:b/>
          <w:snapToGrid w:val="0"/>
          <w:color w:val="auto"/>
        </w:rPr>
      </w:pPr>
      <w:r>
        <w:rPr>
          <w:rFonts w:asciiTheme="minorHAnsi" w:hAnsiTheme="minorHAnsi" w:cstheme="minorHAnsi"/>
          <w:b/>
          <w:snapToGrid w:val="0"/>
          <w:color w:val="auto"/>
        </w:rPr>
        <w:t>Laboratory and Diagnostic systems</w:t>
      </w:r>
    </w:p>
    <w:p w14:paraId="2401B5B8" w14:textId="31DD74E1" w:rsidR="00AB176D"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4</w:t>
      </w:r>
      <w:r>
        <w:rPr>
          <w:rFonts w:asciiTheme="minorHAnsi" w:hAnsiTheme="minorHAnsi" w:cstheme="minorHAnsi"/>
          <w:b/>
          <w:color w:val="C86A07" w:themeColor="accent2" w:themeShade="BF"/>
          <w:sz w:val="28"/>
          <w:lang w:val="en"/>
        </w:rPr>
        <w:t xml:space="preserve">.1 </w:t>
      </w:r>
      <w:r w:rsidR="00AB176D" w:rsidRPr="0030030B">
        <w:rPr>
          <w:rFonts w:asciiTheme="minorHAnsi" w:hAnsiTheme="minorHAnsi" w:cstheme="minorHAnsi"/>
          <w:b/>
          <w:color w:val="C86A07" w:themeColor="accent2" w:themeShade="BF"/>
          <w:sz w:val="28"/>
          <w:lang w:val="en"/>
        </w:rPr>
        <w:t>INTRODUCTION</w:t>
      </w:r>
    </w:p>
    <w:p w14:paraId="2A476584" w14:textId="4EFA2452" w:rsidR="008C655D" w:rsidRPr="002A763A" w:rsidRDefault="00A56971" w:rsidP="008C655D">
      <w:pPr>
        <w:pStyle w:val="ListParagraph"/>
        <w:spacing w:before="0"/>
        <w:ind w:left="0"/>
        <w:jc w:val="both"/>
        <w:rPr>
          <w:rFonts w:asciiTheme="minorHAnsi" w:hAnsiTheme="minorHAnsi" w:cstheme="minorHAnsi"/>
          <w:sz w:val="22"/>
        </w:rPr>
      </w:pPr>
      <w:r>
        <w:rPr>
          <w:rFonts w:asciiTheme="minorHAnsi" w:hAnsiTheme="minorHAnsi" w:cstheme="minorHAnsi"/>
          <w:sz w:val="22"/>
          <w:lang w:val="en-GB"/>
        </w:rPr>
        <w:t xml:space="preserve">Reaching the </w:t>
      </w:r>
      <w:r w:rsidRPr="00082154">
        <w:rPr>
          <w:rFonts w:asciiTheme="minorHAnsi" w:hAnsiTheme="minorHAnsi" w:cstheme="minorHAnsi"/>
          <w:sz w:val="22"/>
          <w:lang w:val="en-GB"/>
        </w:rPr>
        <w:t xml:space="preserve">goal of END TB </w:t>
      </w:r>
      <w:r>
        <w:rPr>
          <w:rFonts w:asciiTheme="minorHAnsi" w:hAnsiTheme="minorHAnsi" w:cstheme="minorHAnsi"/>
          <w:sz w:val="22"/>
          <w:lang w:val="en-GB"/>
        </w:rPr>
        <w:t>requires putting</w:t>
      </w:r>
      <w:r w:rsidRPr="00082154">
        <w:rPr>
          <w:rFonts w:asciiTheme="minorHAnsi" w:hAnsiTheme="minorHAnsi" w:cstheme="minorHAnsi"/>
          <w:sz w:val="22"/>
          <w:lang w:val="en-GB"/>
        </w:rPr>
        <w:t xml:space="preserve"> in place models and methods to provide prompt and quality assured diagnosis to populations at par.</w:t>
      </w:r>
      <w:r>
        <w:rPr>
          <w:rFonts w:asciiTheme="minorHAnsi" w:hAnsiTheme="minorHAnsi" w:cstheme="minorHAnsi"/>
          <w:sz w:val="22"/>
          <w:lang w:val="en-GB"/>
        </w:rPr>
        <w:t xml:space="preserve"> The interventions to be undertaken are as follows.</w:t>
      </w:r>
      <w:r w:rsidR="008C655D">
        <w:rPr>
          <w:rFonts w:asciiTheme="minorHAnsi" w:hAnsiTheme="minorHAnsi" w:cstheme="minorHAnsi"/>
          <w:sz w:val="22"/>
          <w:lang w:val="en-GB"/>
        </w:rPr>
        <w:t xml:space="preserve"> </w:t>
      </w:r>
      <w:r w:rsidR="008C655D" w:rsidRPr="002A763A">
        <w:rPr>
          <w:rFonts w:asciiTheme="minorHAnsi" w:hAnsiTheme="minorHAnsi" w:cstheme="minorHAnsi"/>
          <w:sz w:val="22"/>
        </w:rPr>
        <w:t xml:space="preserve">As India intensifies its efforts to improve diagnosis and treatment and close the incidence–notification gap, the proportion of notified cases, that are bacteriologically confirmed, needs to be monitored </w:t>
      </w:r>
      <w:r w:rsidR="009B177A">
        <w:rPr>
          <w:rFonts w:asciiTheme="minorHAnsi" w:hAnsiTheme="minorHAnsi" w:cstheme="minorHAnsi"/>
          <w:sz w:val="22"/>
        </w:rPr>
        <w:t xml:space="preserve">and improved </w:t>
      </w:r>
      <w:r w:rsidR="008C655D" w:rsidRPr="002A763A">
        <w:rPr>
          <w:rFonts w:asciiTheme="minorHAnsi" w:hAnsiTheme="minorHAnsi" w:cstheme="minorHAnsi"/>
          <w:sz w:val="22"/>
        </w:rPr>
        <w:t>to ensure that people are correctly diagnosed and started on the most effective treatment regimen as early as possible.</w:t>
      </w:r>
      <w:r w:rsidR="008C655D">
        <w:rPr>
          <w:rFonts w:asciiTheme="minorHAnsi" w:hAnsiTheme="minorHAnsi" w:cstheme="minorHAnsi"/>
          <w:sz w:val="22"/>
        </w:rPr>
        <w:t xml:space="preserve"> C</w:t>
      </w:r>
      <w:r w:rsidR="008C655D" w:rsidRPr="00456485">
        <w:rPr>
          <w:rFonts w:asciiTheme="minorHAnsi" w:hAnsiTheme="minorHAnsi" w:cstheme="minorHAnsi"/>
          <w:sz w:val="22"/>
        </w:rPr>
        <w:t>losing the incidence-treatment enrolment gap for MDR/RR-TB requires increasing one or more of the following: the proportion of TB cases detected; the proportion of TB cases bacteriologically confirmed; the proportion of bacteriologically confirmed cases tested for drug resistance; and the proportion of detected cases of MDR/RR-TB started on appropriate treatment</w:t>
      </w:r>
      <w:r w:rsidR="008C655D">
        <w:rPr>
          <w:rFonts w:asciiTheme="minorHAnsi" w:hAnsiTheme="minorHAnsi" w:cstheme="minorHAnsi"/>
          <w:sz w:val="22"/>
        </w:rPr>
        <w:t>.</w:t>
      </w:r>
      <w:r w:rsidR="008C655D">
        <w:rPr>
          <w:rStyle w:val="FootnoteReference"/>
          <w:rFonts w:cstheme="minorHAnsi"/>
        </w:rPr>
        <w:footnoteReference w:id="46"/>
      </w:r>
    </w:p>
    <w:p w14:paraId="66B50A91" w14:textId="130FA35C" w:rsidR="00F1605B"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4</w:t>
      </w:r>
      <w:r>
        <w:rPr>
          <w:rFonts w:asciiTheme="minorHAnsi" w:hAnsiTheme="minorHAnsi" w:cstheme="minorHAnsi"/>
          <w:b/>
          <w:color w:val="C86A07" w:themeColor="accent2" w:themeShade="BF"/>
          <w:sz w:val="28"/>
          <w:lang w:val="en"/>
        </w:rPr>
        <w:t xml:space="preserve">.2 </w:t>
      </w:r>
      <w:r w:rsidR="002A763A" w:rsidRPr="0030030B">
        <w:rPr>
          <w:rFonts w:asciiTheme="minorHAnsi" w:hAnsiTheme="minorHAnsi" w:cstheme="minorHAnsi"/>
          <w:b/>
          <w:color w:val="C86A07" w:themeColor="accent2" w:themeShade="BF"/>
          <w:sz w:val="28"/>
          <w:lang w:val="en"/>
        </w:rPr>
        <w:t>PROGRESS MADE SO FAR</w:t>
      </w:r>
    </w:p>
    <w:p w14:paraId="5D0BB518" w14:textId="361CBDA0" w:rsidR="00EF71DF" w:rsidRDefault="00F1605B" w:rsidP="00C129C4">
      <w:pPr>
        <w:spacing w:before="0"/>
        <w:contextualSpacing/>
        <w:jc w:val="both"/>
        <w:rPr>
          <w:rFonts w:asciiTheme="minorHAnsi" w:hAnsiTheme="minorHAnsi" w:cstheme="minorHAnsi"/>
        </w:rPr>
      </w:pPr>
      <w:r w:rsidRPr="00F1605B">
        <w:rPr>
          <w:rFonts w:asciiTheme="minorHAnsi" w:hAnsiTheme="minorHAnsi" w:cstheme="minorHAnsi"/>
          <w:sz w:val="22"/>
        </w:rPr>
        <w:t xml:space="preserve">Prompt diagnosis of active pulmonary TB is a priority for </w:t>
      </w:r>
      <w:r>
        <w:rPr>
          <w:rFonts w:asciiTheme="minorHAnsi" w:hAnsiTheme="minorHAnsi" w:cstheme="minorHAnsi"/>
          <w:sz w:val="22"/>
        </w:rPr>
        <w:t>ending TB</w:t>
      </w:r>
      <w:r w:rsidRPr="00F1605B">
        <w:rPr>
          <w:rFonts w:asciiTheme="minorHAnsi" w:hAnsiTheme="minorHAnsi" w:cstheme="minorHAnsi"/>
          <w:sz w:val="22"/>
        </w:rPr>
        <w:t xml:space="preserve">, both for treating the individual and also as a public health intervention to reduce </w:t>
      </w:r>
      <w:r>
        <w:rPr>
          <w:rFonts w:asciiTheme="minorHAnsi" w:hAnsiTheme="minorHAnsi" w:cstheme="minorHAnsi"/>
          <w:sz w:val="22"/>
        </w:rPr>
        <w:t>transmission</w:t>
      </w:r>
      <w:r w:rsidRPr="00F1605B">
        <w:rPr>
          <w:rFonts w:asciiTheme="minorHAnsi" w:hAnsiTheme="minorHAnsi" w:cstheme="minorHAnsi"/>
          <w:sz w:val="22"/>
        </w:rPr>
        <w:t>.</w:t>
      </w:r>
      <w:r>
        <w:rPr>
          <w:rFonts w:asciiTheme="minorHAnsi" w:hAnsiTheme="minorHAnsi" w:cstheme="minorHAnsi"/>
          <w:sz w:val="22"/>
        </w:rPr>
        <w:t xml:space="preserve"> </w:t>
      </w:r>
    </w:p>
    <w:p w14:paraId="1120CC83" w14:textId="247C259B" w:rsidR="00723575" w:rsidRPr="00723575" w:rsidRDefault="00723575" w:rsidP="00442A67">
      <w:pPr>
        <w:pStyle w:val="ListParagraph"/>
        <w:numPr>
          <w:ilvl w:val="0"/>
          <w:numId w:val="26"/>
        </w:numPr>
        <w:spacing w:before="0"/>
        <w:ind w:left="360"/>
        <w:jc w:val="both"/>
        <w:rPr>
          <w:rFonts w:asciiTheme="minorHAnsi" w:hAnsiTheme="minorHAnsi" w:cstheme="minorHAnsi"/>
          <w:sz w:val="22"/>
        </w:rPr>
      </w:pPr>
      <w:r w:rsidRPr="00723575">
        <w:rPr>
          <w:rFonts w:asciiTheme="minorHAnsi" w:hAnsiTheme="minorHAnsi" w:cstheme="minorHAnsi"/>
          <w:sz w:val="22"/>
        </w:rPr>
        <w:t>All diagnostic tests are available free of direct cost at</w:t>
      </w:r>
      <w:r w:rsidR="009B177A">
        <w:rPr>
          <w:rFonts w:asciiTheme="minorHAnsi" w:hAnsiTheme="minorHAnsi" w:cstheme="minorHAnsi"/>
          <w:sz w:val="22"/>
        </w:rPr>
        <w:t xml:space="preserve"> </w:t>
      </w:r>
      <w:r w:rsidR="009B177A" w:rsidRPr="009B177A">
        <w:rPr>
          <w:rFonts w:asciiTheme="minorHAnsi" w:hAnsiTheme="minorHAnsi" w:cstheme="minorHAnsi"/>
          <w:sz w:val="22"/>
        </w:rPr>
        <w:t>all TB service delivery points in public sector</w:t>
      </w:r>
      <w:r w:rsidRPr="00723575">
        <w:rPr>
          <w:rFonts w:asciiTheme="minorHAnsi" w:hAnsiTheme="minorHAnsi" w:cstheme="minorHAnsi"/>
          <w:sz w:val="22"/>
        </w:rPr>
        <w:t xml:space="preserve">. </w:t>
      </w:r>
    </w:p>
    <w:p w14:paraId="7518D889" w14:textId="25C89579" w:rsidR="00BA4297" w:rsidRPr="00E70232" w:rsidRDefault="00BA4297" w:rsidP="00442A67">
      <w:pPr>
        <w:pStyle w:val="ListParagraph"/>
        <w:numPr>
          <w:ilvl w:val="0"/>
          <w:numId w:val="26"/>
        </w:numPr>
        <w:spacing w:before="0"/>
        <w:ind w:left="360"/>
        <w:jc w:val="both"/>
        <w:rPr>
          <w:rFonts w:asciiTheme="minorHAnsi" w:hAnsiTheme="minorHAnsi" w:cstheme="minorHAnsi"/>
          <w:sz w:val="22"/>
        </w:rPr>
      </w:pPr>
      <w:r w:rsidRPr="00E70232">
        <w:rPr>
          <w:rFonts w:asciiTheme="minorHAnsi" w:hAnsiTheme="minorHAnsi" w:cstheme="minorHAnsi"/>
          <w:sz w:val="22"/>
        </w:rPr>
        <w:t xml:space="preserve">Sputum collection and transport system </w:t>
      </w:r>
      <w:r w:rsidR="009B177A">
        <w:rPr>
          <w:rFonts w:asciiTheme="minorHAnsi" w:hAnsiTheme="minorHAnsi" w:cstheme="minorHAnsi"/>
          <w:sz w:val="22"/>
        </w:rPr>
        <w:t xml:space="preserve">have been </w:t>
      </w:r>
      <w:r w:rsidRPr="00E70232">
        <w:rPr>
          <w:rFonts w:asciiTheme="minorHAnsi" w:hAnsiTheme="minorHAnsi" w:cstheme="minorHAnsi"/>
          <w:sz w:val="22"/>
        </w:rPr>
        <w:t>developed and rolled out, esp. for presumptive MDR TB. GOI signed an MOU with Indian Postal Services to facilitate sputum collection and transport mechanisms from periphery to CBNAAT sites/CDST labs under strict biohazard precautions.</w:t>
      </w:r>
    </w:p>
    <w:p w14:paraId="7244248E" w14:textId="548D6F91" w:rsidR="00CF5EB7" w:rsidRPr="00CF5EB7" w:rsidRDefault="002C3DE0" w:rsidP="00442A67">
      <w:pPr>
        <w:pStyle w:val="ListParagraph"/>
        <w:numPr>
          <w:ilvl w:val="0"/>
          <w:numId w:val="26"/>
        </w:numPr>
        <w:spacing w:before="0"/>
        <w:ind w:left="360"/>
        <w:jc w:val="both"/>
        <w:rPr>
          <w:rFonts w:asciiTheme="minorHAnsi" w:hAnsiTheme="minorHAnsi" w:cstheme="minorHAnsi"/>
          <w:sz w:val="22"/>
        </w:rPr>
      </w:pPr>
      <w:r w:rsidRPr="00986FAF">
        <w:rPr>
          <w:rFonts w:asciiTheme="minorHAnsi" w:hAnsiTheme="minorHAnsi" w:cstheme="minorHAnsi"/>
          <w:sz w:val="22"/>
        </w:rPr>
        <w:t xml:space="preserve">With the expansion of diagnostic tests available at </w:t>
      </w:r>
      <w:r w:rsidR="00831D3A">
        <w:rPr>
          <w:rFonts w:asciiTheme="minorHAnsi" w:hAnsiTheme="minorHAnsi" w:cstheme="minorHAnsi"/>
          <w:sz w:val="22"/>
        </w:rPr>
        <w:t>D</w:t>
      </w:r>
      <w:r w:rsidR="009B177A">
        <w:rPr>
          <w:rFonts w:asciiTheme="minorHAnsi" w:hAnsiTheme="minorHAnsi" w:cstheme="minorHAnsi"/>
          <w:sz w:val="22"/>
        </w:rPr>
        <w:t xml:space="preserve">esignated </w:t>
      </w:r>
      <w:r w:rsidR="00831D3A">
        <w:rPr>
          <w:rFonts w:asciiTheme="minorHAnsi" w:hAnsiTheme="minorHAnsi" w:cstheme="minorHAnsi"/>
          <w:sz w:val="22"/>
        </w:rPr>
        <w:t>M</w:t>
      </w:r>
      <w:r w:rsidR="009B177A">
        <w:rPr>
          <w:rFonts w:asciiTheme="minorHAnsi" w:hAnsiTheme="minorHAnsi" w:cstheme="minorHAnsi"/>
          <w:sz w:val="22"/>
        </w:rPr>
        <w:t xml:space="preserve">icroscopy </w:t>
      </w:r>
      <w:r w:rsidR="00831D3A">
        <w:rPr>
          <w:rFonts w:asciiTheme="minorHAnsi" w:hAnsiTheme="minorHAnsi" w:cstheme="minorHAnsi"/>
          <w:sz w:val="22"/>
        </w:rPr>
        <w:t>C</w:t>
      </w:r>
      <w:r w:rsidR="009B177A">
        <w:rPr>
          <w:rFonts w:asciiTheme="minorHAnsi" w:hAnsiTheme="minorHAnsi" w:cstheme="minorHAnsi"/>
          <w:sz w:val="22"/>
        </w:rPr>
        <w:t>entres (DMCs)</w:t>
      </w:r>
      <w:r w:rsidR="00831D3A">
        <w:rPr>
          <w:rFonts w:asciiTheme="minorHAnsi" w:hAnsiTheme="minorHAnsi" w:cstheme="minorHAnsi"/>
          <w:sz w:val="22"/>
        </w:rPr>
        <w:t xml:space="preserve"> </w:t>
      </w:r>
      <w:r w:rsidR="00831D3A" w:rsidRPr="00986FAF">
        <w:rPr>
          <w:rFonts w:asciiTheme="minorHAnsi" w:hAnsiTheme="minorHAnsi" w:cstheme="minorHAnsi"/>
          <w:sz w:val="22"/>
        </w:rPr>
        <w:t>–</w:t>
      </w:r>
      <w:r w:rsidRPr="00986FAF">
        <w:rPr>
          <w:rFonts w:asciiTheme="minorHAnsi" w:hAnsiTheme="minorHAnsi" w:cstheme="minorHAnsi"/>
          <w:sz w:val="22"/>
        </w:rPr>
        <w:t xml:space="preserve"> (not just limited to sputum microscopy) - the term DMC is replaced </w:t>
      </w:r>
      <w:r w:rsidRPr="00BA4297">
        <w:rPr>
          <w:rFonts w:asciiTheme="minorHAnsi" w:hAnsiTheme="minorHAnsi" w:cstheme="minorHAnsi"/>
          <w:sz w:val="22"/>
        </w:rPr>
        <w:t>with</w:t>
      </w:r>
      <w:r w:rsidRPr="00BA4297">
        <w:rPr>
          <w:rFonts w:asciiTheme="minorHAnsi" w:hAnsiTheme="minorHAnsi" w:cstheme="minorHAnsi"/>
          <w:b/>
          <w:sz w:val="22"/>
        </w:rPr>
        <w:t xml:space="preserve"> Tuberculosis Diagnostic Centres (TDCs).</w:t>
      </w:r>
      <w:r w:rsidR="00CF5EB7">
        <w:rPr>
          <w:rFonts w:asciiTheme="minorHAnsi" w:hAnsiTheme="minorHAnsi" w:cstheme="minorHAnsi"/>
          <w:b/>
          <w:sz w:val="22"/>
        </w:rPr>
        <w:t xml:space="preserve"> </w:t>
      </w:r>
    </w:p>
    <w:p w14:paraId="346886D7" w14:textId="0EA21BF3" w:rsidR="00CF5EB7" w:rsidRPr="0086096B" w:rsidRDefault="00CF5EB7" w:rsidP="00442A67">
      <w:pPr>
        <w:pStyle w:val="ListParagraph"/>
        <w:numPr>
          <w:ilvl w:val="0"/>
          <w:numId w:val="26"/>
        </w:numPr>
        <w:spacing w:before="0"/>
        <w:ind w:left="360"/>
        <w:jc w:val="both"/>
        <w:rPr>
          <w:rFonts w:asciiTheme="minorHAnsi" w:hAnsiTheme="minorHAnsi" w:cstheme="minorHAnsi"/>
          <w:sz w:val="22"/>
        </w:rPr>
      </w:pPr>
      <w:r w:rsidRPr="0086096B">
        <w:rPr>
          <w:rFonts w:asciiTheme="minorHAnsi" w:hAnsiTheme="minorHAnsi" w:cstheme="minorHAnsi"/>
          <w:sz w:val="22"/>
        </w:rPr>
        <w:t>The decentralization of</w:t>
      </w:r>
      <w:r w:rsidR="009B177A">
        <w:rPr>
          <w:rFonts w:asciiTheme="minorHAnsi" w:hAnsiTheme="minorHAnsi" w:cstheme="minorHAnsi"/>
          <w:sz w:val="22"/>
        </w:rPr>
        <w:t xml:space="preserve"> TB and </w:t>
      </w:r>
      <w:r w:rsidRPr="0086096B">
        <w:rPr>
          <w:rFonts w:asciiTheme="minorHAnsi" w:hAnsiTheme="minorHAnsi" w:cstheme="minorHAnsi"/>
          <w:sz w:val="22"/>
        </w:rPr>
        <w:t xml:space="preserve">DRTB diagnostic services, with ‘Nucleic Acid Amplification Test (NAAT) and other rapid diagnostic tests’, will continue in NSP 2020-25 period so that </w:t>
      </w:r>
      <w:r>
        <w:rPr>
          <w:rFonts w:asciiTheme="minorHAnsi" w:hAnsiTheme="minorHAnsi" w:cstheme="minorHAnsi"/>
          <w:sz w:val="22"/>
        </w:rPr>
        <w:t>the NTEP</w:t>
      </w:r>
      <w:r w:rsidRPr="0086096B">
        <w:rPr>
          <w:rFonts w:asciiTheme="minorHAnsi" w:hAnsiTheme="minorHAnsi" w:cstheme="minorHAnsi"/>
          <w:sz w:val="22"/>
        </w:rPr>
        <w:t xml:space="preserve"> offers DST guided treatment to all TB patients</w:t>
      </w:r>
      <w:r>
        <w:rPr>
          <w:rFonts w:asciiTheme="minorHAnsi" w:hAnsiTheme="minorHAnsi" w:cstheme="minorHAnsi"/>
          <w:sz w:val="22"/>
        </w:rPr>
        <w:t>.</w:t>
      </w:r>
      <w:r w:rsidRPr="0086096B">
        <w:rPr>
          <w:rFonts w:asciiTheme="minorHAnsi" w:hAnsiTheme="minorHAnsi" w:cstheme="minorHAnsi"/>
          <w:sz w:val="22"/>
        </w:rPr>
        <w:t xml:space="preserve"> </w:t>
      </w:r>
    </w:p>
    <w:p w14:paraId="4FFA4ADD" w14:textId="56CA3CDF" w:rsidR="002C3DE0" w:rsidRPr="00831D3A" w:rsidRDefault="002C3DE0" w:rsidP="00442A67">
      <w:pPr>
        <w:pStyle w:val="ListParagraph"/>
        <w:numPr>
          <w:ilvl w:val="0"/>
          <w:numId w:val="26"/>
        </w:numPr>
        <w:spacing w:before="0"/>
        <w:ind w:left="360"/>
        <w:jc w:val="both"/>
        <w:rPr>
          <w:rFonts w:asciiTheme="minorHAnsi" w:hAnsiTheme="minorHAnsi" w:cstheme="minorHAnsi"/>
          <w:sz w:val="22"/>
        </w:rPr>
      </w:pPr>
      <w:r w:rsidRPr="00831D3A">
        <w:rPr>
          <w:rFonts w:asciiTheme="minorHAnsi" w:hAnsiTheme="minorHAnsi" w:cstheme="minorHAnsi"/>
          <w:sz w:val="22"/>
        </w:rPr>
        <w:t>In 2019, NTEP screened ~12 million symptomatic using microscopy and / rapid molecular test. Framed policies and implemented strategies like U-DST, introduction of INH mono/poly regimen, shorter MDR-TB regimen and all oral longer regimen</w:t>
      </w:r>
      <w:r w:rsidR="00831D3A" w:rsidRPr="00831D3A">
        <w:rPr>
          <w:rFonts w:asciiTheme="minorHAnsi" w:hAnsiTheme="minorHAnsi" w:cstheme="minorHAnsi"/>
          <w:sz w:val="22"/>
        </w:rPr>
        <w:t xml:space="preserve">. </w:t>
      </w:r>
      <w:r w:rsidRPr="00831D3A">
        <w:rPr>
          <w:rFonts w:asciiTheme="minorHAnsi" w:hAnsiTheme="minorHAnsi" w:cstheme="minorHAnsi"/>
          <w:sz w:val="22"/>
        </w:rPr>
        <w:t>56% of notifie</w:t>
      </w:r>
      <w:r w:rsidR="00831D3A" w:rsidRPr="00831D3A">
        <w:rPr>
          <w:rFonts w:asciiTheme="minorHAnsi" w:hAnsiTheme="minorHAnsi" w:cstheme="minorHAnsi"/>
          <w:sz w:val="22"/>
        </w:rPr>
        <w:t xml:space="preserve">d patients were provided U-DST. </w:t>
      </w:r>
      <w:r w:rsidRPr="00831D3A">
        <w:rPr>
          <w:rFonts w:asciiTheme="minorHAnsi" w:hAnsiTheme="minorHAnsi" w:cstheme="minorHAnsi"/>
          <w:sz w:val="22"/>
        </w:rPr>
        <w:t>338000 FL-LPA and 72000 SL-LPA. LC-DST for Moxi</w:t>
      </w:r>
      <w:r w:rsidR="006E23E8" w:rsidRPr="00831D3A">
        <w:rPr>
          <w:rFonts w:asciiTheme="minorHAnsi" w:hAnsiTheme="minorHAnsi" w:cstheme="minorHAnsi"/>
          <w:sz w:val="22"/>
        </w:rPr>
        <w:t>floxacin</w:t>
      </w:r>
      <w:r w:rsidRPr="00831D3A">
        <w:rPr>
          <w:rFonts w:asciiTheme="minorHAnsi" w:hAnsiTheme="minorHAnsi" w:cstheme="minorHAnsi"/>
          <w:sz w:val="22"/>
        </w:rPr>
        <w:t xml:space="preserve"> was offered to 16600 patients to aid clinical judgement. </w:t>
      </w:r>
    </w:p>
    <w:p w14:paraId="5016CF7C" w14:textId="51BDA12E" w:rsidR="002C3DE0" w:rsidRDefault="002C3DE0" w:rsidP="00442A67">
      <w:pPr>
        <w:pStyle w:val="ListParagraph"/>
        <w:numPr>
          <w:ilvl w:val="0"/>
          <w:numId w:val="26"/>
        </w:numPr>
        <w:spacing w:before="0"/>
        <w:ind w:left="360"/>
        <w:jc w:val="both"/>
        <w:rPr>
          <w:rFonts w:asciiTheme="minorHAnsi" w:hAnsiTheme="minorHAnsi" w:cstheme="minorHAnsi"/>
          <w:sz w:val="22"/>
        </w:rPr>
      </w:pPr>
      <w:r w:rsidRPr="00986FAF">
        <w:rPr>
          <w:rFonts w:asciiTheme="minorHAnsi" w:hAnsiTheme="minorHAnsi" w:cstheme="minorHAnsi"/>
          <w:sz w:val="22"/>
        </w:rPr>
        <w:t>To ensure complete diagnostic coverage, laboratory network has been scaled up and will be further expanded based on requirement.</w:t>
      </w:r>
      <w:r w:rsidR="006E23E8">
        <w:rPr>
          <w:rFonts w:asciiTheme="minorHAnsi" w:hAnsiTheme="minorHAnsi" w:cstheme="minorHAnsi"/>
          <w:sz w:val="22"/>
        </w:rPr>
        <w:t xml:space="preserve"> </w:t>
      </w:r>
    </w:p>
    <w:p w14:paraId="19EA5F6C" w14:textId="39011E24" w:rsidR="0076674F" w:rsidRPr="008026AC" w:rsidRDefault="006E23E8" w:rsidP="00933C76">
      <w:pPr>
        <w:pStyle w:val="ListParagraph"/>
        <w:numPr>
          <w:ilvl w:val="0"/>
          <w:numId w:val="26"/>
        </w:numPr>
        <w:spacing w:before="0"/>
        <w:ind w:left="360"/>
        <w:jc w:val="both"/>
        <w:rPr>
          <w:rFonts w:asciiTheme="minorHAnsi" w:hAnsiTheme="minorHAnsi" w:cstheme="minorHAnsi"/>
          <w:sz w:val="22"/>
          <w:lang w:val="en-GB"/>
        </w:rPr>
      </w:pPr>
      <w:r w:rsidRPr="00986FAF">
        <w:rPr>
          <w:rFonts w:asciiTheme="minorHAnsi" w:hAnsiTheme="minorHAnsi" w:cstheme="minorHAnsi"/>
          <w:sz w:val="22"/>
          <w:lang w:val="en-GB"/>
        </w:rPr>
        <w:lastRenderedPageBreak/>
        <w:t xml:space="preserve">Expansion of diagnostic facilities coverage over the last 2 years has been significant </w:t>
      </w:r>
      <w:r>
        <w:rPr>
          <w:rFonts w:asciiTheme="minorHAnsi" w:hAnsiTheme="minorHAnsi" w:cstheme="minorHAnsi"/>
          <w:sz w:val="22"/>
          <w:lang w:val="en-GB"/>
        </w:rPr>
        <w:t xml:space="preserve">as is seen in the information below. </w:t>
      </w:r>
    </w:p>
    <w:p w14:paraId="3C72DB11" w14:textId="08391B04" w:rsidR="00933C76" w:rsidRPr="0076674F" w:rsidRDefault="00933C76" w:rsidP="0076674F">
      <w:pPr>
        <w:jc w:val="both"/>
        <w:rPr>
          <w:rFonts w:asciiTheme="minorHAnsi" w:eastAsia="Times New Roman" w:hAnsiTheme="minorHAnsi" w:cstheme="minorHAnsi"/>
          <w:b/>
        </w:rPr>
      </w:pPr>
      <w:r w:rsidRPr="00933C76">
        <w:rPr>
          <w:rFonts w:asciiTheme="minorHAnsi" w:eastAsia="Times New Roman" w:hAnsiTheme="minorHAnsi" w:cstheme="minorHAnsi"/>
          <w:b/>
        </w:rPr>
        <w:t>Table 1</w:t>
      </w:r>
      <w:r w:rsidR="00852BA1">
        <w:rPr>
          <w:rFonts w:asciiTheme="minorHAnsi" w:eastAsia="Times New Roman" w:hAnsiTheme="minorHAnsi" w:cstheme="minorHAnsi"/>
          <w:b/>
        </w:rPr>
        <w:t>4</w:t>
      </w:r>
      <w:r w:rsidRPr="00933C76">
        <w:rPr>
          <w:rFonts w:asciiTheme="minorHAnsi" w:eastAsia="Times New Roman" w:hAnsiTheme="minorHAnsi" w:cstheme="minorHAnsi"/>
          <w:b/>
        </w:rPr>
        <w:t xml:space="preserve">: </w:t>
      </w:r>
      <w:r w:rsidR="0076674F">
        <w:rPr>
          <w:rFonts w:ascii="Calibri" w:hAnsi="Calibri" w:cs="Calibri"/>
          <w:b/>
          <w:kern w:val="24"/>
          <w:lang w:eastAsia="en-IN"/>
        </w:rPr>
        <w:t xml:space="preserve">Diagnostic facilities </w:t>
      </w:r>
      <w:r w:rsidR="009B177A">
        <w:rPr>
          <w:rFonts w:ascii="Calibri" w:hAnsi="Calibri" w:cs="Calibri"/>
          <w:b/>
          <w:kern w:val="24"/>
          <w:lang w:eastAsia="en-IN"/>
        </w:rPr>
        <w:t>under</w:t>
      </w:r>
      <w:r w:rsidR="0076674F">
        <w:rPr>
          <w:rFonts w:ascii="Calibri" w:hAnsi="Calibri" w:cs="Calibri"/>
          <w:b/>
          <w:kern w:val="24"/>
          <w:lang w:eastAsia="en-IN"/>
        </w:rPr>
        <w:t xml:space="preserve"> NTEP</w:t>
      </w:r>
    </w:p>
    <w:tbl>
      <w:tblPr>
        <w:tblW w:w="8145"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600" w:firstRow="0" w:lastRow="0" w:firstColumn="0" w:lastColumn="0" w:noHBand="1" w:noVBand="1"/>
      </w:tblPr>
      <w:tblGrid>
        <w:gridCol w:w="2820"/>
        <w:gridCol w:w="2640"/>
        <w:gridCol w:w="2685"/>
      </w:tblGrid>
      <w:tr w:rsidR="006E23E8" w:rsidRPr="00986FAF" w14:paraId="1FC05AD8" w14:textId="77777777" w:rsidTr="002C2F38">
        <w:trPr>
          <w:trHeight w:val="55"/>
          <w:jc w:val="center"/>
        </w:trPr>
        <w:tc>
          <w:tcPr>
            <w:tcW w:w="2820" w:type="dxa"/>
            <w:tcMar>
              <w:top w:w="0" w:type="dxa"/>
              <w:left w:w="0" w:type="dxa"/>
              <w:bottom w:w="0" w:type="dxa"/>
              <w:right w:w="0" w:type="dxa"/>
            </w:tcMar>
          </w:tcPr>
          <w:p w14:paraId="2B22EED4" w14:textId="77777777" w:rsidR="006E23E8" w:rsidRPr="00986FAF" w:rsidRDefault="006E23E8" w:rsidP="00DE2FB7">
            <w:pPr>
              <w:pStyle w:val="ListParagraph"/>
              <w:spacing w:before="0" w:after="0" w:line="228" w:lineRule="auto"/>
              <w:ind w:left="360"/>
              <w:jc w:val="both"/>
              <w:rPr>
                <w:rFonts w:asciiTheme="minorHAnsi" w:hAnsiTheme="minorHAnsi" w:cstheme="minorHAnsi"/>
                <w:b/>
                <w:bCs/>
                <w:sz w:val="22"/>
                <w:lang w:val="en-GB"/>
              </w:rPr>
            </w:pPr>
            <w:r w:rsidRPr="00986FAF">
              <w:rPr>
                <w:rFonts w:asciiTheme="minorHAnsi" w:hAnsiTheme="minorHAnsi" w:cstheme="minorHAnsi"/>
                <w:b/>
                <w:bCs/>
                <w:sz w:val="22"/>
                <w:lang w:val="en-GB"/>
              </w:rPr>
              <w:t>Diagnostic unit</w:t>
            </w:r>
          </w:p>
        </w:tc>
        <w:tc>
          <w:tcPr>
            <w:tcW w:w="2640" w:type="dxa"/>
            <w:tcMar>
              <w:top w:w="0" w:type="dxa"/>
              <w:left w:w="0" w:type="dxa"/>
              <w:bottom w:w="0" w:type="dxa"/>
              <w:right w:w="0" w:type="dxa"/>
            </w:tcMar>
          </w:tcPr>
          <w:p w14:paraId="76310AA9" w14:textId="77777777" w:rsidR="006E23E8" w:rsidRPr="00986FAF" w:rsidRDefault="006E23E8" w:rsidP="00DE2FB7">
            <w:pPr>
              <w:pStyle w:val="ListParagraph"/>
              <w:spacing w:before="0" w:after="0" w:line="228" w:lineRule="auto"/>
              <w:ind w:left="360"/>
              <w:jc w:val="both"/>
              <w:rPr>
                <w:rFonts w:asciiTheme="minorHAnsi" w:hAnsiTheme="minorHAnsi" w:cstheme="minorHAnsi"/>
                <w:b/>
                <w:bCs/>
                <w:sz w:val="22"/>
                <w:lang w:val="en-GB"/>
              </w:rPr>
            </w:pPr>
            <w:r w:rsidRPr="00986FAF">
              <w:rPr>
                <w:rFonts w:asciiTheme="minorHAnsi" w:hAnsiTheme="minorHAnsi" w:cstheme="minorHAnsi"/>
                <w:b/>
                <w:bCs/>
                <w:sz w:val="22"/>
                <w:lang w:val="en-GB"/>
              </w:rPr>
              <w:t>2017</w:t>
            </w:r>
          </w:p>
        </w:tc>
        <w:tc>
          <w:tcPr>
            <w:tcW w:w="2685" w:type="dxa"/>
            <w:tcMar>
              <w:top w:w="0" w:type="dxa"/>
              <w:left w:w="0" w:type="dxa"/>
              <w:bottom w:w="0" w:type="dxa"/>
              <w:right w:w="0" w:type="dxa"/>
            </w:tcMar>
          </w:tcPr>
          <w:p w14:paraId="5272F8D1" w14:textId="77777777" w:rsidR="006E23E8" w:rsidRPr="00986FAF" w:rsidRDefault="006E23E8" w:rsidP="00DE2FB7">
            <w:pPr>
              <w:pStyle w:val="ListParagraph"/>
              <w:spacing w:before="0" w:after="0" w:line="228" w:lineRule="auto"/>
              <w:ind w:left="360"/>
              <w:jc w:val="both"/>
              <w:rPr>
                <w:rFonts w:asciiTheme="minorHAnsi" w:hAnsiTheme="minorHAnsi" w:cstheme="minorHAnsi"/>
                <w:b/>
                <w:bCs/>
                <w:sz w:val="22"/>
                <w:lang w:val="en-GB"/>
              </w:rPr>
            </w:pPr>
            <w:r w:rsidRPr="00986FAF">
              <w:rPr>
                <w:rFonts w:asciiTheme="minorHAnsi" w:hAnsiTheme="minorHAnsi" w:cstheme="minorHAnsi"/>
                <w:b/>
                <w:bCs/>
                <w:sz w:val="22"/>
                <w:lang w:val="en-GB"/>
              </w:rPr>
              <w:t>2019</w:t>
            </w:r>
          </w:p>
        </w:tc>
      </w:tr>
      <w:tr w:rsidR="006E23E8" w:rsidRPr="00986FAF" w14:paraId="1B929B5E" w14:textId="77777777" w:rsidTr="002C2F38">
        <w:trPr>
          <w:trHeight w:val="60"/>
          <w:jc w:val="center"/>
        </w:trPr>
        <w:tc>
          <w:tcPr>
            <w:tcW w:w="2820" w:type="dxa"/>
            <w:tcMar>
              <w:top w:w="0" w:type="dxa"/>
              <w:left w:w="0" w:type="dxa"/>
              <w:bottom w:w="0" w:type="dxa"/>
              <w:right w:w="0" w:type="dxa"/>
            </w:tcMar>
          </w:tcPr>
          <w:p w14:paraId="3169E00B" w14:textId="2155DEDF" w:rsidR="006E23E8" w:rsidRPr="00986FAF" w:rsidRDefault="009E67CA" w:rsidP="00DE2FB7">
            <w:pPr>
              <w:pStyle w:val="ListParagraph"/>
              <w:spacing w:before="0" w:after="0" w:line="228" w:lineRule="auto"/>
              <w:ind w:left="360"/>
              <w:jc w:val="both"/>
              <w:rPr>
                <w:rFonts w:asciiTheme="minorHAnsi" w:hAnsiTheme="minorHAnsi" w:cstheme="minorHAnsi"/>
                <w:sz w:val="22"/>
                <w:lang w:val="en-GB"/>
              </w:rPr>
            </w:pPr>
            <w:r>
              <w:rPr>
                <w:rFonts w:asciiTheme="minorHAnsi" w:hAnsiTheme="minorHAnsi" w:cstheme="minorHAnsi"/>
                <w:sz w:val="22"/>
                <w:lang w:val="en-GB"/>
              </w:rPr>
              <w:t>TDC (formerly called DMC)</w:t>
            </w:r>
          </w:p>
        </w:tc>
        <w:tc>
          <w:tcPr>
            <w:tcW w:w="2640" w:type="dxa"/>
            <w:tcMar>
              <w:top w:w="0" w:type="dxa"/>
              <w:left w:w="0" w:type="dxa"/>
              <w:bottom w:w="0" w:type="dxa"/>
              <w:right w:w="0" w:type="dxa"/>
            </w:tcMar>
          </w:tcPr>
          <w:p w14:paraId="45C4DC17"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13,008</w:t>
            </w:r>
          </w:p>
        </w:tc>
        <w:tc>
          <w:tcPr>
            <w:tcW w:w="2685" w:type="dxa"/>
            <w:tcMar>
              <w:top w:w="0" w:type="dxa"/>
              <w:left w:w="0" w:type="dxa"/>
              <w:bottom w:w="0" w:type="dxa"/>
              <w:right w:w="0" w:type="dxa"/>
            </w:tcMar>
          </w:tcPr>
          <w:p w14:paraId="2C3C2CE2" w14:textId="45838AFF" w:rsidR="006E23E8" w:rsidRPr="00986FAF" w:rsidRDefault="009E67CA" w:rsidP="00DE2FB7">
            <w:pPr>
              <w:pStyle w:val="ListParagraph"/>
              <w:spacing w:before="0" w:after="0" w:line="228" w:lineRule="auto"/>
              <w:ind w:left="360"/>
              <w:jc w:val="both"/>
              <w:rPr>
                <w:rFonts w:asciiTheme="minorHAnsi" w:hAnsiTheme="minorHAnsi" w:cstheme="minorHAnsi"/>
                <w:sz w:val="22"/>
                <w:lang w:val="en-GB"/>
              </w:rPr>
            </w:pPr>
            <w:r>
              <w:rPr>
                <w:rFonts w:asciiTheme="minorHAnsi" w:hAnsiTheme="minorHAnsi" w:cstheme="minorHAnsi"/>
                <w:sz w:val="22"/>
                <w:lang w:val="en-GB"/>
              </w:rPr>
              <w:t>20,356</w:t>
            </w:r>
          </w:p>
        </w:tc>
      </w:tr>
      <w:tr w:rsidR="006E23E8" w:rsidRPr="00986FAF" w14:paraId="3A0B3C6C" w14:textId="77777777" w:rsidTr="002C2F38">
        <w:trPr>
          <w:trHeight w:val="60"/>
          <w:jc w:val="center"/>
        </w:trPr>
        <w:tc>
          <w:tcPr>
            <w:tcW w:w="2820" w:type="dxa"/>
            <w:tcMar>
              <w:top w:w="0" w:type="dxa"/>
              <w:left w:w="0" w:type="dxa"/>
              <w:bottom w:w="0" w:type="dxa"/>
              <w:right w:w="0" w:type="dxa"/>
            </w:tcMar>
          </w:tcPr>
          <w:p w14:paraId="625F20A4" w14:textId="61DBEB13"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NAAT – (</w:t>
            </w:r>
            <w:r w:rsidR="00F51523" w:rsidRPr="00986FAF">
              <w:rPr>
                <w:rFonts w:asciiTheme="minorHAnsi" w:hAnsiTheme="minorHAnsi" w:cstheme="minorHAnsi"/>
                <w:sz w:val="22"/>
                <w:lang w:val="en-GB"/>
              </w:rPr>
              <w:t>TrueNat</w:t>
            </w:r>
            <w:r w:rsidRPr="00986FAF">
              <w:rPr>
                <w:rFonts w:asciiTheme="minorHAnsi" w:hAnsiTheme="minorHAnsi" w:cstheme="minorHAnsi"/>
                <w:sz w:val="22"/>
                <w:lang w:val="en-GB"/>
              </w:rPr>
              <w:t>)</w:t>
            </w:r>
          </w:p>
        </w:tc>
        <w:tc>
          <w:tcPr>
            <w:tcW w:w="2640" w:type="dxa"/>
            <w:tcMar>
              <w:top w:w="0" w:type="dxa"/>
              <w:left w:w="0" w:type="dxa"/>
              <w:bottom w:w="0" w:type="dxa"/>
              <w:right w:w="0" w:type="dxa"/>
            </w:tcMar>
          </w:tcPr>
          <w:p w14:paraId="767415F5"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w:t>
            </w:r>
          </w:p>
        </w:tc>
        <w:tc>
          <w:tcPr>
            <w:tcW w:w="2685" w:type="dxa"/>
            <w:tcMar>
              <w:top w:w="0" w:type="dxa"/>
              <w:left w:w="0" w:type="dxa"/>
              <w:bottom w:w="0" w:type="dxa"/>
              <w:right w:w="0" w:type="dxa"/>
            </w:tcMar>
          </w:tcPr>
          <w:p w14:paraId="5E7B44CC" w14:textId="4EFBDB88" w:rsidR="006E23E8" w:rsidRPr="00986FAF" w:rsidRDefault="006E23E8" w:rsidP="00F33879">
            <w:pPr>
              <w:pStyle w:val="ListParagraph"/>
              <w:spacing w:before="0" w:after="0" w:line="228" w:lineRule="auto"/>
              <w:ind w:left="360"/>
              <w:rPr>
                <w:rFonts w:asciiTheme="minorHAnsi" w:hAnsiTheme="minorHAnsi" w:cstheme="minorHAnsi"/>
                <w:sz w:val="22"/>
                <w:lang w:val="en-GB"/>
              </w:rPr>
            </w:pPr>
            <w:r w:rsidRPr="00986FAF">
              <w:rPr>
                <w:rFonts w:asciiTheme="minorHAnsi" w:hAnsiTheme="minorHAnsi" w:cstheme="minorHAnsi"/>
                <w:sz w:val="22"/>
                <w:lang w:val="en-GB"/>
              </w:rPr>
              <w:t>350</w:t>
            </w:r>
            <w:r w:rsidR="00F33879">
              <w:rPr>
                <w:rFonts w:asciiTheme="minorHAnsi" w:hAnsiTheme="minorHAnsi" w:cstheme="minorHAnsi"/>
                <w:sz w:val="22"/>
                <w:lang w:val="en-GB"/>
              </w:rPr>
              <w:t xml:space="preserve"> (Orders for an additional 1512 machines placed and to be delivered in 2020)</w:t>
            </w:r>
          </w:p>
        </w:tc>
      </w:tr>
      <w:tr w:rsidR="006E23E8" w:rsidRPr="00986FAF" w14:paraId="13E3D94E" w14:textId="77777777" w:rsidTr="002C2F38">
        <w:trPr>
          <w:trHeight w:val="60"/>
          <w:jc w:val="center"/>
        </w:trPr>
        <w:tc>
          <w:tcPr>
            <w:tcW w:w="2820" w:type="dxa"/>
            <w:tcMar>
              <w:top w:w="0" w:type="dxa"/>
              <w:left w:w="0" w:type="dxa"/>
              <w:bottom w:w="0" w:type="dxa"/>
              <w:right w:w="0" w:type="dxa"/>
            </w:tcMar>
          </w:tcPr>
          <w:p w14:paraId="5C19CDCE"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NAAT- CBNAAT</w:t>
            </w:r>
          </w:p>
        </w:tc>
        <w:tc>
          <w:tcPr>
            <w:tcW w:w="2640" w:type="dxa"/>
            <w:tcMar>
              <w:top w:w="0" w:type="dxa"/>
              <w:left w:w="0" w:type="dxa"/>
              <w:bottom w:w="0" w:type="dxa"/>
              <w:right w:w="0" w:type="dxa"/>
            </w:tcMar>
          </w:tcPr>
          <w:p w14:paraId="64F9381E"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628</w:t>
            </w:r>
          </w:p>
        </w:tc>
        <w:tc>
          <w:tcPr>
            <w:tcW w:w="2685" w:type="dxa"/>
            <w:tcMar>
              <w:top w:w="0" w:type="dxa"/>
              <w:left w:w="0" w:type="dxa"/>
              <w:bottom w:w="0" w:type="dxa"/>
              <w:right w:w="0" w:type="dxa"/>
            </w:tcMar>
          </w:tcPr>
          <w:p w14:paraId="47EAC066" w14:textId="2B46933F" w:rsidR="006E23E8" w:rsidRPr="00986FAF" w:rsidRDefault="009E67CA" w:rsidP="00DE2FB7">
            <w:pPr>
              <w:pStyle w:val="ListParagraph"/>
              <w:spacing w:before="0" w:after="0" w:line="228" w:lineRule="auto"/>
              <w:ind w:left="360"/>
              <w:jc w:val="both"/>
              <w:rPr>
                <w:rFonts w:asciiTheme="minorHAnsi" w:hAnsiTheme="minorHAnsi" w:cstheme="minorHAnsi"/>
                <w:sz w:val="22"/>
                <w:lang w:val="en-GB"/>
              </w:rPr>
            </w:pPr>
            <w:r>
              <w:rPr>
                <w:rFonts w:asciiTheme="minorHAnsi" w:hAnsiTheme="minorHAnsi" w:cstheme="minorHAnsi"/>
                <w:sz w:val="22"/>
                <w:lang w:val="en-GB"/>
              </w:rPr>
              <w:t>1230</w:t>
            </w:r>
          </w:p>
        </w:tc>
      </w:tr>
      <w:tr w:rsidR="006E23E8" w:rsidRPr="00986FAF" w14:paraId="045EFF6D" w14:textId="77777777" w:rsidTr="002C2F38">
        <w:trPr>
          <w:trHeight w:val="160"/>
          <w:jc w:val="center"/>
        </w:trPr>
        <w:tc>
          <w:tcPr>
            <w:tcW w:w="2820" w:type="dxa"/>
            <w:tcMar>
              <w:top w:w="0" w:type="dxa"/>
              <w:left w:w="0" w:type="dxa"/>
              <w:bottom w:w="0" w:type="dxa"/>
              <w:right w:w="0" w:type="dxa"/>
            </w:tcMar>
          </w:tcPr>
          <w:p w14:paraId="27144D6B"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LPA</w:t>
            </w:r>
          </w:p>
        </w:tc>
        <w:tc>
          <w:tcPr>
            <w:tcW w:w="2640" w:type="dxa"/>
            <w:tcMar>
              <w:top w:w="0" w:type="dxa"/>
              <w:left w:w="0" w:type="dxa"/>
              <w:bottom w:w="0" w:type="dxa"/>
              <w:right w:w="0" w:type="dxa"/>
            </w:tcMar>
          </w:tcPr>
          <w:p w14:paraId="50EAD1AB"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54</w:t>
            </w:r>
          </w:p>
        </w:tc>
        <w:tc>
          <w:tcPr>
            <w:tcW w:w="2685" w:type="dxa"/>
            <w:tcMar>
              <w:top w:w="0" w:type="dxa"/>
              <w:left w:w="0" w:type="dxa"/>
              <w:bottom w:w="0" w:type="dxa"/>
              <w:right w:w="0" w:type="dxa"/>
            </w:tcMar>
          </w:tcPr>
          <w:p w14:paraId="5B7A781E"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64</w:t>
            </w:r>
          </w:p>
        </w:tc>
      </w:tr>
      <w:tr w:rsidR="006E23E8" w:rsidRPr="00986FAF" w14:paraId="25F7C853" w14:textId="77777777" w:rsidTr="002C2F38">
        <w:trPr>
          <w:trHeight w:val="60"/>
          <w:jc w:val="center"/>
        </w:trPr>
        <w:tc>
          <w:tcPr>
            <w:tcW w:w="2820" w:type="dxa"/>
            <w:tcMar>
              <w:top w:w="0" w:type="dxa"/>
              <w:left w:w="0" w:type="dxa"/>
              <w:bottom w:w="0" w:type="dxa"/>
              <w:right w:w="0" w:type="dxa"/>
            </w:tcMar>
          </w:tcPr>
          <w:p w14:paraId="4B79BAFC"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LC-DST</w:t>
            </w:r>
          </w:p>
        </w:tc>
        <w:tc>
          <w:tcPr>
            <w:tcW w:w="2640" w:type="dxa"/>
            <w:tcMar>
              <w:top w:w="0" w:type="dxa"/>
              <w:left w:w="0" w:type="dxa"/>
              <w:bottom w:w="0" w:type="dxa"/>
              <w:right w:w="0" w:type="dxa"/>
            </w:tcMar>
          </w:tcPr>
          <w:p w14:paraId="18072CD7"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33</w:t>
            </w:r>
          </w:p>
        </w:tc>
        <w:tc>
          <w:tcPr>
            <w:tcW w:w="2685" w:type="dxa"/>
            <w:tcMar>
              <w:top w:w="0" w:type="dxa"/>
              <w:left w:w="0" w:type="dxa"/>
              <w:bottom w:w="0" w:type="dxa"/>
              <w:right w:w="0" w:type="dxa"/>
            </w:tcMar>
          </w:tcPr>
          <w:p w14:paraId="664FFF08"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 xml:space="preserve">50 </w:t>
            </w:r>
          </w:p>
        </w:tc>
      </w:tr>
      <w:tr w:rsidR="006E23E8" w:rsidRPr="00986FAF" w14:paraId="04B493AA" w14:textId="77777777" w:rsidTr="002C2F38">
        <w:trPr>
          <w:trHeight w:val="60"/>
          <w:jc w:val="center"/>
        </w:trPr>
        <w:tc>
          <w:tcPr>
            <w:tcW w:w="2820" w:type="dxa"/>
            <w:tcMar>
              <w:top w:w="0" w:type="dxa"/>
              <w:left w:w="0" w:type="dxa"/>
              <w:bottom w:w="0" w:type="dxa"/>
              <w:right w:w="0" w:type="dxa"/>
            </w:tcMar>
          </w:tcPr>
          <w:p w14:paraId="2DCCD9A4"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Private Sector / NGO</w:t>
            </w:r>
          </w:p>
        </w:tc>
        <w:tc>
          <w:tcPr>
            <w:tcW w:w="2640" w:type="dxa"/>
            <w:tcMar>
              <w:top w:w="0" w:type="dxa"/>
              <w:left w:w="0" w:type="dxa"/>
              <w:bottom w:w="0" w:type="dxa"/>
              <w:right w:w="0" w:type="dxa"/>
            </w:tcMar>
          </w:tcPr>
          <w:p w14:paraId="26C638FA"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15</w:t>
            </w:r>
          </w:p>
        </w:tc>
        <w:tc>
          <w:tcPr>
            <w:tcW w:w="2685" w:type="dxa"/>
            <w:tcMar>
              <w:top w:w="0" w:type="dxa"/>
              <w:left w:w="0" w:type="dxa"/>
              <w:bottom w:w="0" w:type="dxa"/>
              <w:right w:w="0" w:type="dxa"/>
            </w:tcMar>
          </w:tcPr>
          <w:p w14:paraId="1D84A4D7" w14:textId="77777777" w:rsidR="006E23E8" w:rsidRPr="00986FAF" w:rsidRDefault="006E23E8" w:rsidP="00DE2FB7">
            <w:pPr>
              <w:pStyle w:val="ListParagraph"/>
              <w:spacing w:before="0" w:after="0" w:line="228" w:lineRule="auto"/>
              <w:ind w:left="360"/>
              <w:jc w:val="both"/>
              <w:rPr>
                <w:rFonts w:asciiTheme="minorHAnsi" w:hAnsiTheme="minorHAnsi" w:cstheme="minorHAnsi"/>
                <w:sz w:val="22"/>
                <w:lang w:val="en-GB"/>
              </w:rPr>
            </w:pPr>
            <w:r w:rsidRPr="00986FAF">
              <w:rPr>
                <w:rFonts w:asciiTheme="minorHAnsi" w:hAnsiTheme="minorHAnsi" w:cstheme="minorHAnsi"/>
                <w:sz w:val="22"/>
                <w:lang w:val="en-GB"/>
              </w:rPr>
              <w:t>19</w:t>
            </w:r>
          </w:p>
        </w:tc>
      </w:tr>
    </w:tbl>
    <w:p w14:paraId="1622A1AA" w14:textId="1B136709" w:rsidR="002C3DE0" w:rsidRDefault="002C3DE0" w:rsidP="008026AC">
      <w:pPr>
        <w:pStyle w:val="ListParagraph"/>
        <w:numPr>
          <w:ilvl w:val="0"/>
          <w:numId w:val="26"/>
        </w:numPr>
        <w:ind w:left="360"/>
        <w:jc w:val="both"/>
        <w:rPr>
          <w:rFonts w:asciiTheme="minorHAnsi" w:hAnsiTheme="minorHAnsi" w:cstheme="minorHAnsi"/>
          <w:sz w:val="22"/>
        </w:rPr>
      </w:pPr>
      <w:r w:rsidRPr="00986FAF">
        <w:rPr>
          <w:rFonts w:asciiTheme="minorHAnsi" w:hAnsiTheme="minorHAnsi" w:cstheme="minorHAnsi"/>
          <w:sz w:val="22"/>
        </w:rPr>
        <w:t>First National Drug Resistance Survey</w:t>
      </w:r>
      <w:r w:rsidR="009B177A">
        <w:rPr>
          <w:rFonts w:asciiTheme="minorHAnsi" w:hAnsiTheme="minorHAnsi" w:cstheme="minorHAnsi"/>
          <w:sz w:val="22"/>
        </w:rPr>
        <w:t xml:space="preserve"> (NDRS) conducted in 2015-16</w:t>
      </w:r>
      <w:r w:rsidRPr="00986FAF">
        <w:rPr>
          <w:rFonts w:asciiTheme="minorHAnsi" w:hAnsiTheme="minorHAnsi" w:cstheme="minorHAnsi"/>
          <w:sz w:val="22"/>
        </w:rPr>
        <w:t xml:space="preserve"> has provided new insights on various drug resistance patterns. </w:t>
      </w:r>
      <w:r w:rsidR="00E30BAA">
        <w:rPr>
          <w:rFonts w:asciiTheme="minorHAnsi" w:hAnsiTheme="minorHAnsi" w:cstheme="minorHAnsi"/>
          <w:sz w:val="22"/>
        </w:rPr>
        <w:t>It i</w:t>
      </w:r>
      <w:r w:rsidRPr="00986FAF">
        <w:rPr>
          <w:rFonts w:asciiTheme="minorHAnsi" w:hAnsiTheme="minorHAnsi" w:cstheme="minorHAnsi"/>
          <w:sz w:val="22"/>
        </w:rPr>
        <w:t xml:space="preserve">s the first step towards building capacity for setting up continuous surveillance systems in the country. </w:t>
      </w:r>
    </w:p>
    <w:p w14:paraId="49A0B386" w14:textId="40052336" w:rsidR="002C3DE0" w:rsidRDefault="002C3DE0" w:rsidP="00442A67">
      <w:pPr>
        <w:pStyle w:val="ListParagraph"/>
        <w:numPr>
          <w:ilvl w:val="0"/>
          <w:numId w:val="26"/>
        </w:numPr>
        <w:spacing w:before="0"/>
        <w:ind w:left="360"/>
        <w:jc w:val="both"/>
        <w:rPr>
          <w:rFonts w:asciiTheme="minorHAnsi" w:hAnsiTheme="minorHAnsi" w:cstheme="minorHAnsi"/>
          <w:sz w:val="22"/>
        </w:rPr>
      </w:pPr>
      <w:r w:rsidRPr="00986FAF">
        <w:rPr>
          <w:rFonts w:asciiTheme="minorHAnsi" w:hAnsiTheme="minorHAnsi" w:cstheme="minorHAnsi"/>
          <w:sz w:val="22"/>
        </w:rPr>
        <w:t xml:space="preserve">National TB prevalence survey </w:t>
      </w:r>
      <w:r w:rsidR="00E30BAA">
        <w:rPr>
          <w:rFonts w:asciiTheme="minorHAnsi" w:hAnsiTheme="minorHAnsi" w:cstheme="minorHAnsi"/>
          <w:sz w:val="22"/>
        </w:rPr>
        <w:t xml:space="preserve">is </w:t>
      </w:r>
      <w:r w:rsidRPr="00986FAF">
        <w:rPr>
          <w:rFonts w:asciiTheme="minorHAnsi" w:hAnsiTheme="minorHAnsi" w:cstheme="minorHAnsi"/>
          <w:sz w:val="22"/>
        </w:rPr>
        <w:t>currently underway</w:t>
      </w:r>
      <w:r w:rsidR="009B177A" w:rsidRPr="008026AC">
        <w:rPr>
          <w:rFonts w:asciiTheme="minorHAnsi" w:hAnsiTheme="minorHAnsi" w:cstheme="minorHAnsi"/>
          <w:sz w:val="22"/>
        </w:rPr>
        <w:t xml:space="preserve"> which will</w:t>
      </w:r>
      <w:r w:rsidR="009B177A" w:rsidRPr="009B177A">
        <w:rPr>
          <w:rFonts w:asciiTheme="minorHAnsi" w:hAnsiTheme="minorHAnsi" w:cstheme="minorHAnsi"/>
          <w:sz w:val="22"/>
        </w:rPr>
        <w:t xml:space="preserve"> provide state specific prevalence of TB.</w:t>
      </w:r>
    </w:p>
    <w:p w14:paraId="021D1B39" w14:textId="01C8D0BF" w:rsidR="00FD452C" w:rsidRPr="00341AB1" w:rsidRDefault="00D756D3" w:rsidP="00C129C4">
      <w:pPr>
        <w:spacing w:before="0"/>
        <w:contextualSpacing/>
        <w:jc w:val="both"/>
        <w:rPr>
          <w:rFonts w:asciiTheme="minorHAnsi" w:hAnsiTheme="minorHAnsi" w:cstheme="minorHAnsi"/>
          <w:b/>
          <w:color w:val="CD630B" w:themeColor="accent4" w:themeShade="80"/>
          <w:sz w:val="28"/>
        </w:rPr>
      </w:pPr>
      <w:r>
        <w:rPr>
          <w:rFonts w:asciiTheme="minorHAnsi" w:hAnsiTheme="minorHAnsi" w:cstheme="minorHAnsi"/>
          <w:b/>
          <w:color w:val="CD630B" w:themeColor="accent4" w:themeShade="80"/>
          <w:sz w:val="28"/>
        </w:rPr>
        <w:t>2</w:t>
      </w:r>
      <w:r w:rsidR="00BE594E">
        <w:rPr>
          <w:rFonts w:asciiTheme="minorHAnsi" w:hAnsiTheme="minorHAnsi" w:cstheme="minorHAnsi"/>
          <w:b/>
          <w:color w:val="CD630B" w:themeColor="accent4" w:themeShade="80"/>
          <w:sz w:val="28"/>
        </w:rPr>
        <w:t>4</w:t>
      </w:r>
      <w:r>
        <w:rPr>
          <w:rFonts w:asciiTheme="minorHAnsi" w:hAnsiTheme="minorHAnsi" w:cstheme="minorHAnsi"/>
          <w:b/>
          <w:color w:val="CD630B" w:themeColor="accent4" w:themeShade="80"/>
          <w:sz w:val="28"/>
        </w:rPr>
        <w:t xml:space="preserve">.3 </w:t>
      </w:r>
      <w:r w:rsidR="002A763A" w:rsidRPr="00341AB1">
        <w:rPr>
          <w:rFonts w:asciiTheme="minorHAnsi" w:hAnsiTheme="minorHAnsi" w:cstheme="minorHAnsi"/>
          <w:b/>
          <w:color w:val="CD630B" w:themeColor="accent4" w:themeShade="80"/>
          <w:sz w:val="28"/>
        </w:rPr>
        <w:t>CHALLENGES REMAIN</w:t>
      </w:r>
    </w:p>
    <w:p w14:paraId="5720DD92" w14:textId="7A1B03A9" w:rsidR="00BA5B2C" w:rsidRDefault="00BA5B2C" w:rsidP="00442A67">
      <w:pPr>
        <w:pStyle w:val="ListParagraph"/>
        <w:numPr>
          <w:ilvl w:val="0"/>
          <w:numId w:val="29"/>
        </w:numPr>
        <w:spacing w:before="0"/>
        <w:jc w:val="both"/>
        <w:rPr>
          <w:rFonts w:asciiTheme="minorHAnsi" w:hAnsiTheme="minorHAnsi" w:cstheme="minorHAnsi"/>
          <w:sz w:val="22"/>
        </w:rPr>
      </w:pPr>
      <w:r>
        <w:rPr>
          <w:rFonts w:asciiTheme="minorHAnsi" w:hAnsiTheme="minorHAnsi" w:cstheme="minorHAnsi"/>
          <w:sz w:val="22"/>
        </w:rPr>
        <w:t>I</w:t>
      </w:r>
      <w:r w:rsidRPr="00BA5B2C">
        <w:rPr>
          <w:rFonts w:asciiTheme="minorHAnsi" w:hAnsiTheme="minorHAnsi" w:cstheme="minorHAnsi"/>
          <w:sz w:val="22"/>
        </w:rPr>
        <w:t>mplementation of algorithm for DSTB due to lack of X-Ray facilities in</w:t>
      </w:r>
      <w:r>
        <w:rPr>
          <w:rFonts w:asciiTheme="minorHAnsi" w:hAnsiTheme="minorHAnsi" w:cstheme="minorHAnsi"/>
          <w:sz w:val="22"/>
        </w:rPr>
        <w:t xml:space="preserve"> the </w:t>
      </w:r>
      <w:r w:rsidRPr="00BA5B2C">
        <w:rPr>
          <w:rFonts w:asciiTheme="minorHAnsi" w:hAnsiTheme="minorHAnsi" w:cstheme="minorHAnsi"/>
          <w:sz w:val="22"/>
        </w:rPr>
        <w:t>periphery as all presumptive TB requires up-front Microscopy as well as X-Ray</w:t>
      </w:r>
      <w:r>
        <w:rPr>
          <w:rFonts w:asciiTheme="minorHAnsi" w:hAnsiTheme="minorHAnsi" w:cstheme="minorHAnsi"/>
          <w:sz w:val="22"/>
        </w:rPr>
        <w:t xml:space="preserve"> in the algorithm for DSTB diagnosis</w:t>
      </w:r>
      <w:r w:rsidRPr="00BA5B2C">
        <w:rPr>
          <w:rFonts w:asciiTheme="minorHAnsi" w:hAnsiTheme="minorHAnsi" w:cstheme="minorHAnsi"/>
          <w:sz w:val="22"/>
        </w:rPr>
        <w:t>.</w:t>
      </w:r>
      <w:r>
        <w:rPr>
          <w:rFonts w:asciiTheme="minorHAnsi" w:hAnsiTheme="minorHAnsi" w:cstheme="minorHAnsi"/>
          <w:sz w:val="22"/>
        </w:rPr>
        <w:t xml:space="preserve"> </w:t>
      </w:r>
      <w:r w:rsidR="009B177A">
        <w:rPr>
          <w:rFonts w:asciiTheme="minorHAnsi" w:hAnsiTheme="minorHAnsi" w:cstheme="minorHAnsi"/>
          <w:sz w:val="22"/>
        </w:rPr>
        <w:t>Similarly,</w:t>
      </w:r>
      <w:r>
        <w:rPr>
          <w:rFonts w:asciiTheme="minorHAnsi" w:hAnsiTheme="minorHAnsi" w:cstheme="minorHAnsi"/>
          <w:sz w:val="22"/>
        </w:rPr>
        <w:t xml:space="preserve"> for the </w:t>
      </w:r>
      <w:r w:rsidRPr="00BA5B2C">
        <w:rPr>
          <w:rFonts w:asciiTheme="minorHAnsi" w:hAnsiTheme="minorHAnsi" w:cstheme="minorHAnsi"/>
          <w:sz w:val="22"/>
        </w:rPr>
        <w:t xml:space="preserve">DR-TB algorithm, challenge remains with sample collection and transportation as the starting point is NAAT tests for all notified TB </w:t>
      </w:r>
      <w:r w:rsidR="009B177A">
        <w:rPr>
          <w:rFonts w:asciiTheme="minorHAnsi" w:hAnsiTheme="minorHAnsi" w:cstheme="minorHAnsi"/>
          <w:sz w:val="22"/>
        </w:rPr>
        <w:t>patients</w:t>
      </w:r>
      <w:r w:rsidRPr="00BA5B2C">
        <w:rPr>
          <w:rFonts w:asciiTheme="minorHAnsi" w:hAnsiTheme="minorHAnsi" w:cstheme="minorHAnsi"/>
          <w:sz w:val="22"/>
        </w:rPr>
        <w:t>, presumptive TB among the key and vulnerable population and non-responders to</w:t>
      </w:r>
      <w:r w:rsidR="009B177A">
        <w:rPr>
          <w:rFonts w:asciiTheme="minorHAnsi" w:hAnsiTheme="minorHAnsi" w:cstheme="minorHAnsi"/>
          <w:sz w:val="22"/>
        </w:rPr>
        <w:t xml:space="preserve"> anti-TB</w:t>
      </w:r>
      <w:r w:rsidRPr="00BA5B2C">
        <w:rPr>
          <w:rFonts w:asciiTheme="minorHAnsi" w:hAnsiTheme="minorHAnsi" w:cstheme="minorHAnsi"/>
          <w:sz w:val="22"/>
        </w:rPr>
        <w:t xml:space="preserve"> treatment</w:t>
      </w:r>
      <w:r>
        <w:rPr>
          <w:rFonts w:asciiTheme="minorHAnsi" w:hAnsiTheme="minorHAnsi" w:cstheme="minorHAnsi"/>
          <w:sz w:val="22"/>
        </w:rPr>
        <w:t>.</w:t>
      </w:r>
    </w:p>
    <w:p w14:paraId="49636DA2" w14:textId="6F97B353" w:rsidR="00DB12F4" w:rsidRPr="00DB12F4" w:rsidRDefault="00DB12F4"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Specimen collection and transportation for diagnosis</w:t>
      </w:r>
      <w:r w:rsidR="008026AC">
        <w:rPr>
          <w:rFonts w:asciiTheme="minorHAnsi" w:hAnsiTheme="minorHAnsi" w:cstheme="minorHAnsi"/>
          <w:sz w:val="22"/>
        </w:rPr>
        <w:t xml:space="preserve"> is</w:t>
      </w:r>
      <w:r w:rsidRPr="00DB12F4">
        <w:rPr>
          <w:rFonts w:asciiTheme="minorHAnsi" w:hAnsiTheme="minorHAnsi" w:cstheme="minorHAnsi"/>
          <w:sz w:val="22"/>
        </w:rPr>
        <w:t xml:space="preserve"> sub optimal. </w:t>
      </w:r>
    </w:p>
    <w:p w14:paraId="0671BAE5" w14:textId="77777777" w:rsidR="00DB12F4" w:rsidRPr="00DB12F4" w:rsidRDefault="00DB12F4"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 xml:space="preserve">Ensuring last mile access to quality diagnostics for the presumptive TB cases in the remote corners of the country. </w:t>
      </w:r>
    </w:p>
    <w:p w14:paraId="541B8AE7" w14:textId="77777777" w:rsidR="00DB12F4" w:rsidRPr="00DB12F4" w:rsidRDefault="00DB12F4"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Diagnostic coverage for patients availing services from the private sector remains a challenge</w:t>
      </w:r>
    </w:p>
    <w:p w14:paraId="3FACA419" w14:textId="77777777" w:rsidR="00DB12F4" w:rsidRPr="00DB12F4" w:rsidRDefault="00DB12F4"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 xml:space="preserve">NAAT / other modern diagnostics facilities in the private sector yet to be completely harnessed by the program.  </w:t>
      </w:r>
    </w:p>
    <w:p w14:paraId="5D20274D" w14:textId="135D0E5A" w:rsidR="00DB12F4" w:rsidRPr="00DB12F4" w:rsidRDefault="00DB12F4"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Review of Lab</w:t>
      </w:r>
      <w:r w:rsidR="009B177A">
        <w:rPr>
          <w:rFonts w:asciiTheme="minorHAnsi" w:hAnsiTheme="minorHAnsi" w:cstheme="minorHAnsi"/>
          <w:sz w:val="22"/>
        </w:rPr>
        <w:t>oratory</w:t>
      </w:r>
      <w:r w:rsidRPr="00DB12F4">
        <w:rPr>
          <w:rFonts w:asciiTheme="minorHAnsi" w:hAnsiTheme="minorHAnsi" w:cstheme="minorHAnsi"/>
          <w:sz w:val="22"/>
        </w:rPr>
        <w:t xml:space="preserve"> work loads, network optimization and</w:t>
      </w:r>
      <w:r w:rsidR="0030717B">
        <w:rPr>
          <w:rFonts w:asciiTheme="minorHAnsi" w:hAnsiTheme="minorHAnsi" w:cstheme="minorHAnsi"/>
          <w:sz w:val="22"/>
        </w:rPr>
        <w:t xml:space="preserve"> technology landscaping</w:t>
      </w:r>
      <w:r w:rsidR="009B177A">
        <w:rPr>
          <w:rFonts w:asciiTheme="minorHAnsi" w:hAnsiTheme="minorHAnsi" w:cstheme="minorHAnsi"/>
          <w:sz w:val="22"/>
        </w:rPr>
        <w:t xml:space="preserve"> are</w:t>
      </w:r>
      <w:r w:rsidR="0030717B">
        <w:rPr>
          <w:rFonts w:asciiTheme="minorHAnsi" w:hAnsiTheme="minorHAnsi" w:cstheme="minorHAnsi"/>
          <w:sz w:val="22"/>
        </w:rPr>
        <w:t xml:space="preserve"> lacking</w:t>
      </w:r>
      <w:r w:rsidRPr="00DB12F4">
        <w:rPr>
          <w:rFonts w:asciiTheme="minorHAnsi" w:hAnsiTheme="minorHAnsi" w:cstheme="minorHAnsi"/>
          <w:sz w:val="22"/>
        </w:rPr>
        <w:t xml:space="preserve"> </w:t>
      </w:r>
    </w:p>
    <w:p w14:paraId="3590951B" w14:textId="77777777" w:rsidR="00DB12F4" w:rsidRPr="00DB12F4" w:rsidRDefault="00DB12F4"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Non availability and / or underutilization of X-ray facilities at periphery adversely affects screening as well as diagnosis.</w:t>
      </w:r>
    </w:p>
    <w:p w14:paraId="06B50860" w14:textId="4069EF7F" w:rsidR="00DB12F4" w:rsidRPr="00DB12F4" w:rsidRDefault="0030717B"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T</w:t>
      </w:r>
      <w:r>
        <w:rPr>
          <w:rFonts w:asciiTheme="minorHAnsi" w:hAnsiTheme="minorHAnsi" w:cstheme="minorHAnsi"/>
          <w:sz w:val="22"/>
        </w:rPr>
        <w:t xml:space="preserve">urnaround time </w:t>
      </w:r>
      <w:r w:rsidR="00DB12F4" w:rsidRPr="00DB12F4">
        <w:rPr>
          <w:rFonts w:asciiTheme="minorHAnsi" w:hAnsiTheme="minorHAnsi" w:cstheme="minorHAnsi"/>
          <w:sz w:val="22"/>
        </w:rPr>
        <w:t xml:space="preserve">from </w:t>
      </w:r>
      <w:r w:rsidR="009B177A">
        <w:rPr>
          <w:rFonts w:asciiTheme="minorHAnsi" w:hAnsiTheme="minorHAnsi" w:cstheme="minorHAnsi"/>
          <w:sz w:val="22"/>
        </w:rPr>
        <w:t>TB/DRTB</w:t>
      </w:r>
      <w:r w:rsidR="00DB12F4" w:rsidRPr="00DB12F4">
        <w:rPr>
          <w:rFonts w:asciiTheme="minorHAnsi" w:hAnsiTheme="minorHAnsi" w:cstheme="minorHAnsi"/>
          <w:sz w:val="22"/>
        </w:rPr>
        <w:t xml:space="preserve"> </w:t>
      </w:r>
      <w:r w:rsidR="008026AC" w:rsidRPr="00DB12F4">
        <w:rPr>
          <w:rFonts w:asciiTheme="minorHAnsi" w:hAnsiTheme="minorHAnsi" w:cstheme="minorHAnsi"/>
          <w:sz w:val="22"/>
        </w:rPr>
        <w:t>diagnosis</w:t>
      </w:r>
      <w:r w:rsidR="008026AC">
        <w:rPr>
          <w:rFonts w:asciiTheme="minorHAnsi" w:hAnsiTheme="minorHAnsi" w:cstheme="minorHAnsi"/>
          <w:sz w:val="22"/>
        </w:rPr>
        <w:t xml:space="preserve"> </w:t>
      </w:r>
      <w:r w:rsidR="00DB12F4" w:rsidRPr="00DB12F4">
        <w:rPr>
          <w:rFonts w:asciiTheme="minorHAnsi" w:hAnsiTheme="minorHAnsi" w:cstheme="minorHAnsi"/>
          <w:sz w:val="22"/>
        </w:rPr>
        <w:t>to</w:t>
      </w:r>
      <w:r w:rsidR="009B177A">
        <w:rPr>
          <w:rFonts w:asciiTheme="minorHAnsi" w:hAnsiTheme="minorHAnsi" w:cstheme="minorHAnsi"/>
          <w:sz w:val="22"/>
        </w:rPr>
        <w:t xml:space="preserve"> test result</w:t>
      </w:r>
      <w:r w:rsidR="00DB12F4" w:rsidRPr="00DB12F4">
        <w:rPr>
          <w:rFonts w:asciiTheme="minorHAnsi" w:hAnsiTheme="minorHAnsi" w:cstheme="minorHAnsi"/>
          <w:sz w:val="22"/>
        </w:rPr>
        <w:t xml:space="preserve"> reporting</w:t>
      </w:r>
      <w:r>
        <w:rPr>
          <w:rFonts w:asciiTheme="minorHAnsi" w:hAnsiTheme="minorHAnsi" w:cstheme="minorHAnsi"/>
          <w:sz w:val="22"/>
        </w:rPr>
        <w:t xml:space="preserve"> is</w:t>
      </w:r>
      <w:r w:rsidR="00DB12F4" w:rsidRPr="00DB12F4">
        <w:rPr>
          <w:rFonts w:asciiTheme="minorHAnsi" w:hAnsiTheme="minorHAnsi" w:cstheme="minorHAnsi"/>
          <w:sz w:val="22"/>
        </w:rPr>
        <w:t xml:space="preserve"> delayed (high </w:t>
      </w:r>
      <w:r>
        <w:rPr>
          <w:rFonts w:asciiTheme="minorHAnsi" w:hAnsiTheme="minorHAnsi" w:cstheme="minorHAnsi"/>
          <w:sz w:val="22"/>
        </w:rPr>
        <w:t>sample loads and improper interpretation and application</w:t>
      </w:r>
      <w:r w:rsidR="00DB12F4" w:rsidRPr="00DB12F4">
        <w:rPr>
          <w:rFonts w:asciiTheme="minorHAnsi" w:hAnsiTheme="minorHAnsi" w:cstheme="minorHAnsi"/>
          <w:sz w:val="22"/>
        </w:rPr>
        <w:t xml:space="preserve"> of the prescribed diagnostic algorithm).</w:t>
      </w:r>
    </w:p>
    <w:p w14:paraId="6A0EFD00" w14:textId="77777777" w:rsidR="00DB12F4" w:rsidRPr="00DB12F4" w:rsidRDefault="00DB12F4"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 xml:space="preserve">Potential for compromised biosafety within the TB laboratory network continues (space constraints, delays in maintenance of TB containment unit and timely procurement of spare parts). </w:t>
      </w:r>
    </w:p>
    <w:p w14:paraId="5C0CD6B2" w14:textId="04695931" w:rsidR="00DB12F4" w:rsidRPr="00DB12F4" w:rsidRDefault="00DB12F4"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Rapid expansion of the Lab network led to sub optimal supervision and monitoring for Q</w:t>
      </w:r>
      <w:r w:rsidR="009B177A">
        <w:rPr>
          <w:rFonts w:asciiTheme="minorHAnsi" w:hAnsiTheme="minorHAnsi" w:cstheme="minorHAnsi"/>
          <w:sz w:val="22"/>
        </w:rPr>
        <w:t xml:space="preserve">uality </w:t>
      </w:r>
      <w:r w:rsidRPr="00DB12F4">
        <w:rPr>
          <w:rFonts w:asciiTheme="minorHAnsi" w:hAnsiTheme="minorHAnsi" w:cstheme="minorHAnsi"/>
          <w:sz w:val="22"/>
        </w:rPr>
        <w:t>A</w:t>
      </w:r>
      <w:r w:rsidR="009B177A">
        <w:rPr>
          <w:rFonts w:asciiTheme="minorHAnsi" w:hAnsiTheme="minorHAnsi" w:cstheme="minorHAnsi"/>
          <w:sz w:val="22"/>
        </w:rPr>
        <w:t>ssurance</w:t>
      </w:r>
      <w:r w:rsidRPr="00DB12F4">
        <w:rPr>
          <w:rFonts w:asciiTheme="minorHAnsi" w:hAnsiTheme="minorHAnsi" w:cstheme="minorHAnsi"/>
          <w:sz w:val="22"/>
        </w:rPr>
        <w:t xml:space="preserve">, especially at peripheral level. </w:t>
      </w:r>
    </w:p>
    <w:p w14:paraId="73954181" w14:textId="77777777" w:rsidR="00DB12F4" w:rsidRDefault="00DB12F4" w:rsidP="00442A67">
      <w:pPr>
        <w:pStyle w:val="ListParagraph"/>
        <w:numPr>
          <w:ilvl w:val="0"/>
          <w:numId w:val="29"/>
        </w:numPr>
        <w:spacing w:before="0"/>
        <w:jc w:val="both"/>
        <w:rPr>
          <w:rFonts w:asciiTheme="minorHAnsi" w:hAnsiTheme="minorHAnsi" w:cstheme="minorHAnsi"/>
          <w:sz w:val="22"/>
        </w:rPr>
      </w:pPr>
      <w:r w:rsidRPr="00DB12F4">
        <w:rPr>
          <w:rFonts w:asciiTheme="minorHAnsi" w:hAnsiTheme="minorHAnsi" w:cstheme="minorHAnsi"/>
          <w:sz w:val="22"/>
        </w:rPr>
        <w:t>Retention of skilled human resource (transition from FIND) and requirement of additional work force.</w:t>
      </w:r>
    </w:p>
    <w:p w14:paraId="6FC7006D" w14:textId="75FF2E48" w:rsidR="00082154" w:rsidRPr="00341AB1" w:rsidRDefault="00D756D3" w:rsidP="00AF5B00">
      <w:pPr>
        <w:spacing w:before="0"/>
        <w:jc w:val="both"/>
        <w:rPr>
          <w:rFonts w:asciiTheme="minorHAnsi" w:hAnsiTheme="minorHAnsi" w:cstheme="minorHAnsi"/>
          <w:b/>
          <w:color w:val="CD630B" w:themeColor="accent4" w:themeShade="80"/>
          <w:sz w:val="28"/>
        </w:rPr>
      </w:pPr>
      <w:r>
        <w:rPr>
          <w:rFonts w:asciiTheme="minorHAnsi" w:hAnsiTheme="minorHAnsi" w:cstheme="minorHAnsi"/>
          <w:b/>
          <w:color w:val="CD630B" w:themeColor="accent4" w:themeShade="80"/>
          <w:sz w:val="28"/>
        </w:rPr>
        <w:t>2</w:t>
      </w:r>
      <w:r w:rsidR="00BE594E">
        <w:rPr>
          <w:rFonts w:asciiTheme="minorHAnsi" w:hAnsiTheme="minorHAnsi" w:cstheme="minorHAnsi"/>
          <w:b/>
          <w:color w:val="CD630B" w:themeColor="accent4" w:themeShade="80"/>
          <w:sz w:val="28"/>
        </w:rPr>
        <w:t>4</w:t>
      </w:r>
      <w:r>
        <w:rPr>
          <w:rFonts w:asciiTheme="minorHAnsi" w:hAnsiTheme="minorHAnsi" w:cstheme="minorHAnsi"/>
          <w:b/>
          <w:color w:val="CD630B" w:themeColor="accent4" w:themeShade="80"/>
          <w:sz w:val="28"/>
        </w:rPr>
        <w:t xml:space="preserve">.4 </w:t>
      </w:r>
      <w:r w:rsidR="00BD5719" w:rsidRPr="00341AB1">
        <w:rPr>
          <w:rFonts w:asciiTheme="minorHAnsi" w:hAnsiTheme="minorHAnsi" w:cstheme="minorHAnsi"/>
          <w:b/>
          <w:color w:val="CD630B" w:themeColor="accent4" w:themeShade="80"/>
          <w:sz w:val="28"/>
        </w:rPr>
        <w:t xml:space="preserve">THE </w:t>
      </w:r>
      <w:bookmarkStart w:id="65" w:name="_Toc472976165"/>
      <w:r w:rsidR="00BD5719" w:rsidRPr="00341AB1">
        <w:rPr>
          <w:rFonts w:asciiTheme="minorHAnsi" w:hAnsiTheme="minorHAnsi" w:cstheme="minorHAnsi"/>
          <w:b/>
          <w:color w:val="CD630B" w:themeColor="accent4" w:themeShade="80"/>
          <w:sz w:val="28"/>
        </w:rPr>
        <w:t>WAY FORWARD</w:t>
      </w:r>
      <w:r w:rsidR="00643BB3" w:rsidRPr="00341AB1">
        <w:rPr>
          <w:rFonts w:asciiTheme="minorHAnsi" w:hAnsiTheme="minorHAnsi" w:cstheme="minorHAnsi"/>
          <w:b/>
          <w:color w:val="CD630B" w:themeColor="accent4" w:themeShade="80"/>
          <w:sz w:val="28"/>
        </w:rPr>
        <w:t xml:space="preserve"> </w:t>
      </w:r>
    </w:p>
    <w:p w14:paraId="6CF0F36F" w14:textId="0654114F" w:rsidR="00643BB3" w:rsidRPr="00643BB3" w:rsidRDefault="00643BB3" w:rsidP="0030030B">
      <w:pPr>
        <w:spacing w:before="0"/>
        <w:jc w:val="both"/>
        <w:rPr>
          <w:rFonts w:asciiTheme="minorHAnsi" w:hAnsiTheme="minorHAnsi" w:cstheme="minorHAnsi"/>
          <w:sz w:val="22"/>
        </w:rPr>
      </w:pPr>
      <w:r w:rsidRPr="00643BB3">
        <w:rPr>
          <w:rFonts w:asciiTheme="minorHAnsi" w:hAnsiTheme="minorHAnsi" w:cstheme="minorHAnsi"/>
          <w:sz w:val="22"/>
        </w:rPr>
        <w:t xml:space="preserve">The way forward is for the NTEP to ensure provision of diagnostic services with a focus on revised laboratory expansion plan, planning for scale-up of new diagnostics within the revised TOG, promotion of rapid detection of TB (all forms) in both adults and children and public-private </w:t>
      </w:r>
      <w:r w:rsidRPr="00643BB3">
        <w:rPr>
          <w:rFonts w:asciiTheme="minorHAnsi" w:hAnsiTheme="minorHAnsi" w:cstheme="minorHAnsi"/>
          <w:sz w:val="22"/>
        </w:rPr>
        <w:lastRenderedPageBreak/>
        <w:t>partnerships for laboratory testing and specimen transport.</w:t>
      </w:r>
      <w:r>
        <w:rPr>
          <w:rFonts w:asciiTheme="minorHAnsi" w:hAnsiTheme="minorHAnsi" w:cstheme="minorHAnsi"/>
          <w:sz w:val="22"/>
        </w:rPr>
        <w:t xml:space="preserve"> </w:t>
      </w:r>
      <w:r w:rsidR="00987FBB">
        <w:rPr>
          <w:rFonts w:asciiTheme="minorHAnsi" w:hAnsiTheme="minorHAnsi" w:cstheme="minorHAnsi"/>
          <w:sz w:val="22"/>
        </w:rPr>
        <w:t>Specifically m</w:t>
      </w:r>
      <w:r w:rsidRPr="00643BB3">
        <w:rPr>
          <w:rFonts w:asciiTheme="minorHAnsi" w:hAnsiTheme="minorHAnsi" w:cstheme="minorHAnsi"/>
          <w:sz w:val="22"/>
        </w:rPr>
        <w:t>inimize patient-important TATs (time from diagnosis to taking action on a test result) to avoid delays in diagnosis and initiation of appropriate therapy as well as loss to follow. Use a systems approach to develop a robust, patient-centric diagnostic system that emphasizes access to quality-assured rapid molecular tests and ensures the timely flow of specimens and information.</w:t>
      </w:r>
    </w:p>
    <w:p w14:paraId="4BC3D81B" w14:textId="7DE4757F" w:rsidR="00B36CAE" w:rsidRDefault="00B36CAE" w:rsidP="0030030B">
      <w:pPr>
        <w:spacing w:before="0"/>
        <w:contextualSpacing/>
        <w:jc w:val="both"/>
        <w:rPr>
          <w:rFonts w:asciiTheme="minorHAnsi" w:hAnsiTheme="minorHAnsi" w:cstheme="minorHAnsi"/>
          <w:b/>
          <w:sz w:val="22"/>
        </w:rPr>
      </w:pPr>
      <w:r w:rsidRPr="00B36CAE">
        <w:rPr>
          <w:rFonts w:asciiTheme="minorHAnsi" w:hAnsiTheme="minorHAnsi" w:cstheme="minorHAnsi"/>
          <w:b/>
          <w:sz w:val="22"/>
        </w:rPr>
        <w:t>3.1.1.</w:t>
      </w:r>
      <w:r w:rsidRPr="00B36CAE">
        <w:rPr>
          <w:rFonts w:asciiTheme="minorHAnsi" w:hAnsiTheme="minorHAnsi" w:cstheme="minorHAnsi"/>
          <w:b/>
          <w:sz w:val="22"/>
        </w:rPr>
        <w:tab/>
        <w:t>Enhance the use of novel and improved strategies to enable diagnosis of latent as well as active TB (including DR TB)</w:t>
      </w:r>
    </w:p>
    <w:p w14:paraId="305D3047" w14:textId="0ECF2D29" w:rsidR="00056C4E" w:rsidRDefault="00056C4E" w:rsidP="0030030B">
      <w:pPr>
        <w:spacing w:before="0"/>
        <w:contextualSpacing/>
        <w:jc w:val="both"/>
        <w:rPr>
          <w:rFonts w:asciiTheme="minorHAnsi" w:hAnsiTheme="minorHAnsi" w:cstheme="minorHAnsi"/>
          <w:sz w:val="22"/>
        </w:rPr>
      </w:pPr>
      <w:r w:rsidRPr="00056C4E">
        <w:rPr>
          <w:rFonts w:asciiTheme="minorHAnsi" w:hAnsiTheme="minorHAnsi" w:cstheme="minorHAnsi"/>
          <w:b/>
          <w:sz w:val="22"/>
        </w:rPr>
        <w:t>3.1.1.1</w:t>
      </w:r>
      <w:r>
        <w:rPr>
          <w:rFonts w:asciiTheme="minorHAnsi" w:hAnsiTheme="minorHAnsi" w:cstheme="minorHAnsi"/>
          <w:sz w:val="22"/>
        </w:rPr>
        <w:t xml:space="preserve"> </w:t>
      </w:r>
      <w:r w:rsidRPr="00056C4E">
        <w:rPr>
          <w:rFonts w:asciiTheme="minorHAnsi" w:hAnsiTheme="minorHAnsi" w:cstheme="minorHAnsi"/>
          <w:sz w:val="22"/>
        </w:rPr>
        <w:t xml:space="preserve">Rapid / prioritized transition of TB diagnosis from smear microscopy to molecular testing using NAAT right up to the Block level. AFB-smear microscopy will continue to have an important role in treatment monitoring and screening for NTM. </w:t>
      </w:r>
    </w:p>
    <w:p w14:paraId="1D5204E6" w14:textId="44DF11F8" w:rsidR="00761BB3" w:rsidRPr="00056C4E" w:rsidRDefault="00761BB3" w:rsidP="0030030B">
      <w:pPr>
        <w:spacing w:before="0"/>
        <w:contextualSpacing/>
        <w:jc w:val="both"/>
        <w:rPr>
          <w:rFonts w:asciiTheme="minorHAnsi" w:hAnsiTheme="minorHAnsi" w:cstheme="minorHAnsi"/>
          <w:sz w:val="22"/>
        </w:rPr>
      </w:pPr>
      <w:r w:rsidRPr="00056C4E">
        <w:rPr>
          <w:rFonts w:asciiTheme="minorHAnsi" w:hAnsiTheme="minorHAnsi" w:cstheme="minorHAnsi"/>
          <w:b/>
          <w:sz w:val="22"/>
        </w:rPr>
        <w:t>3.1.1.</w:t>
      </w:r>
      <w:r>
        <w:rPr>
          <w:rFonts w:asciiTheme="minorHAnsi" w:hAnsiTheme="minorHAnsi" w:cstheme="minorHAnsi"/>
          <w:b/>
          <w:sz w:val="22"/>
        </w:rPr>
        <w:t>2</w:t>
      </w:r>
      <w:r>
        <w:rPr>
          <w:rFonts w:asciiTheme="minorHAnsi" w:hAnsiTheme="minorHAnsi" w:cstheme="minorHAnsi"/>
          <w:sz w:val="22"/>
        </w:rPr>
        <w:t xml:space="preserve"> Expedite</w:t>
      </w:r>
      <w:r w:rsidRPr="00056C4E">
        <w:rPr>
          <w:rFonts w:asciiTheme="minorHAnsi" w:hAnsiTheme="minorHAnsi" w:cstheme="minorHAnsi"/>
          <w:sz w:val="22"/>
        </w:rPr>
        <w:t xml:space="preserve"> evaluation, </w:t>
      </w:r>
      <w:r w:rsidR="00203D70" w:rsidRPr="00056C4E">
        <w:rPr>
          <w:rFonts w:asciiTheme="minorHAnsi" w:hAnsiTheme="minorHAnsi" w:cstheme="minorHAnsi"/>
          <w:sz w:val="22"/>
        </w:rPr>
        <w:t>approvals,</w:t>
      </w:r>
      <w:r w:rsidRPr="00056C4E">
        <w:rPr>
          <w:rFonts w:asciiTheme="minorHAnsi" w:hAnsiTheme="minorHAnsi" w:cstheme="minorHAnsi"/>
          <w:sz w:val="22"/>
        </w:rPr>
        <w:t xml:space="preserve"> and implementation of new WHO/GoI endorsed technology into the diagnostic algorithm so</w:t>
      </w:r>
      <w:r>
        <w:rPr>
          <w:rFonts w:asciiTheme="minorHAnsi" w:hAnsiTheme="minorHAnsi" w:cstheme="minorHAnsi"/>
          <w:sz w:val="22"/>
        </w:rPr>
        <w:t xml:space="preserve"> as to enable testing for both first</w:t>
      </w:r>
      <w:r w:rsidRPr="00056C4E">
        <w:rPr>
          <w:rFonts w:asciiTheme="minorHAnsi" w:hAnsiTheme="minorHAnsi" w:cstheme="minorHAnsi"/>
          <w:sz w:val="22"/>
        </w:rPr>
        <w:t xml:space="preserve"> as well as </w:t>
      </w:r>
      <w:r>
        <w:rPr>
          <w:rFonts w:asciiTheme="minorHAnsi" w:hAnsiTheme="minorHAnsi" w:cstheme="minorHAnsi"/>
          <w:sz w:val="22"/>
        </w:rPr>
        <w:t>second line resistance at the b</w:t>
      </w:r>
      <w:r w:rsidRPr="00056C4E">
        <w:rPr>
          <w:rFonts w:asciiTheme="minorHAnsi" w:hAnsiTheme="minorHAnsi" w:cstheme="minorHAnsi"/>
          <w:sz w:val="22"/>
        </w:rPr>
        <w:t xml:space="preserve">lock and </w:t>
      </w:r>
      <w:r>
        <w:rPr>
          <w:rFonts w:asciiTheme="minorHAnsi" w:hAnsiTheme="minorHAnsi" w:cstheme="minorHAnsi"/>
          <w:sz w:val="22"/>
        </w:rPr>
        <w:t>d</w:t>
      </w:r>
      <w:r w:rsidRPr="00056C4E">
        <w:rPr>
          <w:rFonts w:asciiTheme="minorHAnsi" w:hAnsiTheme="minorHAnsi" w:cstheme="minorHAnsi"/>
          <w:sz w:val="22"/>
        </w:rPr>
        <w:t xml:space="preserve">istrict level itself.  </w:t>
      </w:r>
    </w:p>
    <w:p w14:paraId="022FD00C" w14:textId="2C98E65D" w:rsidR="00056C4E" w:rsidRPr="00056C4E" w:rsidRDefault="00E30BAA" w:rsidP="0030030B">
      <w:pPr>
        <w:spacing w:before="0"/>
        <w:contextualSpacing/>
        <w:jc w:val="both"/>
        <w:rPr>
          <w:rFonts w:asciiTheme="minorHAnsi" w:hAnsiTheme="minorHAnsi" w:cstheme="minorHAnsi"/>
          <w:sz w:val="22"/>
        </w:rPr>
      </w:pPr>
      <w:r w:rsidRPr="00056C4E">
        <w:rPr>
          <w:rFonts w:asciiTheme="minorHAnsi" w:hAnsiTheme="minorHAnsi" w:cstheme="minorHAnsi"/>
          <w:b/>
          <w:sz w:val="22"/>
        </w:rPr>
        <w:t>3.1.1.</w:t>
      </w:r>
      <w:r>
        <w:rPr>
          <w:rFonts w:asciiTheme="minorHAnsi" w:hAnsiTheme="minorHAnsi" w:cstheme="minorHAnsi"/>
          <w:b/>
          <w:sz w:val="22"/>
        </w:rPr>
        <w:t>3</w:t>
      </w:r>
      <w:r>
        <w:rPr>
          <w:rFonts w:asciiTheme="minorHAnsi" w:hAnsiTheme="minorHAnsi" w:cstheme="minorHAnsi"/>
          <w:sz w:val="22"/>
        </w:rPr>
        <w:t xml:space="preserve"> Introduction of </w:t>
      </w:r>
      <w:r w:rsidR="00203D70">
        <w:rPr>
          <w:rFonts w:asciiTheme="minorHAnsi" w:hAnsiTheme="minorHAnsi" w:cstheme="minorHAnsi"/>
          <w:sz w:val="22"/>
        </w:rPr>
        <w:t>Point of Care (</w:t>
      </w:r>
      <w:r w:rsidR="00056C4E" w:rsidRPr="00056C4E">
        <w:rPr>
          <w:rFonts w:asciiTheme="minorHAnsi" w:hAnsiTheme="minorHAnsi" w:cstheme="minorHAnsi"/>
          <w:sz w:val="22"/>
        </w:rPr>
        <w:t>POC</w:t>
      </w:r>
      <w:r w:rsidR="00203D70">
        <w:rPr>
          <w:rFonts w:asciiTheme="minorHAnsi" w:hAnsiTheme="minorHAnsi" w:cstheme="minorHAnsi"/>
          <w:sz w:val="22"/>
        </w:rPr>
        <w:t>)</w:t>
      </w:r>
      <w:r w:rsidR="00056C4E" w:rsidRPr="00056C4E">
        <w:rPr>
          <w:rFonts w:asciiTheme="minorHAnsi" w:hAnsiTheme="minorHAnsi" w:cstheme="minorHAnsi"/>
          <w:sz w:val="22"/>
        </w:rPr>
        <w:t xml:space="preserve"> sequencing platform</w:t>
      </w:r>
      <w:r>
        <w:rPr>
          <w:rFonts w:asciiTheme="minorHAnsi" w:hAnsiTheme="minorHAnsi" w:cstheme="minorHAnsi"/>
          <w:sz w:val="22"/>
        </w:rPr>
        <w:t xml:space="preserve"> when</w:t>
      </w:r>
      <w:r w:rsidR="00056C4E" w:rsidRPr="00056C4E">
        <w:rPr>
          <w:rFonts w:asciiTheme="minorHAnsi" w:hAnsiTheme="minorHAnsi" w:cstheme="minorHAnsi"/>
          <w:sz w:val="22"/>
        </w:rPr>
        <w:t xml:space="preserve"> available</w:t>
      </w:r>
      <w:r w:rsidR="00BA5B2C">
        <w:rPr>
          <w:rFonts w:asciiTheme="minorHAnsi" w:hAnsiTheme="minorHAnsi" w:cstheme="minorHAnsi"/>
          <w:sz w:val="22"/>
        </w:rPr>
        <w:t xml:space="preserve"> (expected within 1 – 2 years)</w:t>
      </w:r>
      <w:r>
        <w:rPr>
          <w:rFonts w:asciiTheme="minorHAnsi" w:hAnsiTheme="minorHAnsi" w:cstheme="minorHAnsi"/>
          <w:sz w:val="22"/>
        </w:rPr>
        <w:t xml:space="preserve">, to support </w:t>
      </w:r>
      <w:r w:rsidR="00056C4E" w:rsidRPr="00056C4E">
        <w:rPr>
          <w:rFonts w:asciiTheme="minorHAnsi" w:hAnsiTheme="minorHAnsi" w:cstheme="minorHAnsi"/>
          <w:sz w:val="22"/>
        </w:rPr>
        <w:t>lineage determination and prediction of drug resistance at the district level</w:t>
      </w:r>
      <w:r>
        <w:rPr>
          <w:rFonts w:asciiTheme="minorHAnsi" w:hAnsiTheme="minorHAnsi" w:cstheme="minorHAnsi"/>
          <w:sz w:val="22"/>
        </w:rPr>
        <w:t xml:space="preserve"> </w:t>
      </w:r>
      <w:r w:rsidR="00576821">
        <w:rPr>
          <w:rFonts w:asciiTheme="minorHAnsi" w:hAnsiTheme="minorHAnsi" w:cstheme="minorHAnsi"/>
          <w:sz w:val="22"/>
        </w:rPr>
        <w:t>to</w:t>
      </w:r>
      <w:r w:rsidR="00056C4E" w:rsidRPr="00056C4E">
        <w:rPr>
          <w:rFonts w:asciiTheme="minorHAnsi" w:hAnsiTheme="minorHAnsi" w:cstheme="minorHAnsi"/>
          <w:sz w:val="22"/>
        </w:rPr>
        <w:t xml:space="preserve"> help guide treatment decisions</w:t>
      </w:r>
      <w:r>
        <w:rPr>
          <w:rFonts w:asciiTheme="minorHAnsi" w:hAnsiTheme="minorHAnsi" w:cstheme="minorHAnsi"/>
          <w:sz w:val="22"/>
        </w:rPr>
        <w:t xml:space="preserve"> accurately</w:t>
      </w:r>
      <w:r w:rsidR="00056C4E" w:rsidRPr="00056C4E">
        <w:rPr>
          <w:rFonts w:asciiTheme="minorHAnsi" w:hAnsiTheme="minorHAnsi" w:cstheme="minorHAnsi"/>
          <w:sz w:val="22"/>
        </w:rPr>
        <w:t xml:space="preserve">. </w:t>
      </w:r>
    </w:p>
    <w:p w14:paraId="7F4D1CDF" w14:textId="15477ABA" w:rsidR="00056C4E" w:rsidRPr="00056C4E" w:rsidRDefault="00E30BAA" w:rsidP="0030030B">
      <w:pPr>
        <w:spacing w:before="0"/>
        <w:contextualSpacing/>
        <w:jc w:val="both"/>
        <w:rPr>
          <w:rFonts w:asciiTheme="minorHAnsi" w:hAnsiTheme="minorHAnsi" w:cstheme="minorHAnsi"/>
          <w:sz w:val="22"/>
        </w:rPr>
      </w:pPr>
      <w:r>
        <w:rPr>
          <w:rFonts w:asciiTheme="minorHAnsi" w:hAnsiTheme="minorHAnsi" w:cstheme="minorHAnsi"/>
          <w:b/>
          <w:sz w:val="22"/>
        </w:rPr>
        <w:t>3.1.1.4</w:t>
      </w:r>
      <w:r>
        <w:rPr>
          <w:rFonts w:asciiTheme="minorHAnsi" w:hAnsiTheme="minorHAnsi" w:cstheme="minorHAnsi"/>
          <w:sz w:val="22"/>
        </w:rPr>
        <w:t xml:space="preserve"> </w:t>
      </w:r>
      <w:r w:rsidR="00056C4E" w:rsidRPr="00056C4E">
        <w:rPr>
          <w:rFonts w:asciiTheme="minorHAnsi" w:hAnsiTheme="minorHAnsi" w:cstheme="minorHAnsi"/>
          <w:sz w:val="22"/>
        </w:rPr>
        <w:t>Roll out the use of approved tests (IGRA, C</w:t>
      </w:r>
      <w:r w:rsidR="00203D70">
        <w:rPr>
          <w:rFonts w:asciiTheme="minorHAnsi" w:hAnsiTheme="minorHAnsi" w:cstheme="minorHAnsi"/>
          <w:sz w:val="22"/>
        </w:rPr>
        <w:t>-</w:t>
      </w:r>
      <w:r w:rsidR="00056C4E" w:rsidRPr="00056C4E">
        <w:rPr>
          <w:rFonts w:asciiTheme="minorHAnsi" w:hAnsiTheme="minorHAnsi" w:cstheme="minorHAnsi"/>
          <w:sz w:val="22"/>
        </w:rPr>
        <w:t>T</w:t>
      </w:r>
      <w:r w:rsidR="00203D70">
        <w:rPr>
          <w:rFonts w:asciiTheme="minorHAnsi" w:hAnsiTheme="minorHAnsi" w:cstheme="minorHAnsi"/>
          <w:sz w:val="22"/>
        </w:rPr>
        <w:t>b</w:t>
      </w:r>
      <w:r>
        <w:rPr>
          <w:rFonts w:asciiTheme="minorHAnsi" w:hAnsiTheme="minorHAnsi" w:cstheme="minorHAnsi"/>
          <w:sz w:val="22"/>
        </w:rPr>
        <w:t>,</w:t>
      </w:r>
      <w:r w:rsidR="00056C4E" w:rsidRPr="00056C4E">
        <w:rPr>
          <w:rFonts w:asciiTheme="minorHAnsi" w:hAnsiTheme="minorHAnsi" w:cstheme="minorHAnsi"/>
          <w:sz w:val="22"/>
        </w:rPr>
        <w:t xml:space="preserve"> etc</w:t>
      </w:r>
      <w:r>
        <w:rPr>
          <w:rFonts w:asciiTheme="minorHAnsi" w:hAnsiTheme="minorHAnsi" w:cstheme="minorHAnsi"/>
          <w:sz w:val="22"/>
        </w:rPr>
        <w:t>.</w:t>
      </w:r>
      <w:r w:rsidR="00576821">
        <w:rPr>
          <w:rFonts w:asciiTheme="minorHAnsi" w:hAnsiTheme="minorHAnsi" w:cstheme="minorHAnsi"/>
          <w:sz w:val="22"/>
        </w:rPr>
        <w:t xml:space="preserve">) for </w:t>
      </w:r>
      <w:r w:rsidR="00056C4E" w:rsidRPr="00056C4E">
        <w:rPr>
          <w:rFonts w:asciiTheme="minorHAnsi" w:hAnsiTheme="minorHAnsi" w:cstheme="minorHAnsi"/>
          <w:sz w:val="22"/>
        </w:rPr>
        <w:t>LTBI</w:t>
      </w:r>
      <w:r w:rsidR="00576821">
        <w:rPr>
          <w:rFonts w:asciiTheme="minorHAnsi" w:hAnsiTheme="minorHAnsi" w:cstheme="minorHAnsi"/>
          <w:sz w:val="22"/>
        </w:rPr>
        <w:t xml:space="preserve"> detection, initially for </w:t>
      </w:r>
      <w:r w:rsidR="00056C4E" w:rsidRPr="00056C4E">
        <w:rPr>
          <w:rFonts w:asciiTheme="minorHAnsi" w:hAnsiTheme="minorHAnsi" w:cstheme="minorHAnsi"/>
          <w:sz w:val="22"/>
        </w:rPr>
        <w:t xml:space="preserve">LTBI among high risk groups like contacts </w:t>
      </w:r>
      <w:r w:rsidR="00576821">
        <w:rPr>
          <w:rFonts w:asciiTheme="minorHAnsi" w:hAnsiTheme="minorHAnsi" w:cstheme="minorHAnsi"/>
          <w:sz w:val="22"/>
        </w:rPr>
        <w:t>and progressively other populations.</w:t>
      </w:r>
      <w:r w:rsidR="00056C4E" w:rsidRPr="00056C4E">
        <w:rPr>
          <w:rFonts w:asciiTheme="minorHAnsi" w:hAnsiTheme="minorHAnsi" w:cstheme="minorHAnsi"/>
          <w:sz w:val="22"/>
        </w:rPr>
        <w:t xml:space="preserve"> </w:t>
      </w:r>
    </w:p>
    <w:p w14:paraId="4C5996E9" w14:textId="4AAD3396" w:rsidR="00056C4E" w:rsidRPr="00056C4E" w:rsidRDefault="00E30BAA" w:rsidP="0030030B">
      <w:pPr>
        <w:spacing w:before="0"/>
        <w:contextualSpacing/>
        <w:jc w:val="both"/>
        <w:rPr>
          <w:rFonts w:asciiTheme="minorHAnsi" w:hAnsiTheme="minorHAnsi" w:cstheme="minorHAnsi"/>
          <w:sz w:val="22"/>
        </w:rPr>
      </w:pPr>
      <w:r>
        <w:rPr>
          <w:rFonts w:asciiTheme="minorHAnsi" w:hAnsiTheme="minorHAnsi" w:cstheme="minorHAnsi"/>
          <w:b/>
          <w:sz w:val="22"/>
        </w:rPr>
        <w:t>3.1.1.5</w:t>
      </w:r>
      <w:r>
        <w:rPr>
          <w:rFonts w:asciiTheme="minorHAnsi" w:hAnsiTheme="minorHAnsi" w:cstheme="minorHAnsi"/>
          <w:sz w:val="22"/>
        </w:rPr>
        <w:t xml:space="preserve"> </w:t>
      </w:r>
      <w:r w:rsidR="00056C4E" w:rsidRPr="00056C4E">
        <w:rPr>
          <w:rFonts w:asciiTheme="minorHAnsi" w:hAnsiTheme="minorHAnsi" w:cstheme="minorHAnsi"/>
          <w:sz w:val="22"/>
        </w:rPr>
        <w:t>Roll out the use of novel skin tests like C</w:t>
      </w:r>
      <w:r w:rsidR="00203D70">
        <w:rPr>
          <w:rFonts w:asciiTheme="minorHAnsi" w:hAnsiTheme="minorHAnsi" w:cstheme="minorHAnsi"/>
          <w:sz w:val="22"/>
        </w:rPr>
        <w:t>-</w:t>
      </w:r>
      <w:r w:rsidR="00056C4E" w:rsidRPr="00056C4E">
        <w:rPr>
          <w:rFonts w:asciiTheme="minorHAnsi" w:hAnsiTheme="minorHAnsi" w:cstheme="minorHAnsi"/>
          <w:sz w:val="22"/>
        </w:rPr>
        <w:t>T</w:t>
      </w:r>
      <w:r w:rsidR="00203D70">
        <w:rPr>
          <w:rFonts w:asciiTheme="minorHAnsi" w:hAnsiTheme="minorHAnsi" w:cstheme="minorHAnsi"/>
          <w:sz w:val="22"/>
        </w:rPr>
        <w:t>b</w:t>
      </w:r>
      <w:r w:rsidR="00056C4E" w:rsidRPr="00056C4E">
        <w:rPr>
          <w:rFonts w:asciiTheme="minorHAnsi" w:hAnsiTheme="minorHAnsi" w:cstheme="minorHAnsi"/>
          <w:sz w:val="22"/>
        </w:rPr>
        <w:t xml:space="preserve"> to support the diagnosis of pediatric TB as a replacement for the conventional PPD based TST. </w:t>
      </w:r>
    </w:p>
    <w:p w14:paraId="23FF3D3E" w14:textId="2969666D" w:rsidR="00056C4E" w:rsidRPr="00056C4E" w:rsidRDefault="0056221C" w:rsidP="0030030B">
      <w:pPr>
        <w:spacing w:before="0"/>
        <w:contextualSpacing/>
        <w:jc w:val="both"/>
        <w:rPr>
          <w:rFonts w:asciiTheme="minorHAnsi" w:hAnsiTheme="minorHAnsi" w:cstheme="minorHAnsi"/>
          <w:sz w:val="22"/>
        </w:rPr>
      </w:pPr>
      <w:r>
        <w:rPr>
          <w:rFonts w:asciiTheme="minorHAnsi" w:hAnsiTheme="minorHAnsi" w:cstheme="minorHAnsi"/>
          <w:b/>
          <w:sz w:val="22"/>
        </w:rPr>
        <w:t>3.1.1.6</w:t>
      </w:r>
      <w:r>
        <w:rPr>
          <w:rFonts w:asciiTheme="minorHAnsi" w:hAnsiTheme="minorHAnsi" w:cstheme="minorHAnsi"/>
          <w:sz w:val="22"/>
        </w:rPr>
        <w:t xml:space="preserve"> </w:t>
      </w:r>
      <w:r w:rsidR="00056C4E" w:rsidRPr="00056C4E">
        <w:rPr>
          <w:rFonts w:asciiTheme="minorHAnsi" w:hAnsiTheme="minorHAnsi" w:cstheme="minorHAnsi"/>
          <w:sz w:val="22"/>
        </w:rPr>
        <w:t xml:space="preserve">Scale up culture follow ups for TB patients (DS, H mono poly and DR TB) by need based augmentation of capacity by provision of MGIT 320 machines to identified high burden districts. </w:t>
      </w:r>
    </w:p>
    <w:p w14:paraId="37A44552" w14:textId="1E9779F9" w:rsidR="00056C4E" w:rsidRDefault="00576821" w:rsidP="0030030B">
      <w:pPr>
        <w:spacing w:before="0"/>
        <w:contextualSpacing/>
        <w:jc w:val="both"/>
        <w:rPr>
          <w:rFonts w:asciiTheme="minorHAnsi" w:hAnsiTheme="minorHAnsi" w:cstheme="minorHAnsi"/>
          <w:sz w:val="22"/>
        </w:rPr>
      </w:pPr>
      <w:r>
        <w:rPr>
          <w:rFonts w:asciiTheme="minorHAnsi" w:hAnsiTheme="minorHAnsi" w:cstheme="minorHAnsi"/>
          <w:b/>
          <w:sz w:val="22"/>
        </w:rPr>
        <w:t>3.1.1</w:t>
      </w:r>
      <w:r w:rsidR="00FD452C">
        <w:rPr>
          <w:rFonts w:asciiTheme="minorHAnsi" w:hAnsiTheme="minorHAnsi" w:cstheme="minorHAnsi"/>
          <w:b/>
          <w:sz w:val="22"/>
        </w:rPr>
        <w:t>.7</w:t>
      </w:r>
      <w:r>
        <w:rPr>
          <w:rFonts w:asciiTheme="minorHAnsi" w:hAnsiTheme="minorHAnsi" w:cstheme="minorHAnsi"/>
          <w:sz w:val="22"/>
        </w:rPr>
        <w:t xml:space="preserve"> </w:t>
      </w:r>
      <w:r w:rsidR="00056C4E" w:rsidRPr="00056C4E">
        <w:rPr>
          <w:rFonts w:asciiTheme="minorHAnsi" w:hAnsiTheme="minorHAnsi" w:cstheme="minorHAnsi"/>
          <w:sz w:val="22"/>
        </w:rPr>
        <w:t xml:space="preserve">Enable access to digital X-Ray for screening presumptive TB cases at the PHI level. Leverage </w:t>
      </w:r>
      <w:r w:rsidR="00203D70">
        <w:rPr>
          <w:rFonts w:asciiTheme="minorHAnsi" w:hAnsiTheme="minorHAnsi" w:cstheme="minorHAnsi"/>
          <w:sz w:val="22"/>
        </w:rPr>
        <w:t>Artificial Intelligence</w:t>
      </w:r>
      <w:r w:rsidR="00056C4E" w:rsidRPr="00056C4E">
        <w:rPr>
          <w:rFonts w:asciiTheme="minorHAnsi" w:hAnsiTheme="minorHAnsi" w:cstheme="minorHAnsi"/>
          <w:sz w:val="22"/>
        </w:rPr>
        <w:t xml:space="preserve"> based tools to increase access to radiology services. Use innovative approaches like linkages with existing private Labs, use of portable (vehicle or back mounted) X-Ray machines, </w:t>
      </w:r>
      <w:r w:rsidRPr="00056C4E">
        <w:rPr>
          <w:rFonts w:asciiTheme="minorHAnsi" w:hAnsiTheme="minorHAnsi" w:cstheme="minorHAnsi"/>
          <w:sz w:val="22"/>
        </w:rPr>
        <w:t>prioritized</w:t>
      </w:r>
      <w:r w:rsidR="00056C4E" w:rsidRPr="00056C4E">
        <w:rPr>
          <w:rFonts w:asciiTheme="minorHAnsi" w:hAnsiTheme="minorHAnsi" w:cstheme="minorHAnsi"/>
          <w:sz w:val="22"/>
        </w:rPr>
        <w:t xml:space="preserve"> repair / procurement of digital X-Ray machines, linkages to free diagnostic schemes etc.</w:t>
      </w:r>
      <w:r w:rsidR="00632745">
        <w:rPr>
          <w:rFonts w:asciiTheme="minorHAnsi" w:hAnsiTheme="minorHAnsi" w:cstheme="minorHAnsi"/>
          <w:sz w:val="22"/>
        </w:rPr>
        <w:t xml:space="preserve"> </w:t>
      </w:r>
    </w:p>
    <w:p w14:paraId="7C8F4002" w14:textId="2800D17F" w:rsidR="00632745" w:rsidRPr="00056C4E" w:rsidRDefault="00632745" w:rsidP="0030030B">
      <w:pPr>
        <w:spacing w:before="0"/>
        <w:contextualSpacing/>
        <w:jc w:val="both"/>
        <w:rPr>
          <w:rFonts w:asciiTheme="minorHAnsi" w:hAnsiTheme="minorHAnsi" w:cstheme="minorHAnsi"/>
          <w:sz w:val="22"/>
        </w:rPr>
      </w:pPr>
      <w:r w:rsidRPr="00632745">
        <w:rPr>
          <w:rFonts w:asciiTheme="minorHAnsi" w:hAnsiTheme="minorHAnsi" w:cstheme="minorHAnsi"/>
          <w:sz w:val="22"/>
        </w:rPr>
        <w:t>3.1.1.8 Introduction of next generation whole genome sequencing to evaluate resistance associated mutations and heteroresistance.</w:t>
      </w:r>
    </w:p>
    <w:p w14:paraId="7D153233" w14:textId="1200AAAB" w:rsidR="00082154" w:rsidRDefault="0066531B" w:rsidP="0030030B">
      <w:pPr>
        <w:pStyle w:val="ListParagraph"/>
        <w:spacing w:before="0"/>
        <w:ind w:left="0"/>
        <w:jc w:val="both"/>
        <w:rPr>
          <w:rFonts w:asciiTheme="minorHAnsi" w:hAnsiTheme="minorHAnsi" w:cstheme="minorHAnsi"/>
          <w:b/>
          <w:sz w:val="22"/>
          <w:lang w:val="en-GB"/>
        </w:rPr>
      </w:pPr>
      <w:r>
        <w:rPr>
          <w:rFonts w:asciiTheme="minorHAnsi" w:hAnsiTheme="minorHAnsi" w:cstheme="minorHAnsi"/>
          <w:b/>
          <w:sz w:val="22"/>
        </w:rPr>
        <w:t>3</w:t>
      </w:r>
      <w:r w:rsidR="00082154" w:rsidRPr="00082154">
        <w:rPr>
          <w:rFonts w:asciiTheme="minorHAnsi" w:hAnsiTheme="minorHAnsi" w:cstheme="minorHAnsi"/>
          <w:b/>
          <w:sz w:val="22"/>
        </w:rPr>
        <w:t>.1.2.</w:t>
      </w:r>
      <w:r w:rsidR="00082154" w:rsidRPr="00082154">
        <w:rPr>
          <w:rFonts w:asciiTheme="minorHAnsi" w:hAnsiTheme="minorHAnsi" w:cstheme="minorHAnsi"/>
          <w:b/>
          <w:sz w:val="22"/>
        </w:rPr>
        <w:tab/>
      </w:r>
      <w:r w:rsidR="00CE2C01">
        <w:rPr>
          <w:rFonts w:asciiTheme="minorHAnsi" w:hAnsiTheme="minorHAnsi" w:cstheme="minorHAnsi"/>
          <w:b/>
          <w:sz w:val="22"/>
          <w:lang w:val="en-GB"/>
        </w:rPr>
        <w:t>Strengthen the laboratory and diagnostic systems</w:t>
      </w:r>
    </w:p>
    <w:p w14:paraId="1AD6F88C" w14:textId="6343252D" w:rsidR="00761BB3" w:rsidRPr="00CE2C01" w:rsidRDefault="00CE2C01" w:rsidP="0030030B">
      <w:pPr>
        <w:pStyle w:val="ListParagraph"/>
        <w:spacing w:before="0" w:after="0"/>
        <w:ind w:left="0"/>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1. </w:t>
      </w:r>
      <w:r w:rsidR="00761BB3" w:rsidRPr="00CE2C01">
        <w:rPr>
          <w:rFonts w:asciiTheme="minorHAnsi" w:hAnsiTheme="minorHAnsi" w:cstheme="minorHAnsi"/>
          <w:sz w:val="22"/>
          <w:lang w:val="en-GB"/>
        </w:rPr>
        <w:t>Update the National TB Lab</w:t>
      </w:r>
      <w:r w:rsidR="00203D70">
        <w:rPr>
          <w:rFonts w:asciiTheme="minorHAnsi" w:hAnsiTheme="minorHAnsi" w:cstheme="minorHAnsi"/>
          <w:sz w:val="22"/>
          <w:lang w:val="en-GB"/>
        </w:rPr>
        <w:t>oratory</w:t>
      </w:r>
      <w:r w:rsidR="00761BB3" w:rsidRPr="00CE2C01">
        <w:rPr>
          <w:rFonts w:asciiTheme="minorHAnsi" w:hAnsiTheme="minorHAnsi" w:cstheme="minorHAnsi"/>
          <w:sz w:val="22"/>
          <w:lang w:val="en-GB"/>
        </w:rPr>
        <w:t xml:space="preserve"> Policy and develop documents for TB Lab Biosafety, Preventive Maintenance and Lab</w:t>
      </w:r>
      <w:r w:rsidR="00203D70">
        <w:rPr>
          <w:rFonts w:asciiTheme="minorHAnsi" w:hAnsiTheme="minorHAnsi" w:cstheme="minorHAnsi"/>
          <w:sz w:val="22"/>
          <w:lang w:val="en-GB"/>
        </w:rPr>
        <w:t>oratory</w:t>
      </w:r>
      <w:r w:rsidR="00761BB3" w:rsidRPr="00CE2C01">
        <w:rPr>
          <w:rFonts w:asciiTheme="minorHAnsi" w:hAnsiTheme="minorHAnsi" w:cstheme="minorHAnsi"/>
          <w:sz w:val="22"/>
          <w:lang w:val="en-GB"/>
        </w:rPr>
        <w:t xml:space="preserve"> Management</w:t>
      </w:r>
    </w:p>
    <w:p w14:paraId="4310AC70" w14:textId="29DE6C7A" w:rsidR="00CE2C01" w:rsidRDefault="00761BB3" w:rsidP="0030030B">
      <w:pPr>
        <w:spacing w:before="0"/>
        <w:contextualSpacing/>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2. </w:t>
      </w:r>
      <w:r w:rsidR="00CE2C01" w:rsidRPr="00CE2C01">
        <w:rPr>
          <w:rFonts w:asciiTheme="minorHAnsi" w:hAnsiTheme="minorHAnsi" w:cstheme="minorHAnsi"/>
          <w:sz w:val="22"/>
          <w:lang w:val="en-GB"/>
        </w:rPr>
        <w:t>Conduct a nation-wide Lab</w:t>
      </w:r>
      <w:r w:rsidR="00203D70">
        <w:rPr>
          <w:rFonts w:asciiTheme="minorHAnsi" w:hAnsiTheme="minorHAnsi" w:cstheme="minorHAnsi"/>
          <w:sz w:val="22"/>
          <w:lang w:val="en-GB"/>
        </w:rPr>
        <w:t>oratory</w:t>
      </w:r>
      <w:r w:rsidR="00CE2C01" w:rsidRPr="00CE2C01">
        <w:rPr>
          <w:rFonts w:asciiTheme="minorHAnsi" w:hAnsiTheme="minorHAnsi" w:cstheme="minorHAnsi"/>
          <w:sz w:val="22"/>
          <w:lang w:val="en-GB"/>
        </w:rPr>
        <w:t xml:space="preserve"> network utilization and optimization assessment to understand </w:t>
      </w:r>
      <w:r w:rsidR="002F5969">
        <w:rPr>
          <w:rFonts w:asciiTheme="minorHAnsi" w:hAnsiTheme="minorHAnsi" w:cstheme="minorHAnsi"/>
          <w:sz w:val="22"/>
          <w:lang w:val="en-GB"/>
        </w:rPr>
        <w:t xml:space="preserve">the </w:t>
      </w:r>
      <w:r w:rsidR="00CE2C01" w:rsidRPr="00CE2C01">
        <w:rPr>
          <w:rFonts w:asciiTheme="minorHAnsi" w:hAnsiTheme="minorHAnsi" w:cstheme="minorHAnsi"/>
          <w:sz w:val="22"/>
          <w:lang w:val="en-GB"/>
        </w:rPr>
        <w:t>work load and rationally deploy appropriate</w:t>
      </w:r>
      <w:r w:rsidR="002F5969">
        <w:rPr>
          <w:rFonts w:asciiTheme="minorHAnsi" w:hAnsiTheme="minorHAnsi" w:cstheme="minorHAnsi"/>
          <w:sz w:val="22"/>
          <w:lang w:val="en-GB"/>
        </w:rPr>
        <w:t xml:space="preserve">, </w:t>
      </w:r>
      <w:r w:rsidR="00CE2C01" w:rsidRPr="00CE2C01">
        <w:rPr>
          <w:rFonts w:asciiTheme="minorHAnsi" w:hAnsiTheme="minorHAnsi" w:cstheme="minorHAnsi"/>
          <w:sz w:val="22"/>
          <w:lang w:val="en-GB"/>
        </w:rPr>
        <w:t>need based technologies</w:t>
      </w:r>
      <w:r w:rsidR="002F5969">
        <w:rPr>
          <w:rFonts w:asciiTheme="minorHAnsi" w:hAnsiTheme="minorHAnsi" w:cstheme="minorHAnsi"/>
          <w:sz w:val="22"/>
          <w:lang w:val="en-GB"/>
        </w:rPr>
        <w:t>.</w:t>
      </w:r>
      <w:r w:rsidR="00CE2C01" w:rsidRPr="00CE2C01">
        <w:rPr>
          <w:rFonts w:asciiTheme="minorHAnsi" w:hAnsiTheme="minorHAnsi" w:cstheme="minorHAnsi"/>
          <w:sz w:val="22"/>
          <w:lang w:val="en-GB"/>
        </w:rPr>
        <w:t xml:space="preserve"> </w:t>
      </w:r>
    </w:p>
    <w:p w14:paraId="4CD31AB7" w14:textId="0029D9E5" w:rsidR="00CE2C01" w:rsidRPr="00CE2C01" w:rsidRDefault="00CE2C01" w:rsidP="0030030B">
      <w:pPr>
        <w:spacing w:before="0"/>
        <w:contextualSpacing/>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3. </w:t>
      </w:r>
      <w:r w:rsidRPr="00CE2C01">
        <w:rPr>
          <w:rFonts w:asciiTheme="minorHAnsi" w:hAnsiTheme="minorHAnsi" w:cstheme="minorHAnsi"/>
          <w:sz w:val="22"/>
          <w:lang w:val="en-GB"/>
        </w:rPr>
        <w:t>Build capacity of existing network for detection of Zoonotic TB, LTBI and NTM using conventional and molecular technologies</w:t>
      </w:r>
      <w:r w:rsidR="00203D70" w:rsidRPr="00203D70">
        <w:t xml:space="preserve"> </w:t>
      </w:r>
      <w:r w:rsidR="00203D70" w:rsidRPr="00203D70">
        <w:rPr>
          <w:rFonts w:asciiTheme="minorHAnsi" w:hAnsiTheme="minorHAnsi" w:cstheme="minorHAnsi"/>
          <w:sz w:val="22"/>
          <w:lang w:val="en-GB"/>
        </w:rPr>
        <w:t>and establish collaborations with national institutes with expertise in these areas.</w:t>
      </w:r>
    </w:p>
    <w:p w14:paraId="59B4C8E1" w14:textId="424D54B2" w:rsidR="00CE2C01" w:rsidRPr="00CE2C01" w:rsidRDefault="00CE2C01" w:rsidP="0030030B">
      <w:pPr>
        <w:spacing w:before="0"/>
        <w:contextualSpacing/>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4. </w:t>
      </w:r>
      <w:r w:rsidR="00761BB3">
        <w:rPr>
          <w:rFonts w:asciiTheme="minorHAnsi" w:hAnsiTheme="minorHAnsi" w:cstheme="minorHAnsi"/>
          <w:sz w:val="22"/>
          <w:lang w:val="en-GB"/>
        </w:rPr>
        <w:t>Identify</w:t>
      </w:r>
      <w:r w:rsidRPr="00CE2C01">
        <w:rPr>
          <w:rFonts w:asciiTheme="minorHAnsi" w:hAnsiTheme="minorHAnsi" w:cstheme="minorHAnsi"/>
          <w:sz w:val="22"/>
          <w:lang w:val="en-GB"/>
        </w:rPr>
        <w:t xml:space="preserve"> sustainable measures and models for timely, effective </w:t>
      </w:r>
      <w:r w:rsidR="00AF41B5">
        <w:rPr>
          <w:rFonts w:asciiTheme="minorHAnsi" w:hAnsiTheme="minorHAnsi" w:cstheme="minorHAnsi"/>
          <w:sz w:val="22"/>
          <w:lang w:val="en-GB"/>
        </w:rPr>
        <w:t>and</w:t>
      </w:r>
      <w:r w:rsidRPr="00CE2C01">
        <w:rPr>
          <w:rFonts w:asciiTheme="minorHAnsi" w:hAnsiTheme="minorHAnsi" w:cstheme="minorHAnsi"/>
          <w:sz w:val="22"/>
          <w:lang w:val="en-GB"/>
        </w:rPr>
        <w:t xml:space="preserve"> eco-friendly specimen transport mechanisms.</w:t>
      </w:r>
    </w:p>
    <w:p w14:paraId="30A21A92" w14:textId="40A0E1DC" w:rsidR="00761BB3" w:rsidRPr="00CE2C01" w:rsidRDefault="002959ED" w:rsidP="0030030B">
      <w:pPr>
        <w:spacing w:before="0"/>
        <w:contextualSpacing/>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5. </w:t>
      </w:r>
      <w:r w:rsidR="00CE2C01" w:rsidRPr="002959ED">
        <w:rPr>
          <w:rFonts w:asciiTheme="minorHAnsi" w:hAnsiTheme="minorHAnsi" w:cstheme="minorHAnsi"/>
          <w:sz w:val="22"/>
          <w:lang w:val="en-GB"/>
        </w:rPr>
        <w:t>Urgently identify and enable ICT based solutions for seamless connectivity of all peripherally placed diagnostic technologies to Nikshay.</w:t>
      </w:r>
      <w:r w:rsidR="00761BB3">
        <w:rPr>
          <w:rFonts w:asciiTheme="minorHAnsi" w:hAnsiTheme="minorHAnsi" w:cstheme="minorHAnsi"/>
          <w:sz w:val="22"/>
          <w:lang w:val="en-GB"/>
        </w:rPr>
        <w:t xml:space="preserve"> Initiate</w:t>
      </w:r>
      <w:r w:rsidR="00761BB3" w:rsidRPr="00CE2C01">
        <w:rPr>
          <w:rFonts w:asciiTheme="minorHAnsi" w:hAnsiTheme="minorHAnsi" w:cstheme="minorHAnsi"/>
          <w:sz w:val="22"/>
          <w:lang w:val="en-GB"/>
        </w:rPr>
        <w:t xml:space="preserve"> steps to harness available and upcoming telemedicine and artificial intelligence (AI) based tools. </w:t>
      </w:r>
    </w:p>
    <w:p w14:paraId="632C2203" w14:textId="56776A01" w:rsidR="00CE2C01" w:rsidRPr="002959ED" w:rsidRDefault="002959ED" w:rsidP="0030030B">
      <w:pPr>
        <w:spacing w:before="0"/>
        <w:contextualSpacing/>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6. </w:t>
      </w:r>
      <w:r w:rsidR="00BA5B2C">
        <w:rPr>
          <w:rFonts w:asciiTheme="minorHAnsi" w:hAnsiTheme="minorHAnsi" w:cstheme="minorHAnsi"/>
          <w:sz w:val="22"/>
          <w:lang w:val="en-GB"/>
        </w:rPr>
        <w:t>Establishment of one</w:t>
      </w:r>
      <w:r w:rsidR="00CE2C01" w:rsidRPr="002959ED">
        <w:rPr>
          <w:rFonts w:asciiTheme="minorHAnsi" w:hAnsiTheme="minorHAnsi" w:cstheme="minorHAnsi"/>
          <w:sz w:val="22"/>
          <w:lang w:val="en-GB"/>
        </w:rPr>
        <w:t xml:space="preserve"> Nodal Centre for analytics for </w:t>
      </w:r>
      <w:r w:rsidR="00203D70">
        <w:rPr>
          <w:rFonts w:asciiTheme="minorHAnsi" w:hAnsiTheme="minorHAnsi" w:cstheme="minorHAnsi"/>
          <w:sz w:val="22"/>
          <w:lang w:val="en-GB"/>
        </w:rPr>
        <w:t>Whole Genome Sequencing (</w:t>
      </w:r>
      <w:r w:rsidR="00CE2C01" w:rsidRPr="002959ED">
        <w:rPr>
          <w:rFonts w:asciiTheme="minorHAnsi" w:hAnsiTheme="minorHAnsi" w:cstheme="minorHAnsi"/>
          <w:sz w:val="22"/>
          <w:lang w:val="en-GB"/>
        </w:rPr>
        <w:t>WGS</w:t>
      </w:r>
      <w:r w:rsidR="00203D70">
        <w:rPr>
          <w:rFonts w:asciiTheme="minorHAnsi" w:hAnsiTheme="minorHAnsi" w:cstheme="minorHAnsi"/>
          <w:sz w:val="22"/>
          <w:lang w:val="en-GB"/>
        </w:rPr>
        <w:t>)</w:t>
      </w:r>
      <w:r w:rsidR="00CE2C01" w:rsidRPr="002959ED">
        <w:rPr>
          <w:rFonts w:asciiTheme="minorHAnsi" w:hAnsiTheme="minorHAnsi" w:cstheme="minorHAnsi"/>
          <w:sz w:val="22"/>
          <w:lang w:val="en-GB"/>
        </w:rPr>
        <w:t xml:space="preserve">, therapeutic drug monitoring and a central repository for Mycobacteria. </w:t>
      </w:r>
    </w:p>
    <w:p w14:paraId="3B0AAA3F" w14:textId="2B734FF4" w:rsidR="00CE2C01" w:rsidRPr="002959ED" w:rsidRDefault="002959ED" w:rsidP="0030030B">
      <w:pPr>
        <w:spacing w:before="0"/>
        <w:contextualSpacing/>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7. </w:t>
      </w:r>
      <w:r w:rsidR="00CE2C01" w:rsidRPr="002959ED">
        <w:rPr>
          <w:rFonts w:asciiTheme="minorHAnsi" w:hAnsiTheme="minorHAnsi" w:cstheme="minorHAnsi"/>
          <w:sz w:val="22"/>
          <w:lang w:val="en-GB"/>
        </w:rPr>
        <w:t xml:space="preserve">Expanding coverage of NABL accreditation and certification for the entire Lab network in India.  </w:t>
      </w:r>
    </w:p>
    <w:p w14:paraId="233202B0" w14:textId="0D3C8026" w:rsidR="00CE2C01" w:rsidRPr="002959ED" w:rsidRDefault="002F5969" w:rsidP="0030030B">
      <w:pPr>
        <w:spacing w:before="0"/>
        <w:contextualSpacing/>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8. </w:t>
      </w:r>
      <w:r w:rsidR="00CE2C01" w:rsidRPr="002959ED">
        <w:rPr>
          <w:rFonts w:asciiTheme="minorHAnsi" w:hAnsiTheme="minorHAnsi" w:cstheme="minorHAnsi"/>
          <w:sz w:val="22"/>
          <w:lang w:val="en-GB"/>
        </w:rPr>
        <w:t xml:space="preserve">Expansion of EQA to cover all NAAT technologies to be scaled up. </w:t>
      </w:r>
    </w:p>
    <w:p w14:paraId="38C7CA13" w14:textId="3A9F6E83" w:rsidR="002F5969" w:rsidRDefault="002F5969" w:rsidP="0030030B">
      <w:pPr>
        <w:spacing w:before="0"/>
        <w:contextualSpacing/>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9. </w:t>
      </w:r>
      <w:r w:rsidR="00CE2C01" w:rsidRPr="002959ED">
        <w:rPr>
          <w:rFonts w:asciiTheme="minorHAnsi" w:hAnsiTheme="minorHAnsi" w:cstheme="minorHAnsi"/>
          <w:sz w:val="22"/>
          <w:lang w:val="en-GB"/>
        </w:rPr>
        <w:t xml:space="preserve">Capacity building of the programme/lab staff for in house equipment Calibration and maintenance activities </w:t>
      </w:r>
    </w:p>
    <w:p w14:paraId="2DD2D1B7" w14:textId="42BA2A45" w:rsidR="00CE2C01" w:rsidRPr="00CE2C01" w:rsidRDefault="002F5969" w:rsidP="0030030B">
      <w:pPr>
        <w:spacing w:before="0"/>
        <w:contextualSpacing/>
        <w:jc w:val="both"/>
        <w:rPr>
          <w:rFonts w:asciiTheme="minorHAnsi" w:hAnsiTheme="minorHAnsi" w:cstheme="minorHAnsi"/>
          <w:sz w:val="22"/>
          <w:lang w:val="en-GB"/>
        </w:rPr>
      </w:pPr>
      <w:r>
        <w:rPr>
          <w:rFonts w:asciiTheme="minorHAnsi" w:hAnsiTheme="minorHAnsi" w:cstheme="minorHAnsi"/>
          <w:b/>
          <w:sz w:val="22"/>
        </w:rPr>
        <w:t>3</w:t>
      </w:r>
      <w:r w:rsidRPr="00082154">
        <w:rPr>
          <w:rFonts w:asciiTheme="minorHAnsi" w:hAnsiTheme="minorHAnsi" w:cstheme="minorHAnsi"/>
          <w:b/>
          <w:sz w:val="22"/>
        </w:rPr>
        <w:t>.1.2.</w:t>
      </w:r>
      <w:r>
        <w:rPr>
          <w:rFonts w:asciiTheme="minorHAnsi" w:hAnsiTheme="minorHAnsi" w:cstheme="minorHAnsi"/>
          <w:b/>
          <w:sz w:val="22"/>
        </w:rPr>
        <w:t xml:space="preserve">10. </w:t>
      </w:r>
      <w:r w:rsidR="00CE2C01" w:rsidRPr="00CE2C01">
        <w:rPr>
          <w:rFonts w:asciiTheme="minorHAnsi" w:hAnsiTheme="minorHAnsi" w:cstheme="minorHAnsi"/>
          <w:sz w:val="22"/>
          <w:lang w:val="en-GB"/>
        </w:rPr>
        <w:t xml:space="preserve">Make provision for an in-house Bio Medical Engineer for the C-DST Labs </w:t>
      </w:r>
    </w:p>
    <w:p w14:paraId="31FE2A31" w14:textId="3BA1C3DF" w:rsidR="00E70232" w:rsidRDefault="00E70232" w:rsidP="0030030B">
      <w:pPr>
        <w:pStyle w:val="ListParagraph"/>
        <w:spacing w:before="0" w:after="0"/>
        <w:ind w:left="0"/>
        <w:jc w:val="both"/>
        <w:rPr>
          <w:rFonts w:asciiTheme="minorHAnsi" w:hAnsiTheme="minorHAnsi" w:cstheme="minorHAnsi"/>
          <w:b/>
          <w:sz w:val="22"/>
        </w:rPr>
      </w:pPr>
      <w:r>
        <w:rPr>
          <w:rFonts w:asciiTheme="minorHAnsi" w:hAnsiTheme="minorHAnsi" w:cstheme="minorHAnsi"/>
          <w:b/>
          <w:sz w:val="22"/>
        </w:rPr>
        <w:lastRenderedPageBreak/>
        <w:t>3.</w:t>
      </w:r>
      <w:r w:rsidR="00145A37">
        <w:rPr>
          <w:rFonts w:asciiTheme="minorHAnsi" w:hAnsiTheme="minorHAnsi" w:cstheme="minorHAnsi"/>
          <w:b/>
          <w:sz w:val="22"/>
        </w:rPr>
        <w:t>1</w:t>
      </w:r>
      <w:r>
        <w:rPr>
          <w:rFonts w:asciiTheme="minorHAnsi" w:hAnsiTheme="minorHAnsi" w:cstheme="minorHAnsi"/>
          <w:b/>
          <w:sz w:val="22"/>
        </w:rPr>
        <w:t>.</w:t>
      </w:r>
      <w:r w:rsidR="00145A37">
        <w:rPr>
          <w:rFonts w:asciiTheme="minorHAnsi" w:hAnsiTheme="minorHAnsi" w:cstheme="minorHAnsi"/>
          <w:b/>
          <w:sz w:val="22"/>
        </w:rPr>
        <w:t>3</w:t>
      </w:r>
      <w:r>
        <w:rPr>
          <w:rFonts w:asciiTheme="minorHAnsi" w:hAnsiTheme="minorHAnsi" w:cstheme="minorHAnsi"/>
          <w:b/>
          <w:sz w:val="22"/>
        </w:rPr>
        <w:t xml:space="preserve"> Strengthen e</w:t>
      </w:r>
      <w:r w:rsidR="00E94689">
        <w:rPr>
          <w:rFonts w:asciiTheme="minorHAnsi" w:hAnsiTheme="minorHAnsi" w:cstheme="minorHAnsi"/>
          <w:b/>
          <w:sz w:val="22"/>
        </w:rPr>
        <w:t>fficient specimen transport to</w:t>
      </w:r>
      <w:r w:rsidRPr="00680C3F">
        <w:rPr>
          <w:rFonts w:asciiTheme="minorHAnsi" w:hAnsiTheme="minorHAnsi" w:cstheme="minorHAnsi"/>
          <w:b/>
          <w:sz w:val="22"/>
        </w:rPr>
        <w:t xml:space="preserve"> improve TB detection</w:t>
      </w:r>
    </w:p>
    <w:p w14:paraId="7EA555AA" w14:textId="7CF0161D" w:rsidR="00E70232" w:rsidRPr="00680C3F" w:rsidRDefault="00E70232" w:rsidP="0030030B">
      <w:pPr>
        <w:spacing w:before="0" w:after="0"/>
        <w:jc w:val="both"/>
        <w:rPr>
          <w:rFonts w:asciiTheme="minorHAnsi" w:hAnsiTheme="minorHAnsi" w:cstheme="minorHAnsi"/>
          <w:sz w:val="22"/>
        </w:rPr>
      </w:pPr>
      <w:r>
        <w:rPr>
          <w:rFonts w:asciiTheme="minorHAnsi" w:hAnsiTheme="minorHAnsi" w:cstheme="minorHAnsi"/>
          <w:sz w:val="22"/>
        </w:rPr>
        <w:t>3.</w:t>
      </w:r>
      <w:r w:rsidR="00145A37">
        <w:rPr>
          <w:rFonts w:asciiTheme="minorHAnsi" w:hAnsiTheme="minorHAnsi" w:cstheme="minorHAnsi"/>
          <w:sz w:val="22"/>
        </w:rPr>
        <w:t xml:space="preserve">1.3.1 </w:t>
      </w:r>
      <w:r w:rsidRPr="00680C3F">
        <w:rPr>
          <w:rFonts w:asciiTheme="minorHAnsi" w:hAnsiTheme="minorHAnsi" w:cstheme="minorHAnsi"/>
          <w:sz w:val="22"/>
        </w:rPr>
        <w:t>Monitor and document key performance indicators for specimen referral and results reporting, especially turnaround times. Initiate corrective actions to minimize TATs for referral for NAAT, LPA, culture, and DST</w:t>
      </w:r>
    </w:p>
    <w:p w14:paraId="27D45FFB" w14:textId="08C19446" w:rsidR="00E70232" w:rsidRPr="00680C3F" w:rsidRDefault="00E70232" w:rsidP="0030030B">
      <w:pPr>
        <w:spacing w:before="0" w:after="0"/>
        <w:jc w:val="both"/>
        <w:rPr>
          <w:rFonts w:asciiTheme="minorHAnsi" w:hAnsiTheme="minorHAnsi" w:cstheme="minorHAnsi"/>
          <w:sz w:val="22"/>
        </w:rPr>
      </w:pPr>
      <w:r>
        <w:rPr>
          <w:rFonts w:asciiTheme="minorHAnsi" w:hAnsiTheme="minorHAnsi" w:cstheme="minorHAnsi"/>
          <w:sz w:val="22"/>
        </w:rPr>
        <w:t>3.</w:t>
      </w:r>
      <w:r w:rsidR="00145A37">
        <w:rPr>
          <w:rFonts w:asciiTheme="minorHAnsi" w:hAnsiTheme="minorHAnsi" w:cstheme="minorHAnsi"/>
          <w:sz w:val="22"/>
        </w:rPr>
        <w:t>1</w:t>
      </w:r>
      <w:r>
        <w:rPr>
          <w:rFonts w:asciiTheme="minorHAnsi" w:hAnsiTheme="minorHAnsi" w:cstheme="minorHAnsi"/>
          <w:sz w:val="22"/>
        </w:rPr>
        <w:t>.</w:t>
      </w:r>
      <w:r w:rsidR="00145A37">
        <w:rPr>
          <w:rFonts w:asciiTheme="minorHAnsi" w:hAnsiTheme="minorHAnsi" w:cstheme="minorHAnsi"/>
          <w:sz w:val="22"/>
        </w:rPr>
        <w:t>3</w:t>
      </w:r>
      <w:r>
        <w:rPr>
          <w:rFonts w:asciiTheme="minorHAnsi" w:hAnsiTheme="minorHAnsi" w:cstheme="minorHAnsi"/>
          <w:sz w:val="22"/>
        </w:rPr>
        <w:t>.</w:t>
      </w:r>
      <w:r w:rsidR="00145A37">
        <w:rPr>
          <w:rFonts w:asciiTheme="minorHAnsi" w:hAnsiTheme="minorHAnsi" w:cstheme="minorHAnsi"/>
          <w:sz w:val="22"/>
        </w:rPr>
        <w:t xml:space="preserve">2 </w:t>
      </w:r>
      <w:r w:rsidRPr="00680C3F">
        <w:rPr>
          <w:rFonts w:asciiTheme="minorHAnsi" w:hAnsiTheme="minorHAnsi" w:cstheme="minorHAnsi"/>
          <w:sz w:val="22"/>
        </w:rPr>
        <w:t xml:space="preserve">Perform a network optimization study of the specimen referral and results reporting system </w:t>
      </w:r>
    </w:p>
    <w:p w14:paraId="1972F887" w14:textId="77777777" w:rsidR="00E70232" w:rsidRPr="00680C3F" w:rsidRDefault="00E70232" w:rsidP="009136E5">
      <w:pPr>
        <w:pStyle w:val="ListParagraph"/>
        <w:numPr>
          <w:ilvl w:val="0"/>
          <w:numId w:val="70"/>
        </w:numPr>
        <w:spacing w:before="0" w:after="0"/>
        <w:jc w:val="both"/>
        <w:rPr>
          <w:rFonts w:asciiTheme="minorHAnsi" w:hAnsiTheme="minorHAnsi" w:cstheme="minorHAnsi"/>
          <w:sz w:val="22"/>
        </w:rPr>
      </w:pPr>
      <w:r w:rsidRPr="00680C3F">
        <w:rPr>
          <w:rFonts w:asciiTheme="minorHAnsi" w:hAnsiTheme="minorHAnsi" w:cstheme="minorHAnsi"/>
          <w:sz w:val="22"/>
        </w:rPr>
        <w:t>Use network planning, simulation or optimization tools for design and planning with an emphasis on access to services and patient flow through the diagnostics cascade</w:t>
      </w:r>
    </w:p>
    <w:p w14:paraId="6AB50C70" w14:textId="77777777" w:rsidR="00E70232" w:rsidRPr="00680C3F" w:rsidRDefault="00E70232" w:rsidP="009136E5">
      <w:pPr>
        <w:pStyle w:val="ListParagraph"/>
        <w:numPr>
          <w:ilvl w:val="0"/>
          <w:numId w:val="70"/>
        </w:numPr>
        <w:spacing w:before="0" w:after="0"/>
        <w:jc w:val="both"/>
        <w:rPr>
          <w:rFonts w:asciiTheme="minorHAnsi" w:hAnsiTheme="minorHAnsi" w:cstheme="minorHAnsi"/>
          <w:sz w:val="22"/>
        </w:rPr>
      </w:pPr>
      <w:r w:rsidRPr="00680C3F">
        <w:rPr>
          <w:rFonts w:asciiTheme="minorHAnsi" w:hAnsiTheme="minorHAnsi" w:cstheme="minorHAnsi"/>
          <w:sz w:val="22"/>
        </w:rPr>
        <w:t>The optimal specimen referral pathway may vary by geography and local epidemiology and infrastructure</w:t>
      </w:r>
    </w:p>
    <w:p w14:paraId="3EAB03C6" w14:textId="0228DE35" w:rsidR="00E70232" w:rsidRPr="00680C3F" w:rsidRDefault="00145A37" w:rsidP="0030030B">
      <w:pPr>
        <w:spacing w:before="0" w:after="0"/>
        <w:jc w:val="both"/>
        <w:rPr>
          <w:rFonts w:asciiTheme="minorHAnsi" w:hAnsiTheme="minorHAnsi" w:cstheme="minorHAnsi"/>
          <w:sz w:val="22"/>
        </w:rPr>
      </w:pPr>
      <w:r>
        <w:rPr>
          <w:rFonts w:asciiTheme="minorHAnsi" w:hAnsiTheme="minorHAnsi" w:cstheme="minorHAnsi"/>
          <w:sz w:val="22"/>
        </w:rPr>
        <w:t>3.1</w:t>
      </w:r>
      <w:r w:rsidR="00E70232">
        <w:rPr>
          <w:rFonts w:asciiTheme="minorHAnsi" w:hAnsiTheme="minorHAnsi" w:cstheme="minorHAnsi"/>
          <w:sz w:val="22"/>
        </w:rPr>
        <w:t>.</w:t>
      </w:r>
      <w:r>
        <w:rPr>
          <w:rFonts w:asciiTheme="minorHAnsi" w:hAnsiTheme="minorHAnsi" w:cstheme="minorHAnsi"/>
          <w:sz w:val="22"/>
        </w:rPr>
        <w:t>3</w:t>
      </w:r>
      <w:r w:rsidR="00E70232">
        <w:rPr>
          <w:rFonts w:asciiTheme="minorHAnsi" w:hAnsiTheme="minorHAnsi" w:cstheme="minorHAnsi"/>
          <w:sz w:val="22"/>
        </w:rPr>
        <w:t>.</w:t>
      </w:r>
      <w:r>
        <w:rPr>
          <w:rFonts w:asciiTheme="minorHAnsi" w:hAnsiTheme="minorHAnsi" w:cstheme="minorHAnsi"/>
          <w:sz w:val="22"/>
        </w:rPr>
        <w:t>3</w:t>
      </w:r>
      <w:r w:rsidR="00E70232">
        <w:rPr>
          <w:rFonts w:asciiTheme="minorHAnsi" w:hAnsiTheme="minorHAnsi" w:cstheme="minorHAnsi"/>
          <w:sz w:val="22"/>
        </w:rPr>
        <w:t xml:space="preserve"> </w:t>
      </w:r>
      <w:r w:rsidR="00E70232" w:rsidRPr="00680C3F">
        <w:rPr>
          <w:rFonts w:asciiTheme="minorHAnsi" w:hAnsiTheme="minorHAnsi" w:cstheme="minorHAnsi"/>
          <w:sz w:val="22"/>
        </w:rPr>
        <w:t>Explore the use of the PPSA model to facilitate specimen collection and transport for NAAT and other testing (e.g., LPA, culture, DST)</w:t>
      </w:r>
    </w:p>
    <w:p w14:paraId="41BC89AA" w14:textId="56017265" w:rsidR="00E70232" w:rsidRPr="00591252" w:rsidRDefault="00E70232" w:rsidP="00B56545">
      <w:pPr>
        <w:spacing w:before="0"/>
        <w:jc w:val="both"/>
        <w:rPr>
          <w:rFonts w:asciiTheme="minorHAnsi" w:hAnsiTheme="minorHAnsi" w:cstheme="minorHAnsi"/>
          <w:sz w:val="22"/>
        </w:rPr>
      </w:pPr>
      <w:r>
        <w:rPr>
          <w:rFonts w:asciiTheme="minorHAnsi" w:hAnsiTheme="minorHAnsi" w:cstheme="minorHAnsi"/>
          <w:sz w:val="22"/>
        </w:rPr>
        <w:t>3.</w:t>
      </w:r>
      <w:r w:rsidR="00145A37">
        <w:rPr>
          <w:rFonts w:asciiTheme="minorHAnsi" w:hAnsiTheme="minorHAnsi" w:cstheme="minorHAnsi"/>
          <w:sz w:val="22"/>
        </w:rPr>
        <w:t>1</w:t>
      </w:r>
      <w:r>
        <w:rPr>
          <w:rFonts w:asciiTheme="minorHAnsi" w:hAnsiTheme="minorHAnsi" w:cstheme="minorHAnsi"/>
          <w:sz w:val="22"/>
        </w:rPr>
        <w:t>.</w:t>
      </w:r>
      <w:r w:rsidR="00145A37">
        <w:rPr>
          <w:rFonts w:asciiTheme="minorHAnsi" w:hAnsiTheme="minorHAnsi" w:cstheme="minorHAnsi"/>
          <w:sz w:val="22"/>
        </w:rPr>
        <w:t>3</w:t>
      </w:r>
      <w:r>
        <w:rPr>
          <w:rFonts w:asciiTheme="minorHAnsi" w:hAnsiTheme="minorHAnsi" w:cstheme="minorHAnsi"/>
          <w:sz w:val="22"/>
        </w:rPr>
        <w:t xml:space="preserve">.4 </w:t>
      </w:r>
      <w:r w:rsidRPr="00680C3F">
        <w:rPr>
          <w:rFonts w:asciiTheme="minorHAnsi" w:hAnsiTheme="minorHAnsi" w:cstheme="minorHAnsi"/>
          <w:sz w:val="22"/>
        </w:rPr>
        <w:t xml:space="preserve">Streamline the specimen collection process </w:t>
      </w:r>
      <w:r>
        <w:rPr>
          <w:rFonts w:asciiTheme="minorHAnsi" w:hAnsiTheme="minorHAnsi" w:cstheme="minorHAnsi"/>
          <w:sz w:val="22"/>
        </w:rPr>
        <w:t xml:space="preserve">to ensure </w:t>
      </w:r>
      <w:r w:rsidR="00203D70">
        <w:rPr>
          <w:rFonts w:asciiTheme="minorHAnsi" w:hAnsiTheme="minorHAnsi" w:cstheme="minorHAnsi"/>
          <w:sz w:val="22"/>
        </w:rPr>
        <w:t xml:space="preserve">that </w:t>
      </w:r>
      <w:r>
        <w:rPr>
          <w:rFonts w:asciiTheme="minorHAnsi" w:hAnsiTheme="minorHAnsi" w:cstheme="minorHAnsi"/>
          <w:sz w:val="22"/>
        </w:rPr>
        <w:t>there is minimal</w:t>
      </w:r>
      <w:r w:rsidRPr="00591252">
        <w:rPr>
          <w:rFonts w:asciiTheme="minorHAnsi" w:hAnsiTheme="minorHAnsi" w:cstheme="minorHAnsi"/>
          <w:sz w:val="22"/>
        </w:rPr>
        <w:t xml:space="preserve"> number of visits needed to get </w:t>
      </w:r>
      <w:r w:rsidR="00203D70">
        <w:rPr>
          <w:rFonts w:asciiTheme="minorHAnsi" w:hAnsiTheme="minorHAnsi" w:cstheme="minorHAnsi"/>
          <w:sz w:val="22"/>
        </w:rPr>
        <w:t>the</w:t>
      </w:r>
      <w:r w:rsidRPr="00591252">
        <w:rPr>
          <w:rFonts w:asciiTheme="minorHAnsi" w:hAnsiTheme="minorHAnsi" w:cstheme="minorHAnsi"/>
          <w:sz w:val="22"/>
        </w:rPr>
        <w:t xml:space="preserve"> diagnosis and NAAT</w:t>
      </w:r>
      <w:r>
        <w:rPr>
          <w:rFonts w:asciiTheme="minorHAnsi" w:hAnsiTheme="minorHAnsi" w:cstheme="minorHAnsi"/>
          <w:sz w:val="22"/>
        </w:rPr>
        <w:t xml:space="preserve">. This will involve </w:t>
      </w:r>
      <w:r w:rsidRPr="00591252">
        <w:rPr>
          <w:rFonts w:asciiTheme="minorHAnsi" w:hAnsiTheme="minorHAnsi" w:cstheme="minorHAnsi"/>
          <w:sz w:val="22"/>
        </w:rPr>
        <w:t xml:space="preserve">collecting specimens for smear microscopy; storing all specimens while smear testing is </w:t>
      </w:r>
      <w:r w:rsidR="00203D70" w:rsidRPr="00591252">
        <w:rPr>
          <w:rFonts w:asciiTheme="minorHAnsi" w:hAnsiTheme="minorHAnsi" w:cstheme="minorHAnsi"/>
          <w:sz w:val="22"/>
        </w:rPr>
        <w:t>done and</w:t>
      </w:r>
      <w:r w:rsidRPr="00591252">
        <w:rPr>
          <w:rFonts w:asciiTheme="minorHAnsi" w:hAnsiTheme="minorHAnsi" w:cstheme="minorHAnsi"/>
          <w:sz w:val="22"/>
        </w:rPr>
        <w:t xml:space="preserve"> sending the stored specimen to the CBNAAT site for any newly diagnosed smear-positive patient</w:t>
      </w:r>
      <w:r>
        <w:rPr>
          <w:rFonts w:asciiTheme="minorHAnsi" w:hAnsiTheme="minorHAnsi" w:cstheme="minorHAnsi"/>
          <w:sz w:val="22"/>
        </w:rPr>
        <w:t xml:space="preserve">. </w:t>
      </w:r>
      <w:r w:rsidRPr="00591252">
        <w:rPr>
          <w:rFonts w:asciiTheme="minorHAnsi" w:hAnsiTheme="minorHAnsi" w:cstheme="minorHAnsi"/>
          <w:sz w:val="22"/>
        </w:rPr>
        <w:t xml:space="preserve">Conduct training to ensure capacity and competency for collection of quality sputum specimens and specimens from children and presumptive EP-TB </w:t>
      </w:r>
    </w:p>
    <w:p w14:paraId="44E6DEB6" w14:textId="0EB80FE1" w:rsidR="00B56545" w:rsidRDefault="00B56545" w:rsidP="00B56545">
      <w:pPr>
        <w:pStyle w:val="ListParagraph"/>
        <w:spacing w:before="0"/>
        <w:ind w:left="0"/>
        <w:jc w:val="both"/>
        <w:rPr>
          <w:rFonts w:asciiTheme="minorHAnsi" w:hAnsiTheme="minorHAnsi" w:cstheme="minorHAnsi"/>
          <w:b/>
          <w:sz w:val="22"/>
          <w:lang w:val="en-GB"/>
        </w:rPr>
      </w:pPr>
      <w:r>
        <w:rPr>
          <w:rFonts w:asciiTheme="minorHAnsi" w:hAnsiTheme="minorHAnsi" w:cstheme="minorHAnsi"/>
          <w:b/>
          <w:sz w:val="22"/>
        </w:rPr>
        <w:t>3.1.4</w:t>
      </w:r>
      <w:r w:rsidRPr="00082154">
        <w:rPr>
          <w:rFonts w:asciiTheme="minorHAnsi" w:hAnsiTheme="minorHAnsi" w:cstheme="minorHAnsi"/>
          <w:b/>
          <w:sz w:val="22"/>
        </w:rPr>
        <w:t>.</w:t>
      </w:r>
      <w:r w:rsidRPr="00082154">
        <w:rPr>
          <w:rFonts w:asciiTheme="minorHAnsi" w:hAnsiTheme="minorHAnsi" w:cstheme="minorHAnsi"/>
          <w:b/>
          <w:sz w:val="22"/>
        </w:rPr>
        <w:tab/>
      </w:r>
      <w:r>
        <w:rPr>
          <w:rFonts w:asciiTheme="minorHAnsi" w:hAnsiTheme="minorHAnsi" w:cstheme="minorHAnsi"/>
          <w:b/>
          <w:sz w:val="22"/>
        </w:rPr>
        <w:t xml:space="preserve">Enhance </w:t>
      </w:r>
      <w:r w:rsidRPr="00B56545">
        <w:rPr>
          <w:rFonts w:asciiTheme="minorHAnsi" w:hAnsiTheme="minorHAnsi" w:cstheme="minorHAnsi"/>
          <w:b/>
          <w:sz w:val="22"/>
        </w:rPr>
        <w:t>biosafety and biosecurity</w:t>
      </w:r>
      <w:r>
        <w:rPr>
          <w:rFonts w:asciiTheme="minorHAnsi" w:hAnsiTheme="minorHAnsi" w:cstheme="minorHAnsi"/>
          <w:b/>
          <w:sz w:val="22"/>
        </w:rPr>
        <w:t xml:space="preserve"> </w:t>
      </w:r>
      <w:r>
        <w:rPr>
          <w:rFonts w:asciiTheme="minorHAnsi" w:hAnsiTheme="minorHAnsi" w:cstheme="minorHAnsi"/>
          <w:b/>
          <w:sz w:val="22"/>
          <w:lang w:val="en-GB"/>
        </w:rPr>
        <w:t>in TB diagnostic labs</w:t>
      </w:r>
      <w:r w:rsidR="00095BCF">
        <w:rPr>
          <w:rFonts w:asciiTheme="minorHAnsi" w:hAnsiTheme="minorHAnsi" w:cstheme="minorHAnsi"/>
          <w:b/>
          <w:sz w:val="22"/>
          <w:lang w:val="en-GB"/>
        </w:rPr>
        <w:t xml:space="preserve">- </w:t>
      </w:r>
      <w:bookmarkStart w:id="66" w:name="_Hlk42618409"/>
      <w:r w:rsidR="00095BCF">
        <w:rPr>
          <w:rFonts w:ascii="Calibri" w:hAnsi="Calibri" w:cs="Calibri"/>
          <w:b/>
          <w:color w:val="000000"/>
          <w:sz w:val="22"/>
        </w:rPr>
        <w:t>Biosafety audit to be undertaken in all TB diagnostic labs</w:t>
      </w:r>
      <w:bookmarkEnd w:id="66"/>
    </w:p>
    <w:p w14:paraId="2D482CAE" w14:textId="77777777" w:rsidR="00B56545" w:rsidRDefault="00B56545" w:rsidP="0030030B">
      <w:pPr>
        <w:spacing w:before="0" w:after="0"/>
        <w:jc w:val="both"/>
        <w:rPr>
          <w:rFonts w:asciiTheme="minorHAnsi" w:hAnsiTheme="minorHAnsi" w:cstheme="minorHAnsi"/>
          <w:b/>
          <w:snapToGrid w:val="0"/>
          <w:sz w:val="36"/>
        </w:rPr>
      </w:pPr>
    </w:p>
    <w:p w14:paraId="06BBCD06" w14:textId="77777777" w:rsidR="002A763A" w:rsidRDefault="002A763A" w:rsidP="0030030B">
      <w:pPr>
        <w:spacing w:before="0" w:after="0"/>
        <w:jc w:val="both"/>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028D44D5" w14:textId="54BED5C1" w:rsidR="00DB12F4" w:rsidRDefault="00DB12F4" w:rsidP="00D8123A">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BE594E">
        <w:rPr>
          <w:rFonts w:asciiTheme="minorHAnsi" w:hAnsiTheme="minorHAnsi" w:cstheme="minorHAnsi"/>
          <w:b/>
          <w:snapToGrid w:val="0"/>
          <w:color w:val="auto"/>
          <w:sz w:val="36"/>
        </w:rPr>
        <w:t>25</w:t>
      </w:r>
    </w:p>
    <w:p w14:paraId="361FB74D" w14:textId="4692429F" w:rsidR="003E091E" w:rsidRPr="006B7923" w:rsidRDefault="003E091E" w:rsidP="003E091E">
      <w:pPr>
        <w:shd w:val="clear" w:color="auto" w:fill="17365D" w:themeFill="text2" w:themeFillShade="BF"/>
        <w:spacing w:before="0" w:after="0"/>
        <w:jc w:val="right"/>
        <w:rPr>
          <w:b/>
          <w:sz w:val="28"/>
        </w:rPr>
      </w:pPr>
      <w:r>
        <w:rPr>
          <w:b/>
          <w:sz w:val="28"/>
        </w:rPr>
        <w:t xml:space="preserve">NSP </w:t>
      </w:r>
      <w:r w:rsidRPr="006B7923">
        <w:rPr>
          <w:b/>
          <w:sz w:val="28"/>
        </w:rPr>
        <w:t xml:space="preserve">STRATEGIC AREA </w:t>
      </w:r>
      <w:r>
        <w:rPr>
          <w:b/>
          <w:sz w:val="28"/>
        </w:rPr>
        <w:t>3.2</w:t>
      </w:r>
    </w:p>
    <w:p w14:paraId="00964AC4" w14:textId="517FFF26" w:rsidR="00DB12F4" w:rsidRPr="00734B6A" w:rsidRDefault="00DB12F4" w:rsidP="00D8123A">
      <w:pPr>
        <w:pStyle w:val="Heading1"/>
        <w:tabs>
          <w:tab w:val="num" w:pos="5670"/>
        </w:tabs>
        <w:rPr>
          <w:rFonts w:asciiTheme="minorHAnsi" w:hAnsiTheme="minorHAnsi" w:cstheme="minorHAnsi"/>
          <w:b/>
          <w:snapToGrid w:val="0"/>
          <w:color w:val="auto"/>
        </w:rPr>
      </w:pPr>
      <w:r>
        <w:rPr>
          <w:rFonts w:asciiTheme="minorHAnsi" w:hAnsiTheme="minorHAnsi" w:cstheme="minorHAnsi"/>
          <w:b/>
          <w:snapToGrid w:val="0"/>
          <w:color w:val="auto"/>
        </w:rPr>
        <w:t>TB CASE finding</w:t>
      </w:r>
    </w:p>
    <w:p w14:paraId="12EE2A85" w14:textId="77777777" w:rsidR="00FD452C" w:rsidRDefault="00FD452C" w:rsidP="00C129C4">
      <w:pPr>
        <w:pStyle w:val="ListParagraph"/>
        <w:spacing w:before="0" w:after="0"/>
        <w:ind w:left="0"/>
        <w:jc w:val="both"/>
        <w:rPr>
          <w:rFonts w:asciiTheme="minorHAnsi" w:hAnsiTheme="minorHAnsi" w:cstheme="minorHAnsi"/>
          <w:b/>
          <w:sz w:val="22"/>
        </w:rPr>
      </w:pPr>
    </w:p>
    <w:p w14:paraId="366C2308" w14:textId="06D7379D" w:rsidR="00DB12F4" w:rsidRPr="0030030B" w:rsidRDefault="00BE594E"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25</w:t>
      </w:r>
      <w:r w:rsidR="00D756D3">
        <w:rPr>
          <w:rFonts w:asciiTheme="minorHAnsi" w:hAnsiTheme="minorHAnsi" w:cstheme="minorHAnsi"/>
          <w:b/>
          <w:color w:val="C86A07" w:themeColor="accent2" w:themeShade="BF"/>
          <w:sz w:val="28"/>
          <w:lang w:val="en"/>
        </w:rPr>
        <w:t xml:space="preserve">.1 </w:t>
      </w:r>
      <w:r w:rsidR="00AB176D" w:rsidRPr="0030030B">
        <w:rPr>
          <w:rFonts w:asciiTheme="minorHAnsi" w:hAnsiTheme="minorHAnsi" w:cstheme="minorHAnsi"/>
          <w:b/>
          <w:color w:val="C86A07" w:themeColor="accent2" w:themeShade="BF"/>
          <w:sz w:val="28"/>
          <w:lang w:val="en"/>
        </w:rPr>
        <w:t>INTRODUCTION</w:t>
      </w:r>
    </w:p>
    <w:p w14:paraId="6D88B5A8" w14:textId="05B56D13" w:rsidR="00DB12F4" w:rsidRDefault="00456485" w:rsidP="00C129C4">
      <w:pPr>
        <w:pStyle w:val="ListParagraph"/>
        <w:spacing w:before="0"/>
        <w:ind w:left="0"/>
        <w:jc w:val="both"/>
        <w:rPr>
          <w:rFonts w:asciiTheme="minorHAnsi" w:hAnsiTheme="minorHAnsi" w:cstheme="minorHAnsi"/>
          <w:sz w:val="22"/>
        </w:rPr>
      </w:pPr>
      <w:r w:rsidRPr="00456485">
        <w:rPr>
          <w:rFonts w:asciiTheme="minorHAnsi" w:hAnsiTheme="minorHAnsi" w:cstheme="minorHAnsi"/>
          <w:sz w:val="22"/>
        </w:rPr>
        <w:t>Early identification of people with a high probability of having active TB (presumptive TB) is the most important activity of the case finding strategy</w:t>
      </w:r>
      <w:r>
        <w:rPr>
          <w:rFonts w:asciiTheme="minorHAnsi" w:hAnsiTheme="minorHAnsi" w:cstheme="minorHAnsi"/>
          <w:sz w:val="22"/>
        </w:rPr>
        <w:t>. Passive case finding has been the mainstay of case finding</w:t>
      </w:r>
      <w:r w:rsidR="00203D70" w:rsidRPr="00203D70">
        <w:t xml:space="preserve"> </w:t>
      </w:r>
      <w:r w:rsidR="00203D70" w:rsidRPr="00203D70">
        <w:rPr>
          <w:rFonts w:asciiTheme="minorHAnsi" w:hAnsiTheme="minorHAnsi" w:cstheme="minorHAnsi"/>
          <w:sz w:val="22"/>
        </w:rPr>
        <w:t>under NTEP for a considerable time</w:t>
      </w:r>
      <w:r>
        <w:rPr>
          <w:rFonts w:asciiTheme="minorHAnsi" w:hAnsiTheme="minorHAnsi" w:cstheme="minorHAnsi"/>
          <w:sz w:val="22"/>
        </w:rPr>
        <w:t>. However p</w:t>
      </w:r>
      <w:r w:rsidRPr="00456485">
        <w:rPr>
          <w:rFonts w:asciiTheme="minorHAnsi" w:hAnsiTheme="minorHAnsi" w:cstheme="minorHAnsi"/>
          <w:sz w:val="22"/>
        </w:rPr>
        <w:t>assive case finding alone leads to missed cases or delayed diagnosis. Enhanced outreach activities to detect more TB cases are critical to universal access.</w:t>
      </w:r>
      <w:r>
        <w:rPr>
          <w:rFonts w:asciiTheme="minorHAnsi" w:hAnsiTheme="minorHAnsi" w:cstheme="minorHAnsi"/>
          <w:sz w:val="22"/>
        </w:rPr>
        <w:t xml:space="preserve"> </w:t>
      </w:r>
      <w:r w:rsidRPr="00456485">
        <w:rPr>
          <w:rFonts w:asciiTheme="minorHAnsi" w:hAnsiTheme="minorHAnsi" w:cstheme="minorHAnsi"/>
          <w:sz w:val="22"/>
        </w:rPr>
        <w:t>An active c</w:t>
      </w:r>
      <w:r>
        <w:rPr>
          <w:rFonts w:asciiTheme="minorHAnsi" w:hAnsiTheme="minorHAnsi" w:cstheme="minorHAnsi"/>
          <w:sz w:val="22"/>
        </w:rPr>
        <w:t>ase finding (ACF) campaign is a proven</w:t>
      </w:r>
      <w:r w:rsidRPr="00456485">
        <w:rPr>
          <w:rFonts w:asciiTheme="minorHAnsi" w:hAnsiTheme="minorHAnsi" w:cstheme="minorHAnsi"/>
          <w:sz w:val="22"/>
        </w:rPr>
        <w:t xml:space="preserve"> effective way to achieve this. Screening for TB has also to be undertaken at every point of contact with health care workers among key population including clinically and socially vulnerable group of people</w:t>
      </w:r>
      <w:r>
        <w:rPr>
          <w:rFonts w:asciiTheme="minorHAnsi" w:hAnsiTheme="minorHAnsi" w:cstheme="minorHAnsi"/>
          <w:sz w:val="22"/>
        </w:rPr>
        <w:t xml:space="preserve">. </w:t>
      </w:r>
    </w:p>
    <w:p w14:paraId="21A04BE0" w14:textId="262F7519" w:rsidR="002A763A"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5</w:t>
      </w:r>
      <w:r>
        <w:rPr>
          <w:rFonts w:asciiTheme="minorHAnsi" w:hAnsiTheme="minorHAnsi" w:cstheme="minorHAnsi"/>
          <w:b/>
          <w:color w:val="C86A07" w:themeColor="accent2" w:themeShade="BF"/>
          <w:sz w:val="28"/>
          <w:lang w:val="en"/>
        </w:rPr>
        <w:t xml:space="preserve">.2 </w:t>
      </w:r>
      <w:r w:rsidR="002A763A" w:rsidRPr="0030030B">
        <w:rPr>
          <w:rFonts w:asciiTheme="minorHAnsi" w:hAnsiTheme="minorHAnsi" w:cstheme="minorHAnsi"/>
          <w:b/>
          <w:color w:val="C86A07" w:themeColor="accent2" w:themeShade="BF"/>
          <w:sz w:val="28"/>
          <w:lang w:val="en"/>
        </w:rPr>
        <w:t>PROGRESS MADE SO FAR</w:t>
      </w:r>
    </w:p>
    <w:p w14:paraId="2FB8A095" w14:textId="77777777" w:rsidR="002A763A" w:rsidRPr="002A763A" w:rsidRDefault="002A763A" w:rsidP="00442A67">
      <w:pPr>
        <w:pStyle w:val="ListParagraph"/>
        <w:numPr>
          <w:ilvl w:val="0"/>
          <w:numId w:val="30"/>
        </w:numPr>
        <w:spacing w:before="0" w:after="0"/>
        <w:jc w:val="both"/>
        <w:rPr>
          <w:rFonts w:asciiTheme="minorHAnsi" w:hAnsiTheme="minorHAnsi" w:cstheme="minorHAnsi"/>
          <w:sz w:val="22"/>
        </w:rPr>
      </w:pPr>
      <w:r w:rsidRPr="002A763A">
        <w:rPr>
          <w:rFonts w:asciiTheme="minorHAnsi" w:hAnsiTheme="minorHAnsi" w:cstheme="minorHAnsi"/>
          <w:sz w:val="22"/>
        </w:rPr>
        <w:t xml:space="preserve">To improve the integration with general health system, 5082 TB Units (TUs) were aligned and reporting as on March 2016. </w:t>
      </w:r>
    </w:p>
    <w:p w14:paraId="58F54054" w14:textId="2C41AFE0" w:rsidR="002A763A" w:rsidRPr="002A763A" w:rsidRDefault="002A763A" w:rsidP="00442A67">
      <w:pPr>
        <w:pStyle w:val="ListParagraph"/>
        <w:numPr>
          <w:ilvl w:val="0"/>
          <w:numId w:val="30"/>
        </w:numPr>
        <w:spacing w:before="0" w:after="0"/>
        <w:jc w:val="both"/>
        <w:rPr>
          <w:rFonts w:asciiTheme="minorHAnsi" w:hAnsiTheme="minorHAnsi" w:cstheme="minorHAnsi"/>
          <w:sz w:val="22"/>
        </w:rPr>
      </w:pPr>
      <w:r w:rsidRPr="002A763A">
        <w:rPr>
          <w:rFonts w:asciiTheme="minorHAnsi" w:hAnsiTheme="minorHAnsi" w:cstheme="minorHAnsi"/>
          <w:sz w:val="22"/>
        </w:rPr>
        <w:t xml:space="preserve">Decentralization of </w:t>
      </w:r>
      <w:r w:rsidR="00203D70">
        <w:rPr>
          <w:rFonts w:asciiTheme="minorHAnsi" w:hAnsiTheme="minorHAnsi" w:cstheme="minorHAnsi"/>
          <w:sz w:val="22"/>
        </w:rPr>
        <w:t>Tuberculosis Diagnostic Centres (</w:t>
      </w:r>
      <w:r w:rsidR="000A2EDF">
        <w:rPr>
          <w:rFonts w:asciiTheme="minorHAnsi" w:hAnsiTheme="minorHAnsi" w:cstheme="minorHAnsi"/>
          <w:sz w:val="22"/>
        </w:rPr>
        <w:t>TDCs</w:t>
      </w:r>
      <w:r w:rsidR="00203D70">
        <w:rPr>
          <w:rFonts w:asciiTheme="minorHAnsi" w:hAnsiTheme="minorHAnsi" w:cstheme="minorHAnsi"/>
          <w:sz w:val="22"/>
        </w:rPr>
        <w:t>)</w:t>
      </w:r>
      <w:r w:rsidR="000A2EDF">
        <w:rPr>
          <w:rFonts w:asciiTheme="minorHAnsi" w:hAnsiTheme="minorHAnsi" w:cstheme="minorHAnsi"/>
          <w:sz w:val="22"/>
        </w:rPr>
        <w:t xml:space="preserve"> </w:t>
      </w:r>
      <w:r w:rsidR="000A2EDF" w:rsidRPr="002A763A">
        <w:rPr>
          <w:rFonts w:asciiTheme="minorHAnsi" w:hAnsiTheme="minorHAnsi" w:cstheme="minorHAnsi"/>
          <w:sz w:val="22"/>
        </w:rPr>
        <w:t>to</w:t>
      </w:r>
      <w:r w:rsidRPr="002A763A">
        <w:rPr>
          <w:rFonts w:asciiTheme="minorHAnsi" w:hAnsiTheme="minorHAnsi" w:cstheme="minorHAnsi"/>
          <w:sz w:val="22"/>
        </w:rPr>
        <w:t xml:space="preserve"> PHI levels where a binocular microscope and trained LTs are available. </w:t>
      </w:r>
    </w:p>
    <w:p w14:paraId="66F7947D" w14:textId="71F15AEF" w:rsidR="002A763A" w:rsidRPr="002A763A" w:rsidRDefault="002A763A" w:rsidP="00442A67">
      <w:pPr>
        <w:pStyle w:val="ListParagraph"/>
        <w:numPr>
          <w:ilvl w:val="0"/>
          <w:numId w:val="30"/>
        </w:numPr>
        <w:spacing w:before="0" w:after="0"/>
        <w:jc w:val="both"/>
        <w:rPr>
          <w:rFonts w:asciiTheme="minorHAnsi" w:hAnsiTheme="minorHAnsi" w:cstheme="minorHAnsi"/>
          <w:sz w:val="22"/>
        </w:rPr>
      </w:pPr>
      <w:r w:rsidRPr="002A763A">
        <w:rPr>
          <w:rFonts w:asciiTheme="minorHAnsi" w:hAnsiTheme="minorHAnsi" w:cstheme="minorHAnsi"/>
          <w:sz w:val="22"/>
        </w:rPr>
        <w:t xml:space="preserve">By virtue of every district having access to at-least one </w:t>
      </w:r>
      <w:r w:rsidR="009A0FDD">
        <w:rPr>
          <w:rFonts w:asciiTheme="minorHAnsi" w:hAnsiTheme="minorHAnsi" w:cstheme="minorHAnsi"/>
          <w:sz w:val="22"/>
        </w:rPr>
        <w:t>rapid molecular diagnostic</w:t>
      </w:r>
      <w:r w:rsidRPr="002A763A">
        <w:rPr>
          <w:rFonts w:asciiTheme="minorHAnsi" w:hAnsiTheme="minorHAnsi" w:cstheme="minorHAnsi"/>
          <w:sz w:val="22"/>
        </w:rPr>
        <w:t xml:space="preserve"> </w:t>
      </w:r>
      <w:r w:rsidR="009A0FDD">
        <w:rPr>
          <w:rFonts w:asciiTheme="minorHAnsi" w:hAnsiTheme="minorHAnsi" w:cstheme="minorHAnsi"/>
          <w:sz w:val="22"/>
        </w:rPr>
        <w:t>facility,</w:t>
      </w:r>
      <w:r w:rsidRPr="002A763A">
        <w:rPr>
          <w:rFonts w:asciiTheme="minorHAnsi" w:hAnsiTheme="minorHAnsi" w:cstheme="minorHAnsi"/>
          <w:sz w:val="22"/>
        </w:rPr>
        <w:t xml:space="preserve"> it is possible to test all the vulnerable populations of Pediatric, Extra Pulmonary and PLHIV including smear negative for TB. </w:t>
      </w:r>
    </w:p>
    <w:p w14:paraId="30ADE060" w14:textId="5BFCF6C2" w:rsidR="00DB12F4" w:rsidRDefault="002A763A" w:rsidP="00442A67">
      <w:pPr>
        <w:pStyle w:val="ListParagraph"/>
        <w:numPr>
          <w:ilvl w:val="0"/>
          <w:numId w:val="30"/>
        </w:numPr>
        <w:spacing w:before="0"/>
        <w:jc w:val="both"/>
        <w:rPr>
          <w:rFonts w:asciiTheme="minorHAnsi" w:hAnsiTheme="minorHAnsi" w:cstheme="minorHAnsi"/>
          <w:sz w:val="22"/>
        </w:rPr>
      </w:pPr>
      <w:r w:rsidRPr="002A763A">
        <w:rPr>
          <w:rFonts w:asciiTheme="minorHAnsi" w:hAnsiTheme="minorHAnsi" w:cstheme="minorHAnsi"/>
          <w:sz w:val="22"/>
        </w:rPr>
        <w:t>Also, all the diagnosed TB patients, including non-responders to treatment, are now offered Universal Drug susceptibility testing</w:t>
      </w:r>
      <w:r w:rsidR="00BC709C">
        <w:rPr>
          <w:rFonts w:asciiTheme="minorHAnsi" w:hAnsiTheme="minorHAnsi" w:cstheme="minorHAnsi"/>
          <w:sz w:val="22"/>
        </w:rPr>
        <w:t xml:space="preserve"> </w:t>
      </w:r>
    </w:p>
    <w:p w14:paraId="3BC426FD" w14:textId="1421ED8D" w:rsidR="00BC709C" w:rsidRPr="00F91202" w:rsidRDefault="00BC709C" w:rsidP="00442A67">
      <w:pPr>
        <w:pStyle w:val="ListParagraph"/>
        <w:numPr>
          <w:ilvl w:val="0"/>
          <w:numId w:val="30"/>
        </w:numPr>
        <w:spacing w:before="0" w:after="0"/>
        <w:rPr>
          <w:rFonts w:asciiTheme="minorHAnsi" w:hAnsiTheme="minorHAnsi" w:cstheme="minorHAnsi"/>
          <w:sz w:val="22"/>
          <w:szCs w:val="18"/>
        </w:rPr>
      </w:pPr>
      <w:r w:rsidRPr="00F91202">
        <w:rPr>
          <w:rFonts w:asciiTheme="minorHAnsi" w:hAnsiTheme="minorHAnsi" w:cstheme="minorHAnsi"/>
          <w:sz w:val="22"/>
          <w:szCs w:val="18"/>
        </w:rPr>
        <w:t xml:space="preserve">NTEP has conducted an analysis of the burden of TB amongst the vulnerable populations who were reached out to using active case finding methods in the year 2019. Twenty eight subset of the vulnerable </w:t>
      </w:r>
      <w:r w:rsidR="00AD233C" w:rsidRPr="00F91202">
        <w:rPr>
          <w:rFonts w:asciiTheme="minorHAnsi" w:hAnsiTheme="minorHAnsi" w:cstheme="minorHAnsi"/>
          <w:sz w:val="22"/>
          <w:szCs w:val="18"/>
        </w:rPr>
        <w:t xml:space="preserve">populations </w:t>
      </w:r>
      <w:r w:rsidRPr="00F91202">
        <w:rPr>
          <w:rFonts w:asciiTheme="minorHAnsi" w:hAnsiTheme="minorHAnsi" w:cstheme="minorHAnsi"/>
          <w:sz w:val="22"/>
          <w:szCs w:val="18"/>
        </w:rPr>
        <w:t xml:space="preserve">(Table </w:t>
      </w:r>
      <w:r w:rsidR="0076674F" w:rsidRPr="00F91202">
        <w:rPr>
          <w:rFonts w:asciiTheme="minorHAnsi" w:hAnsiTheme="minorHAnsi" w:cstheme="minorHAnsi"/>
          <w:sz w:val="22"/>
          <w:szCs w:val="18"/>
        </w:rPr>
        <w:t>13</w:t>
      </w:r>
      <w:r w:rsidRPr="00F91202">
        <w:rPr>
          <w:rFonts w:asciiTheme="minorHAnsi" w:hAnsiTheme="minorHAnsi" w:cstheme="minorHAnsi"/>
          <w:sz w:val="22"/>
          <w:szCs w:val="18"/>
        </w:rPr>
        <w:t xml:space="preserve">) are being systematically screened for TB. </w:t>
      </w:r>
      <w:r w:rsidR="003D596B" w:rsidRPr="00F91202">
        <w:rPr>
          <w:rFonts w:asciiTheme="minorHAnsi" w:hAnsiTheme="minorHAnsi" w:cstheme="minorHAnsi"/>
          <w:sz w:val="22"/>
          <w:szCs w:val="18"/>
        </w:rPr>
        <w:t xml:space="preserve">A total of </w:t>
      </w:r>
      <w:r w:rsidR="003D596B" w:rsidRPr="00F91202">
        <w:rPr>
          <w:rFonts w:asciiTheme="minorHAnsi" w:hAnsiTheme="minorHAnsi" w:cstheme="minorHAnsi"/>
          <w:bCs/>
          <w:color w:val="000000"/>
          <w:sz w:val="22"/>
        </w:rPr>
        <w:t xml:space="preserve">71,366,938 were screened for TB symptoms out of which </w:t>
      </w:r>
      <w:r w:rsidR="003D596B" w:rsidRPr="00F91202">
        <w:rPr>
          <w:rFonts w:asciiTheme="minorHAnsi" w:hAnsiTheme="minorHAnsi" w:cstheme="minorHAnsi"/>
          <w:sz w:val="22"/>
        </w:rPr>
        <w:t xml:space="preserve">7692 (2%) were diagnosed as TB. </w:t>
      </w:r>
      <w:r w:rsidR="00082F77" w:rsidRPr="00F91202">
        <w:rPr>
          <w:rFonts w:asciiTheme="minorHAnsi" w:hAnsiTheme="minorHAnsi" w:cstheme="minorHAnsi"/>
          <w:sz w:val="22"/>
        </w:rPr>
        <w:t>The</w:t>
      </w:r>
      <w:r w:rsidR="00894102" w:rsidRPr="00F91202">
        <w:rPr>
          <w:rFonts w:asciiTheme="minorHAnsi" w:hAnsiTheme="minorHAnsi" w:cstheme="minorHAnsi"/>
          <w:sz w:val="22"/>
        </w:rPr>
        <w:t xml:space="preserve"> analysis of</w:t>
      </w:r>
      <w:r w:rsidR="00F91202" w:rsidRPr="00F91202">
        <w:rPr>
          <w:rFonts w:asciiTheme="minorHAnsi" w:hAnsiTheme="minorHAnsi" w:cstheme="minorHAnsi"/>
          <w:sz w:val="22"/>
        </w:rPr>
        <w:t xml:space="preserve"> data from the last 3 years highlights the yield (numbers needed to be screened) for prioritizing case detection activities amongst the vulnerable population. The analysis reiterates the focus of the programmes on congregate setting including orphanages/ institutional Homes, </w:t>
      </w:r>
      <w:r w:rsidR="00F91202">
        <w:rPr>
          <w:rFonts w:asciiTheme="minorHAnsi" w:hAnsiTheme="minorHAnsi" w:cstheme="minorHAnsi"/>
          <w:sz w:val="22"/>
        </w:rPr>
        <w:t>and p</w:t>
      </w:r>
      <w:r w:rsidR="00F91202" w:rsidRPr="00F91202">
        <w:rPr>
          <w:rFonts w:asciiTheme="minorHAnsi" w:hAnsiTheme="minorHAnsi" w:cstheme="minorHAnsi"/>
          <w:sz w:val="22"/>
        </w:rPr>
        <w:t>risons inmates</w:t>
      </w:r>
      <w:r w:rsidR="00F91202">
        <w:rPr>
          <w:rFonts w:asciiTheme="minorHAnsi" w:hAnsiTheme="minorHAnsi" w:cstheme="minorHAnsi"/>
          <w:sz w:val="22"/>
        </w:rPr>
        <w:t>.</w:t>
      </w:r>
    </w:p>
    <w:p w14:paraId="2CD24E53" w14:textId="0C036E22" w:rsidR="00F91202" w:rsidRPr="00F91202" w:rsidRDefault="00F91202" w:rsidP="00F91202">
      <w:pPr>
        <w:pStyle w:val="ListParagraph"/>
        <w:spacing w:before="0" w:after="0"/>
        <w:ind w:left="360"/>
        <w:rPr>
          <w:rFonts w:asciiTheme="minorHAnsi" w:eastAsia="Times New Roman" w:hAnsiTheme="minorHAnsi" w:cstheme="minorHAnsi"/>
          <w:b/>
          <w:bCs/>
          <w:color w:val="000000"/>
          <w:sz w:val="22"/>
          <w:lang w:val="en-IN" w:eastAsia="en-IN"/>
        </w:rPr>
      </w:pPr>
      <w:r w:rsidRPr="00F91202">
        <w:rPr>
          <w:rFonts w:asciiTheme="minorHAnsi" w:hAnsiTheme="minorHAnsi" w:cstheme="minorHAnsi"/>
          <w:b/>
          <w:sz w:val="22"/>
        </w:rPr>
        <w:t>Table</w:t>
      </w:r>
      <w:r>
        <w:rPr>
          <w:rFonts w:asciiTheme="minorHAnsi" w:hAnsiTheme="minorHAnsi" w:cstheme="minorHAnsi"/>
          <w:b/>
          <w:sz w:val="22"/>
        </w:rPr>
        <w:t xml:space="preserve"> 1</w:t>
      </w:r>
      <w:r w:rsidR="00852BA1">
        <w:rPr>
          <w:rFonts w:asciiTheme="minorHAnsi" w:hAnsiTheme="minorHAnsi" w:cstheme="minorHAnsi"/>
          <w:b/>
          <w:sz w:val="22"/>
        </w:rPr>
        <w:t>5</w:t>
      </w:r>
      <w:r>
        <w:rPr>
          <w:rFonts w:asciiTheme="minorHAnsi" w:eastAsia="Times New Roman" w:hAnsiTheme="minorHAnsi" w:cstheme="minorHAnsi"/>
          <w:b/>
          <w:bCs/>
          <w:color w:val="000000"/>
          <w:sz w:val="22"/>
          <w:lang w:val="en-IN" w:eastAsia="en-IN"/>
        </w:rPr>
        <w:t xml:space="preserve">: </w:t>
      </w:r>
      <w:r w:rsidRPr="00F91202">
        <w:rPr>
          <w:rFonts w:asciiTheme="minorHAnsi" w:eastAsia="Times New Roman" w:hAnsiTheme="minorHAnsi" w:cstheme="minorHAnsi"/>
          <w:b/>
          <w:bCs/>
          <w:color w:val="000000"/>
          <w:sz w:val="22"/>
          <w:lang w:val="en-IN" w:eastAsia="en-IN"/>
        </w:rPr>
        <w:t xml:space="preserve"> </w:t>
      </w:r>
      <w:r>
        <w:rPr>
          <w:rFonts w:asciiTheme="minorHAnsi" w:eastAsia="Times New Roman" w:hAnsiTheme="minorHAnsi" w:cstheme="minorHAnsi"/>
          <w:b/>
          <w:bCs/>
          <w:color w:val="000000"/>
          <w:sz w:val="22"/>
          <w:lang w:val="en-IN" w:eastAsia="en-IN"/>
        </w:rPr>
        <w:t>Y</w:t>
      </w:r>
      <w:r w:rsidRPr="00F91202">
        <w:rPr>
          <w:rFonts w:asciiTheme="minorHAnsi" w:eastAsia="Times New Roman" w:hAnsiTheme="minorHAnsi" w:cstheme="minorHAnsi"/>
          <w:b/>
          <w:bCs/>
          <w:color w:val="000000"/>
          <w:sz w:val="22"/>
          <w:lang w:val="en-IN" w:eastAsia="en-IN"/>
        </w:rPr>
        <w:t>ield</w:t>
      </w:r>
      <w:r>
        <w:rPr>
          <w:rFonts w:asciiTheme="minorHAnsi" w:eastAsia="Times New Roman" w:hAnsiTheme="minorHAnsi" w:cstheme="minorHAnsi"/>
          <w:b/>
          <w:bCs/>
          <w:color w:val="000000"/>
          <w:sz w:val="22"/>
          <w:lang w:val="en-IN" w:eastAsia="en-IN"/>
        </w:rPr>
        <w:t xml:space="preserve"> from case finding activities amongst vulnerable population</w:t>
      </w:r>
    </w:p>
    <w:tbl>
      <w:tblPr>
        <w:tblW w:w="7518" w:type="dxa"/>
        <w:jc w:val="center"/>
        <w:shd w:val="clear" w:color="auto" w:fill="FFFFFF"/>
        <w:tblCellMar>
          <w:left w:w="0" w:type="dxa"/>
          <w:right w:w="0" w:type="dxa"/>
        </w:tblCellMar>
        <w:tblLook w:val="04A0" w:firstRow="1" w:lastRow="0" w:firstColumn="1" w:lastColumn="0" w:noHBand="0" w:noVBand="1"/>
      </w:tblPr>
      <w:tblGrid>
        <w:gridCol w:w="5340"/>
        <w:gridCol w:w="1218"/>
        <w:gridCol w:w="960"/>
      </w:tblGrid>
      <w:tr w:rsidR="00AD233C" w:rsidRPr="00AD233C" w14:paraId="6B6229B2" w14:textId="77777777" w:rsidTr="00AD233C">
        <w:trPr>
          <w:trHeight w:val="290"/>
          <w:jc w:val="center"/>
        </w:trPr>
        <w:tc>
          <w:tcPr>
            <w:tcW w:w="53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D4B59EF"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b/>
                <w:bCs/>
                <w:color w:val="000000"/>
                <w:sz w:val="22"/>
                <w:lang w:val="en-IN" w:eastAsia="en-IN"/>
              </w:rPr>
              <w:t>Type of population</w:t>
            </w:r>
          </w:p>
        </w:tc>
        <w:tc>
          <w:tcPr>
            <w:tcW w:w="121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EC5E404"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b/>
                <w:bCs/>
                <w:color w:val="000000"/>
                <w:sz w:val="22"/>
                <w:lang w:val="en-IN" w:eastAsia="en-IN"/>
              </w:rPr>
              <w:t>Screened population</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8C93E27" w14:textId="4C1C812E" w:rsidR="00AD233C" w:rsidRPr="00AD233C" w:rsidRDefault="008C666D" w:rsidP="008C666D">
            <w:pPr>
              <w:spacing w:before="0" w:after="0"/>
              <w:rPr>
                <w:rFonts w:asciiTheme="minorHAnsi" w:eastAsia="Times New Roman" w:hAnsiTheme="minorHAnsi" w:cstheme="minorHAnsi"/>
                <w:color w:val="222222"/>
                <w:sz w:val="22"/>
                <w:lang w:val="en-IN" w:eastAsia="en-IN"/>
              </w:rPr>
            </w:pPr>
            <w:r>
              <w:rPr>
                <w:rFonts w:asciiTheme="minorHAnsi" w:eastAsia="Times New Roman" w:hAnsiTheme="minorHAnsi" w:cstheme="minorHAnsi"/>
                <w:b/>
                <w:bCs/>
                <w:color w:val="000000"/>
                <w:sz w:val="22"/>
                <w:lang w:val="en-IN" w:eastAsia="en-IN"/>
              </w:rPr>
              <w:t>NNS</w:t>
            </w:r>
          </w:p>
        </w:tc>
      </w:tr>
      <w:tr w:rsidR="00AD233C" w:rsidRPr="00AD233C" w14:paraId="7D9290BD" w14:textId="77777777" w:rsidTr="00AD233C">
        <w:trPr>
          <w:trHeight w:val="115"/>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FE66F1A"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Orphanages/ Institutional Homes</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640FF67"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146083</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692ECC7"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1316</w:t>
            </w:r>
          </w:p>
        </w:tc>
      </w:tr>
      <w:tr w:rsidR="00AD233C" w:rsidRPr="00AD233C" w14:paraId="4C1E946A" w14:textId="77777777" w:rsidTr="00AD233C">
        <w:trPr>
          <w:trHeight w:val="97"/>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AC7AC00"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Prisons inmates</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91E7A41"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205674</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144EC01"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1390</w:t>
            </w:r>
          </w:p>
        </w:tc>
      </w:tr>
      <w:tr w:rsidR="00AD233C" w:rsidRPr="00AD233C" w14:paraId="4C1B71A3" w14:textId="77777777" w:rsidTr="00AD233C">
        <w:trPr>
          <w:trHeight w:val="178"/>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C308D3C"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Night shelters/ Home less/ Street Children</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DA71D38"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63345</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F18F92A"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1980</w:t>
            </w:r>
          </w:p>
        </w:tc>
      </w:tr>
      <w:tr w:rsidR="00AD233C" w:rsidRPr="00AD233C" w14:paraId="0A36E0DB" w14:textId="77777777" w:rsidTr="00AD233C">
        <w:trPr>
          <w:trHeight w:val="70"/>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3E34897"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Tribal</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164A28B"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1783562</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CBC9899"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2509</w:t>
            </w:r>
          </w:p>
        </w:tc>
      </w:tr>
      <w:tr w:rsidR="00AD233C" w:rsidRPr="00AD233C" w14:paraId="4B2AEB31" w14:textId="77777777" w:rsidTr="00AD233C">
        <w:trPr>
          <w:trHeight w:val="60"/>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65CD8AB"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Populations/ areas groups with known high malnutrition</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2F11147"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3770404</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530C60E"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2517</w:t>
            </w:r>
          </w:p>
        </w:tc>
      </w:tr>
      <w:tr w:rsidR="00AD233C" w:rsidRPr="00AD233C" w14:paraId="17088CD1" w14:textId="77777777" w:rsidTr="00AD233C">
        <w:trPr>
          <w:trHeight w:val="60"/>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88D840D"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Labourers</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80FCAF9"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7282005</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0EAB403"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2735</w:t>
            </w:r>
          </w:p>
        </w:tc>
      </w:tr>
      <w:tr w:rsidR="00AD233C" w:rsidRPr="00AD233C" w14:paraId="57870325" w14:textId="77777777" w:rsidTr="00AD233C">
        <w:trPr>
          <w:trHeight w:val="60"/>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E0EEA78"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Villages with special criteria</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D45CE71"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30127350</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A0D9E84"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2794</w:t>
            </w:r>
          </w:p>
        </w:tc>
      </w:tr>
      <w:tr w:rsidR="00AD233C" w:rsidRPr="00AD233C" w14:paraId="35A30F6C" w14:textId="77777777" w:rsidTr="00AD233C">
        <w:trPr>
          <w:trHeight w:val="60"/>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190906F"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NACO/SACS identified HRG for HIV</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201E50A"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1456548</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DBC8E12"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3333</w:t>
            </w:r>
          </w:p>
        </w:tc>
      </w:tr>
      <w:tr w:rsidR="00AD233C" w:rsidRPr="00AD233C" w14:paraId="15038E9C" w14:textId="77777777" w:rsidTr="00AD233C">
        <w:trPr>
          <w:trHeight w:val="70"/>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B9375A1"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lastRenderedPageBreak/>
              <w:t>Other</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31481B2"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46347899</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4C06C31"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3937</w:t>
            </w:r>
          </w:p>
        </w:tc>
      </w:tr>
      <w:tr w:rsidR="00AD233C" w:rsidRPr="00AD233C" w14:paraId="777C4825" w14:textId="77777777" w:rsidTr="00AD233C">
        <w:trPr>
          <w:trHeight w:val="133"/>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482C56C"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Refugee camps</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7DC9666"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50255</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482C2EA"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4188</w:t>
            </w:r>
          </w:p>
        </w:tc>
      </w:tr>
      <w:tr w:rsidR="00AD233C" w:rsidRPr="00AD233C" w14:paraId="1CBD065F" w14:textId="77777777" w:rsidTr="00AD233C">
        <w:trPr>
          <w:trHeight w:val="60"/>
          <w:jc w:val="center"/>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5E8BC08" w14:textId="77777777" w:rsidR="00AD233C" w:rsidRPr="00AD233C" w:rsidRDefault="00AD233C" w:rsidP="00AD233C">
            <w:pPr>
              <w:spacing w:before="0" w:after="0"/>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Slum</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C828433"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36881250</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6169E20" w14:textId="77777777" w:rsidR="00AD233C" w:rsidRPr="00AD233C" w:rsidRDefault="00AD233C" w:rsidP="00AD233C">
            <w:pPr>
              <w:spacing w:before="0" w:after="0"/>
              <w:jc w:val="right"/>
              <w:rPr>
                <w:rFonts w:asciiTheme="minorHAnsi" w:eastAsia="Times New Roman" w:hAnsiTheme="minorHAnsi" w:cstheme="minorHAnsi"/>
                <w:color w:val="222222"/>
                <w:sz w:val="22"/>
                <w:lang w:val="en-IN" w:eastAsia="en-IN"/>
              </w:rPr>
            </w:pPr>
            <w:r w:rsidRPr="00AD233C">
              <w:rPr>
                <w:rFonts w:asciiTheme="minorHAnsi" w:eastAsia="Times New Roman" w:hAnsiTheme="minorHAnsi" w:cstheme="minorHAnsi"/>
                <w:color w:val="000000"/>
                <w:sz w:val="22"/>
                <w:lang w:val="en-IN" w:eastAsia="en-IN"/>
              </w:rPr>
              <w:t>4670</w:t>
            </w:r>
          </w:p>
        </w:tc>
      </w:tr>
    </w:tbl>
    <w:p w14:paraId="1AAA2EB3" w14:textId="0D1A8651" w:rsidR="00AD233C" w:rsidRPr="00AD233C" w:rsidRDefault="00AD233C" w:rsidP="00AD233C">
      <w:pPr>
        <w:shd w:val="clear" w:color="auto" w:fill="FFFFFF"/>
        <w:spacing w:before="0" w:after="0"/>
        <w:rPr>
          <w:rFonts w:asciiTheme="minorHAnsi" w:eastAsia="Times New Roman" w:hAnsiTheme="minorHAnsi" w:cstheme="minorHAnsi"/>
          <w:color w:val="222222"/>
          <w:sz w:val="22"/>
          <w:lang w:val="en-IN" w:eastAsia="en-IN"/>
        </w:rPr>
      </w:pPr>
      <w:r>
        <w:rPr>
          <w:rFonts w:asciiTheme="minorHAnsi" w:eastAsia="Times New Roman" w:hAnsiTheme="minorHAnsi" w:cstheme="minorHAnsi"/>
          <w:color w:val="222222"/>
          <w:sz w:val="22"/>
          <w:lang w:val="en-IN" w:eastAsia="en-IN"/>
        </w:rPr>
        <w:tab/>
      </w:r>
      <w:r w:rsidRPr="00AD233C">
        <w:rPr>
          <w:rFonts w:asciiTheme="minorHAnsi" w:eastAsia="Times New Roman" w:hAnsiTheme="minorHAnsi" w:cstheme="minorHAnsi"/>
          <w:color w:val="222222"/>
          <w:sz w:val="22"/>
          <w:lang w:val="en-IN" w:eastAsia="en-IN"/>
        </w:rPr>
        <w:t xml:space="preserve">NNS = Number Needed to Screen (numerator = population screen, denominator = patients </w:t>
      </w:r>
      <w:r>
        <w:rPr>
          <w:rFonts w:asciiTheme="minorHAnsi" w:eastAsia="Times New Roman" w:hAnsiTheme="minorHAnsi" w:cstheme="minorHAnsi"/>
          <w:color w:val="222222"/>
          <w:sz w:val="22"/>
          <w:lang w:val="en-IN" w:eastAsia="en-IN"/>
        </w:rPr>
        <w:tab/>
      </w:r>
      <w:r w:rsidRPr="00AD233C">
        <w:rPr>
          <w:rFonts w:asciiTheme="minorHAnsi" w:eastAsia="Times New Roman" w:hAnsiTheme="minorHAnsi" w:cstheme="minorHAnsi"/>
          <w:color w:val="222222"/>
          <w:sz w:val="22"/>
          <w:lang w:val="en-IN" w:eastAsia="en-IN"/>
        </w:rPr>
        <w:t>diagnosed)</w:t>
      </w:r>
    </w:p>
    <w:p w14:paraId="6F45922B" w14:textId="313E2007" w:rsidR="00E5734C"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5</w:t>
      </w:r>
      <w:r>
        <w:rPr>
          <w:rFonts w:asciiTheme="minorHAnsi" w:hAnsiTheme="minorHAnsi" w:cstheme="minorHAnsi"/>
          <w:b/>
          <w:color w:val="C86A07" w:themeColor="accent2" w:themeShade="BF"/>
          <w:sz w:val="28"/>
          <w:lang w:val="en"/>
        </w:rPr>
        <w:t xml:space="preserve">.3 </w:t>
      </w:r>
      <w:r w:rsidR="00E5734C" w:rsidRPr="0030030B">
        <w:rPr>
          <w:rFonts w:asciiTheme="minorHAnsi" w:hAnsiTheme="minorHAnsi" w:cstheme="minorHAnsi"/>
          <w:b/>
          <w:color w:val="C86A07" w:themeColor="accent2" w:themeShade="BF"/>
          <w:sz w:val="28"/>
          <w:lang w:val="en"/>
        </w:rPr>
        <w:t>CHALLENGES REMAIN</w:t>
      </w:r>
    </w:p>
    <w:p w14:paraId="267177CA" w14:textId="77777777" w:rsidR="00E5734C" w:rsidRPr="00E5734C" w:rsidRDefault="00E5734C" w:rsidP="00442A67">
      <w:pPr>
        <w:pStyle w:val="ListParagraph"/>
        <w:numPr>
          <w:ilvl w:val="0"/>
          <w:numId w:val="31"/>
        </w:numPr>
        <w:spacing w:before="0" w:after="0"/>
        <w:jc w:val="both"/>
        <w:rPr>
          <w:rFonts w:asciiTheme="minorHAnsi" w:hAnsiTheme="minorHAnsi" w:cstheme="minorHAnsi"/>
          <w:sz w:val="22"/>
        </w:rPr>
      </w:pPr>
      <w:r w:rsidRPr="00E5734C">
        <w:rPr>
          <w:rFonts w:asciiTheme="minorHAnsi" w:hAnsiTheme="minorHAnsi" w:cstheme="minorHAnsi"/>
          <w:sz w:val="22"/>
        </w:rPr>
        <w:t>Lack of awareness in the community on TB diagnostic facilities in the programme (patient pathway - largely multiple consultations leading to delays)</w:t>
      </w:r>
    </w:p>
    <w:p w14:paraId="6A0D4FBB" w14:textId="3B15ACCF" w:rsidR="00E5734C" w:rsidRPr="00E5734C" w:rsidRDefault="00E5734C" w:rsidP="00442A67">
      <w:pPr>
        <w:pStyle w:val="ListParagraph"/>
        <w:numPr>
          <w:ilvl w:val="0"/>
          <w:numId w:val="31"/>
        </w:numPr>
        <w:spacing w:before="0" w:after="0"/>
        <w:jc w:val="both"/>
        <w:rPr>
          <w:rFonts w:asciiTheme="minorHAnsi" w:hAnsiTheme="minorHAnsi" w:cstheme="minorHAnsi"/>
          <w:sz w:val="22"/>
        </w:rPr>
      </w:pPr>
      <w:r w:rsidRPr="00E5734C">
        <w:rPr>
          <w:rFonts w:asciiTheme="minorHAnsi" w:hAnsiTheme="minorHAnsi" w:cstheme="minorHAnsi"/>
          <w:sz w:val="22"/>
        </w:rPr>
        <w:t>Case finding is</w:t>
      </w:r>
      <w:r w:rsidR="008026AC">
        <w:rPr>
          <w:rFonts w:asciiTheme="minorHAnsi" w:hAnsiTheme="minorHAnsi" w:cstheme="minorHAnsi"/>
          <w:sz w:val="22"/>
        </w:rPr>
        <w:t xml:space="preserve"> still</w:t>
      </w:r>
      <w:r w:rsidR="00203D70">
        <w:rPr>
          <w:rFonts w:asciiTheme="minorHAnsi" w:hAnsiTheme="minorHAnsi" w:cstheme="minorHAnsi"/>
          <w:sz w:val="22"/>
        </w:rPr>
        <w:t xml:space="preserve"> </w:t>
      </w:r>
      <w:r w:rsidRPr="00E5734C">
        <w:rPr>
          <w:rFonts w:asciiTheme="minorHAnsi" w:hAnsiTheme="minorHAnsi" w:cstheme="minorHAnsi"/>
          <w:sz w:val="22"/>
        </w:rPr>
        <w:t>largely passive</w:t>
      </w:r>
    </w:p>
    <w:p w14:paraId="1BB8A07D" w14:textId="74750443" w:rsidR="00E5734C" w:rsidRPr="00E5734C" w:rsidRDefault="006E10E2" w:rsidP="00442A67">
      <w:pPr>
        <w:pStyle w:val="ListParagraph"/>
        <w:numPr>
          <w:ilvl w:val="0"/>
          <w:numId w:val="31"/>
        </w:numPr>
        <w:spacing w:before="0" w:after="0"/>
        <w:jc w:val="both"/>
        <w:rPr>
          <w:rFonts w:asciiTheme="minorHAnsi" w:hAnsiTheme="minorHAnsi" w:cstheme="minorHAnsi"/>
          <w:sz w:val="22"/>
        </w:rPr>
      </w:pPr>
      <w:r>
        <w:rPr>
          <w:rFonts w:asciiTheme="minorHAnsi" w:hAnsiTheme="minorHAnsi" w:cstheme="minorHAnsi"/>
          <w:sz w:val="22"/>
        </w:rPr>
        <w:t>L</w:t>
      </w:r>
      <w:r w:rsidR="00E5734C" w:rsidRPr="00E5734C">
        <w:rPr>
          <w:rFonts w:asciiTheme="minorHAnsi" w:hAnsiTheme="minorHAnsi" w:cstheme="minorHAnsi"/>
          <w:sz w:val="22"/>
        </w:rPr>
        <w:t>ack of proper and adequate screening of presumptive cases due to limited access to X-Ray facilities.</w:t>
      </w:r>
    </w:p>
    <w:p w14:paraId="14F18FF0" w14:textId="77777777" w:rsidR="00E5734C" w:rsidRPr="00E5734C" w:rsidRDefault="00E5734C" w:rsidP="00442A67">
      <w:pPr>
        <w:pStyle w:val="ListParagraph"/>
        <w:numPr>
          <w:ilvl w:val="0"/>
          <w:numId w:val="31"/>
        </w:numPr>
        <w:spacing w:before="0" w:after="0"/>
        <w:jc w:val="both"/>
        <w:rPr>
          <w:rFonts w:asciiTheme="minorHAnsi" w:hAnsiTheme="minorHAnsi" w:cstheme="minorHAnsi"/>
          <w:sz w:val="22"/>
        </w:rPr>
      </w:pPr>
      <w:r w:rsidRPr="00E5734C">
        <w:rPr>
          <w:rFonts w:asciiTheme="minorHAnsi" w:hAnsiTheme="minorHAnsi" w:cstheme="minorHAnsi"/>
          <w:sz w:val="22"/>
        </w:rPr>
        <w:t xml:space="preserve">Lack of access to the latest NAAT based tests, which are more sensitive than the currently used sputum microscopy, at the peripheral health institutions.   </w:t>
      </w:r>
    </w:p>
    <w:p w14:paraId="6E403F0A" w14:textId="77777777" w:rsidR="004B7D35" w:rsidRPr="004B7D35" w:rsidRDefault="004B7D35" w:rsidP="00442A67">
      <w:pPr>
        <w:pStyle w:val="ListParagraph"/>
        <w:numPr>
          <w:ilvl w:val="0"/>
          <w:numId w:val="31"/>
        </w:numPr>
        <w:rPr>
          <w:rFonts w:asciiTheme="minorHAnsi" w:hAnsiTheme="minorHAnsi" w:cstheme="minorHAnsi"/>
          <w:sz w:val="22"/>
        </w:rPr>
      </w:pPr>
      <w:r w:rsidRPr="004B7D35">
        <w:rPr>
          <w:rFonts w:asciiTheme="minorHAnsi" w:hAnsiTheme="minorHAnsi" w:cstheme="minorHAnsi"/>
          <w:sz w:val="22"/>
        </w:rPr>
        <w:t>The yield of Active Case Finding (ACF) and Intensive Case Finding (ICF) is low and the screening is resource intensive.</w:t>
      </w:r>
    </w:p>
    <w:p w14:paraId="122BAA54" w14:textId="551706DC" w:rsidR="00E5734C" w:rsidRPr="00E5734C" w:rsidRDefault="00E5734C" w:rsidP="00BB4972">
      <w:pPr>
        <w:pStyle w:val="ListParagraph"/>
        <w:numPr>
          <w:ilvl w:val="0"/>
          <w:numId w:val="31"/>
        </w:numPr>
        <w:spacing w:before="0" w:after="0"/>
        <w:jc w:val="both"/>
        <w:rPr>
          <w:rFonts w:asciiTheme="minorHAnsi" w:hAnsiTheme="minorHAnsi" w:cstheme="minorHAnsi"/>
          <w:sz w:val="22"/>
        </w:rPr>
      </w:pPr>
      <w:r w:rsidRPr="00E5734C">
        <w:rPr>
          <w:rFonts w:asciiTheme="minorHAnsi" w:hAnsiTheme="minorHAnsi" w:cstheme="minorHAnsi"/>
          <w:sz w:val="22"/>
        </w:rPr>
        <w:t>Lack of adequate sample collection and transport mechanisms</w:t>
      </w:r>
      <w:r w:rsidR="00BB4972">
        <w:rPr>
          <w:rFonts w:asciiTheme="minorHAnsi" w:hAnsiTheme="minorHAnsi" w:cstheme="minorHAnsi"/>
          <w:sz w:val="22"/>
        </w:rPr>
        <w:t xml:space="preserve"> at</w:t>
      </w:r>
      <w:r w:rsidR="00BB4972" w:rsidRPr="00BB4972">
        <w:rPr>
          <w:rFonts w:asciiTheme="minorHAnsi" w:hAnsiTheme="minorHAnsi" w:cstheme="minorHAnsi"/>
          <w:sz w:val="22"/>
        </w:rPr>
        <w:t xml:space="preserve"> all service delivery points (Public as well as Private)</w:t>
      </w:r>
      <w:r w:rsidRPr="00E5734C">
        <w:rPr>
          <w:rFonts w:asciiTheme="minorHAnsi" w:hAnsiTheme="minorHAnsi" w:cstheme="minorHAnsi"/>
          <w:sz w:val="22"/>
        </w:rPr>
        <w:t xml:space="preserve"> for prompt diagnosis.</w:t>
      </w:r>
    </w:p>
    <w:p w14:paraId="30321E93" w14:textId="185448AE" w:rsidR="00E5734C" w:rsidRPr="00E5734C" w:rsidRDefault="006E10E2" w:rsidP="00442A67">
      <w:pPr>
        <w:pStyle w:val="ListParagraph"/>
        <w:numPr>
          <w:ilvl w:val="0"/>
          <w:numId w:val="31"/>
        </w:numPr>
        <w:spacing w:before="0" w:after="0"/>
        <w:jc w:val="both"/>
        <w:rPr>
          <w:rFonts w:asciiTheme="minorHAnsi" w:hAnsiTheme="minorHAnsi" w:cstheme="minorHAnsi"/>
          <w:sz w:val="22"/>
        </w:rPr>
      </w:pPr>
      <w:r>
        <w:rPr>
          <w:rFonts w:asciiTheme="minorHAnsi" w:hAnsiTheme="minorHAnsi" w:cstheme="minorHAnsi"/>
          <w:sz w:val="22"/>
        </w:rPr>
        <w:t>A</w:t>
      </w:r>
      <w:r w:rsidR="00E5734C" w:rsidRPr="00E5734C">
        <w:rPr>
          <w:rFonts w:asciiTheme="minorHAnsi" w:hAnsiTheme="minorHAnsi" w:cstheme="minorHAnsi"/>
          <w:sz w:val="22"/>
        </w:rPr>
        <w:t>ctive case finding in at</w:t>
      </w:r>
      <w:r w:rsidR="00DA2622">
        <w:rPr>
          <w:rFonts w:asciiTheme="minorHAnsi" w:hAnsiTheme="minorHAnsi" w:cstheme="minorHAnsi"/>
          <w:sz w:val="22"/>
        </w:rPr>
        <w:t>-</w:t>
      </w:r>
      <w:r w:rsidR="00E5734C" w:rsidRPr="00E5734C">
        <w:rPr>
          <w:rFonts w:asciiTheme="minorHAnsi" w:hAnsiTheme="minorHAnsi" w:cstheme="minorHAnsi"/>
          <w:sz w:val="22"/>
        </w:rPr>
        <w:t>risk groups and repeating the activity periodically</w:t>
      </w:r>
      <w:r>
        <w:rPr>
          <w:rFonts w:asciiTheme="minorHAnsi" w:hAnsiTheme="minorHAnsi" w:cstheme="minorHAnsi"/>
          <w:sz w:val="22"/>
        </w:rPr>
        <w:t xml:space="preserve"> has been a challenge</w:t>
      </w:r>
      <w:r w:rsidR="00E5734C" w:rsidRPr="00E5734C">
        <w:rPr>
          <w:rFonts w:asciiTheme="minorHAnsi" w:hAnsiTheme="minorHAnsi" w:cstheme="minorHAnsi"/>
          <w:sz w:val="22"/>
        </w:rPr>
        <w:t>.</w:t>
      </w:r>
    </w:p>
    <w:p w14:paraId="0DCBC0E0" w14:textId="09D18950" w:rsidR="00E5734C" w:rsidRPr="00E5734C" w:rsidRDefault="00E5734C" w:rsidP="00442A67">
      <w:pPr>
        <w:pStyle w:val="ListParagraph"/>
        <w:numPr>
          <w:ilvl w:val="0"/>
          <w:numId w:val="31"/>
        </w:numPr>
        <w:spacing w:before="0" w:after="0"/>
        <w:jc w:val="both"/>
        <w:rPr>
          <w:rFonts w:asciiTheme="minorHAnsi" w:hAnsiTheme="minorHAnsi" w:cstheme="minorHAnsi"/>
          <w:sz w:val="22"/>
        </w:rPr>
      </w:pPr>
      <w:r w:rsidRPr="00E5734C">
        <w:rPr>
          <w:rFonts w:asciiTheme="minorHAnsi" w:hAnsiTheme="minorHAnsi" w:cstheme="minorHAnsi"/>
          <w:sz w:val="22"/>
        </w:rPr>
        <w:t xml:space="preserve">Although rapid strides have been made in engaging with the private sector, </w:t>
      </w:r>
      <w:r w:rsidR="00DA2622">
        <w:rPr>
          <w:rFonts w:asciiTheme="minorHAnsi" w:hAnsiTheme="minorHAnsi" w:cstheme="minorHAnsi"/>
          <w:sz w:val="22"/>
        </w:rPr>
        <w:t>the coverage isn’t commensurate with the size of the sector</w:t>
      </w:r>
      <w:r w:rsidRPr="00E5734C">
        <w:rPr>
          <w:rFonts w:asciiTheme="minorHAnsi" w:hAnsiTheme="minorHAnsi" w:cstheme="minorHAnsi"/>
          <w:sz w:val="22"/>
        </w:rPr>
        <w:t>. Awareness in the private sector on correctly diagnosing TB still remains a challenge.</w:t>
      </w:r>
    </w:p>
    <w:p w14:paraId="5B05736E" w14:textId="5CB31230" w:rsidR="00E5734C" w:rsidRPr="00E5734C" w:rsidRDefault="00E5734C" w:rsidP="00442A67">
      <w:pPr>
        <w:pStyle w:val="ListParagraph"/>
        <w:numPr>
          <w:ilvl w:val="0"/>
          <w:numId w:val="31"/>
        </w:numPr>
        <w:spacing w:before="0"/>
        <w:jc w:val="both"/>
        <w:rPr>
          <w:rFonts w:asciiTheme="minorHAnsi" w:hAnsiTheme="minorHAnsi" w:cstheme="minorHAnsi"/>
          <w:sz w:val="22"/>
        </w:rPr>
      </w:pPr>
      <w:r w:rsidRPr="00E5734C">
        <w:rPr>
          <w:rFonts w:asciiTheme="minorHAnsi" w:hAnsiTheme="minorHAnsi" w:cstheme="minorHAnsi"/>
          <w:sz w:val="22"/>
        </w:rPr>
        <w:t>Non availability of an accurate, economical and standardized test to rapidly diagnose LTBI.</w:t>
      </w:r>
    </w:p>
    <w:p w14:paraId="1E0503F5" w14:textId="63E1AFBB" w:rsidR="00E96470"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5</w:t>
      </w:r>
      <w:r>
        <w:rPr>
          <w:rFonts w:asciiTheme="minorHAnsi" w:hAnsiTheme="minorHAnsi" w:cstheme="minorHAnsi"/>
          <w:b/>
          <w:color w:val="C86A07" w:themeColor="accent2" w:themeShade="BF"/>
          <w:sz w:val="28"/>
          <w:lang w:val="en"/>
        </w:rPr>
        <w:t xml:space="preserve">.4 </w:t>
      </w:r>
      <w:r w:rsidR="00E96470" w:rsidRPr="0030030B">
        <w:rPr>
          <w:rFonts w:asciiTheme="minorHAnsi" w:hAnsiTheme="minorHAnsi" w:cstheme="minorHAnsi"/>
          <w:b/>
          <w:color w:val="C86A07" w:themeColor="accent2" w:themeShade="BF"/>
          <w:sz w:val="28"/>
          <w:lang w:val="en"/>
        </w:rPr>
        <w:t>THE WAY FORWARD</w:t>
      </w:r>
      <w:r w:rsidR="006E10E2" w:rsidRPr="0030030B">
        <w:rPr>
          <w:rFonts w:asciiTheme="minorHAnsi" w:hAnsiTheme="minorHAnsi" w:cstheme="minorHAnsi"/>
          <w:b/>
          <w:color w:val="C86A07" w:themeColor="accent2" w:themeShade="BF"/>
          <w:sz w:val="28"/>
          <w:lang w:val="en"/>
        </w:rPr>
        <w:t xml:space="preserve"> </w:t>
      </w:r>
    </w:p>
    <w:p w14:paraId="0BB50DE8" w14:textId="6F6F1AA8" w:rsidR="006E10E2" w:rsidRPr="00B56545" w:rsidRDefault="00643BB3" w:rsidP="006E10E2">
      <w:pPr>
        <w:spacing w:before="0"/>
        <w:contextualSpacing/>
        <w:jc w:val="both"/>
        <w:rPr>
          <w:rFonts w:asciiTheme="minorHAnsi" w:hAnsiTheme="minorHAnsi" w:cstheme="minorHAnsi"/>
          <w:sz w:val="22"/>
        </w:rPr>
      </w:pPr>
      <w:r w:rsidRPr="00B56545">
        <w:rPr>
          <w:rFonts w:asciiTheme="minorHAnsi" w:hAnsiTheme="minorHAnsi" w:cstheme="minorHAnsi"/>
          <w:sz w:val="22"/>
        </w:rPr>
        <w:t>To ensure the early and complete detection of all TB patients the NTEP will continue to implement intensified case finding strategies and addressing high risk populations. In addition</w:t>
      </w:r>
      <w:r w:rsidR="00BB4972">
        <w:rPr>
          <w:rFonts w:asciiTheme="minorHAnsi" w:hAnsiTheme="minorHAnsi" w:cstheme="minorHAnsi"/>
          <w:sz w:val="22"/>
        </w:rPr>
        <w:t>,</w:t>
      </w:r>
      <w:r w:rsidRPr="00B56545">
        <w:rPr>
          <w:rFonts w:asciiTheme="minorHAnsi" w:hAnsiTheme="minorHAnsi" w:cstheme="minorHAnsi"/>
          <w:sz w:val="22"/>
        </w:rPr>
        <w:t xml:space="preserve"> it will p</w:t>
      </w:r>
      <w:r w:rsidR="006E10E2" w:rsidRPr="00B56545">
        <w:rPr>
          <w:rFonts w:asciiTheme="minorHAnsi" w:hAnsiTheme="minorHAnsi" w:cstheme="minorHAnsi"/>
          <w:sz w:val="22"/>
        </w:rPr>
        <w:t>rioritize conducting, documenting and monito</w:t>
      </w:r>
      <w:r w:rsidRPr="00B56545">
        <w:rPr>
          <w:rFonts w:asciiTheme="minorHAnsi" w:hAnsiTheme="minorHAnsi" w:cstheme="minorHAnsi"/>
          <w:sz w:val="22"/>
        </w:rPr>
        <w:t>ring systematic contact tracing while holding the</w:t>
      </w:r>
      <w:r w:rsidR="006E10E2" w:rsidRPr="00B56545">
        <w:rPr>
          <w:rFonts w:asciiTheme="minorHAnsi" w:hAnsiTheme="minorHAnsi" w:cstheme="minorHAnsi"/>
          <w:sz w:val="22"/>
        </w:rPr>
        <w:t xml:space="preserve"> program accountable for completeness and quality of contact tracing, perhaps, by including contact tracing in state scoring system. </w:t>
      </w:r>
    </w:p>
    <w:p w14:paraId="203E007E" w14:textId="7664FC86" w:rsidR="006E10E2" w:rsidRPr="00B56545" w:rsidRDefault="00643BB3" w:rsidP="00C16768">
      <w:pPr>
        <w:jc w:val="both"/>
        <w:rPr>
          <w:rFonts w:asciiTheme="minorHAnsi" w:hAnsiTheme="minorHAnsi" w:cstheme="minorHAnsi"/>
          <w:sz w:val="22"/>
        </w:rPr>
      </w:pPr>
      <w:r w:rsidRPr="00B56545">
        <w:rPr>
          <w:rFonts w:asciiTheme="minorHAnsi" w:hAnsiTheme="minorHAnsi" w:cstheme="minorHAnsi"/>
          <w:sz w:val="22"/>
        </w:rPr>
        <w:t>An enhanced f</w:t>
      </w:r>
      <w:r w:rsidR="006E10E2" w:rsidRPr="00B56545">
        <w:rPr>
          <w:rFonts w:asciiTheme="minorHAnsi" w:hAnsiTheme="minorHAnsi" w:cstheme="minorHAnsi"/>
          <w:sz w:val="22"/>
        </w:rPr>
        <w:t>ocus</w:t>
      </w:r>
      <w:r w:rsidRPr="00B56545">
        <w:rPr>
          <w:rFonts w:asciiTheme="minorHAnsi" w:hAnsiTheme="minorHAnsi" w:cstheme="minorHAnsi"/>
          <w:sz w:val="22"/>
        </w:rPr>
        <w:t xml:space="preserve"> on </w:t>
      </w:r>
      <w:r w:rsidR="006E10E2" w:rsidRPr="00B56545">
        <w:rPr>
          <w:rFonts w:asciiTheme="minorHAnsi" w:hAnsiTheme="minorHAnsi" w:cstheme="minorHAnsi"/>
          <w:sz w:val="22"/>
        </w:rPr>
        <w:t>ACF/ICF on vulnerable populations and individuals and use sensitive tests to improve yield</w:t>
      </w:r>
      <w:r w:rsidRPr="00B56545">
        <w:rPr>
          <w:rFonts w:asciiTheme="minorHAnsi" w:hAnsiTheme="minorHAnsi" w:cstheme="minorHAnsi"/>
          <w:sz w:val="22"/>
        </w:rPr>
        <w:t xml:space="preserve"> will be undertaken</w:t>
      </w:r>
      <w:r w:rsidR="006E10E2" w:rsidRPr="00B56545">
        <w:rPr>
          <w:rFonts w:asciiTheme="minorHAnsi" w:hAnsiTheme="minorHAnsi" w:cstheme="minorHAnsi"/>
          <w:sz w:val="22"/>
        </w:rPr>
        <w:t>.</w:t>
      </w:r>
      <w:r w:rsidRPr="00B56545">
        <w:rPr>
          <w:rFonts w:asciiTheme="minorHAnsi" w:hAnsiTheme="minorHAnsi" w:cstheme="minorHAnsi"/>
          <w:sz w:val="22"/>
        </w:rPr>
        <w:t xml:space="preserve"> It is also important to m</w:t>
      </w:r>
      <w:r w:rsidR="006E10E2" w:rsidRPr="00B56545">
        <w:rPr>
          <w:rFonts w:asciiTheme="minorHAnsi" w:hAnsiTheme="minorHAnsi" w:cstheme="minorHAnsi"/>
          <w:sz w:val="22"/>
        </w:rPr>
        <w:t>ake ACF more efficient and less resource consuming</w:t>
      </w:r>
      <w:r w:rsidRPr="00B56545">
        <w:rPr>
          <w:rFonts w:asciiTheme="minorHAnsi" w:hAnsiTheme="minorHAnsi" w:cstheme="minorHAnsi"/>
          <w:sz w:val="22"/>
        </w:rPr>
        <w:t>.</w:t>
      </w:r>
    </w:p>
    <w:p w14:paraId="4E00414B" w14:textId="3C3D2E45" w:rsidR="00A67171" w:rsidRDefault="00DA2622" w:rsidP="00C16768">
      <w:pPr>
        <w:pStyle w:val="ListParagraph"/>
        <w:ind w:left="0"/>
        <w:contextualSpacing w:val="0"/>
        <w:jc w:val="both"/>
        <w:rPr>
          <w:rFonts w:asciiTheme="minorHAnsi" w:hAnsiTheme="minorHAnsi" w:cstheme="minorHAnsi"/>
          <w:sz w:val="22"/>
        </w:rPr>
      </w:pPr>
      <w:r>
        <w:rPr>
          <w:rFonts w:asciiTheme="minorHAnsi" w:hAnsiTheme="minorHAnsi" w:cstheme="minorHAnsi"/>
          <w:b/>
          <w:sz w:val="22"/>
        </w:rPr>
        <w:t xml:space="preserve">3.2.1 </w:t>
      </w:r>
      <w:r w:rsidR="00A67171" w:rsidRPr="00082154">
        <w:rPr>
          <w:rFonts w:asciiTheme="minorHAnsi" w:hAnsiTheme="minorHAnsi" w:cstheme="minorHAnsi"/>
          <w:b/>
          <w:sz w:val="22"/>
        </w:rPr>
        <w:t>Integrated diagnostic algorithm to detect all forms of</w:t>
      </w:r>
      <w:r w:rsidR="00C16768">
        <w:rPr>
          <w:rFonts w:asciiTheme="minorHAnsi" w:hAnsiTheme="minorHAnsi" w:cstheme="minorHAnsi"/>
          <w:b/>
          <w:sz w:val="22"/>
        </w:rPr>
        <w:t xml:space="preserve"> TB (latent, active, and DR-TB): </w:t>
      </w:r>
      <w:r w:rsidR="00A67171" w:rsidRPr="00056C4E">
        <w:rPr>
          <w:rFonts w:asciiTheme="minorHAnsi" w:hAnsiTheme="minorHAnsi" w:cstheme="minorHAnsi"/>
          <w:sz w:val="22"/>
        </w:rPr>
        <w:t xml:space="preserve">Design and implement an </w:t>
      </w:r>
      <w:r w:rsidR="00A67171">
        <w:rPr>
          <w:rFonts w:asciiTheme="minorHAnsi" w:hAnsiTheme="minorHAnsi" w:cstheme="minorHAnsi"/>
          <w:sz w:val="22"/>
        </w:rPr>
        <w:t>i</w:t>
      </w:r>
      <w:r w:rsidR="00A67171" w:rsidRPr="00056C4E">
        <w:rPr>
          <w:rFonts w:asciiTheme="minorHAnsi" w:hAnsiTheme="minorHAnsi" w:cstheme="minorHAnsi"/>
          <w:sz w:val="22"/>
        </w:rPr>
        <w:t xml:space="preserve">ntegrated diagnostic algorithm to detect and manage all forms of TB (active, latent, DR, Sub Clinical, </w:t>
      </w:r>
      <w:r w:rsidR="00C16768">
        <w:rPr>
          <w:rFonts w:asciiTheme="minorHAnsi" w:hAnsiTheme="minorHAnsi" w:cstheme="minorHAnsi"/>
          <w:sz w:val="22"/>
        </w:rPr>
        <w:t xml:space="preserve">Zoonotic, </w:t>
      </w:r>
      <w:r w:rsidR="00A67171" w:rsidRPr="00056C4E">
        <w:rPr>
          <w:rFonts w:asciiTheme="minorHAnsi" w:hAnsiTheme="minorHAnsi" w:cstheme="minorHAnsi"/>
          <w:sz w:val="22"/>
        </w:rPr>
        <w:t>NTM)</w:t>
      </w:r>
      <w:r w:rsidR="00A67171">
        <w:rPr>
          <w:rFonts w:asciiTheme="minorHAnsi" w:hAnsiTheme="minorHAnsi" w:cstheme="minorHAnsi"/>
          <w:sz w:val="22"/>
        </w:rPr>
        <w:t xml:space="preserve"> and also to enable testing for both first</w:t>
      </w:r>
      <w:r w:rsidR="00A67171" w:rsidRPr="00056C4E">
        <w:rPr>
          <w:rFonts w:asciiTheme="minorHAnsi" w:hAnsiTheme="minorHAnsi" w:cstheme="minorHAnsi"/>
          <w:sz w:val="22"/>
        </w:rPr>
        <w:t xml:space="preserve"> as well as </w:t>
      </w:r>
      <w:r w:rsidR="00A67171">
        <w:rPr>
          <w:rFonts w:asciiTheme="minorHAnsi" w:hAnsiTheme="minorHAnsi" w:cstheme="minorHAnsi"/>
          <w:sz w:val="22"/>
        </w:rPr>
        <w:t>second line resistance at the b</w:t>
      </w:r>
      <w:r w:rsidR="00A67171" w:rsidRPr="00056C4E">
        <w:rPr>
          <w:rFonts w:asciiTheme="minorHAnsi" w:hAnsiTheme="minorHAnsi" w:cstheme="minorHAnsi"/>
          <w:sz w:val="22"/>
        </w:rPr>
        <w:t xml:space="preserve">lock and </w:t>
      </w:r>
      <w:r w:rsidR="00A67171">
        <w:rPr>
          <w:rFonts w:asciiTheme="minorHAnsi" w:hAnsiTheme="minorHAnsi" w:cstheme="minorHAnsi"/>
          <w:sz w:val="22"/>
        </w:rPr>
        <w:t>d</w:t>
      </w:r>
      <w:r w:rsidR="00A67171" w:rsidRPr="00056C4E">
        <w:rPr>
          <w:rFonts w:asciiTheme="minorHAnsi" w:hAnsiTheme="minorHAnsi" w:cstheme="minorHAnsi"/>
          <w:sz w:val="22"/>
        </w:rPr>
        <w:t xml:space="preserve">istrict level itself. </w:t>
      </w:r>
      <w:r w:rsidR="00A67171" w:rsidRPr="00A67171">
        <w:rPr>
          <w:rFonts w:asciiTheme="minorHAnsi" w:hAnsiTheme="minorHAnsi" w:cstheme="minorHAnsi"/>
          <w:sz w:val="22"/>
        </w:rPr>
        <w:t>Adopting a diagnostic algorithm in which, post screening by X-Ray, a NAAT based WRD is the initial diagnostic test offered to all people with signs or symptoms of TB is the first step towards better case finding.</w:t>
      </w:r>
      <w:r w:rsidR="00A67171">
        <w:rPr>
          <w:rFonts w:asciiTheme="minorHAnsi" w:hAnsiTheme="minorHAnsi" w:cstheme="minorHAnsi"/>
          <w:sz w:val="22"/>
        </w:rPr>
        <w:t xml:space="preserve"> </w:t>
      </w:r>
    </w:p>
    <w:p w14:paraId="35E83DFE" w14:textId="1224F1FF" w:rsidR="00C16768" w:rsidRDefault="00A67171" w:rsidP="00C16768">
      <w:pPr>
        <w:pStyle w:val="ListParagraph"/>
        <w:ind w:left="0"/>
        <w:contextualSpacing w:val="0"/>
        <w:jc w:val="both"/>
        <w:rPr>
          <w:rFonts w:asciiTheme="minorHAnsi" w:hAnsiTheme="minorHAnsi" w:cstheme="minorHAnsi"/>
          <w:b/>
          <w:sz w:val="22"/>
        </w:rPr>
      </w:pPr>
      <w:r>
        <w:rPr>
          <w:rFonts w:asciiTheme="minorHAnsi" w:hAnsiTheme="minorHAnsi" w:cstheme="minorHAnsi"/>
          <w:b/>
          <w:sz w:val="22"/>
        </w:rPr>
        <w:t>3.2.2</w:t>
      </w:r>
      <w:r w:rsidRPr="00082154">
        <w:rPr>
          <w:rFonts w:asciiTheme="minorHAnsi" w:hAnsiTheme="minorHAnsi" w:cstheme="minorHAnsi"/>
          <w:b/>
          <w:sz w:val="22"/>
        </w:rPr>
        <w:t>.</w:t>
      </w:r>
      <w:r w:rsidR="009A4B41">
        <w:rPr>
          <w:rFonts w:asciiTheme="minorHAnsi" w:hAnsiTheme="minorHAnsi" w:cstheme="minorHAnsi"/>
          <w:b/>
          <w:sz w:val="22"/>
        </w:rPr>
        <w:t xml:space="preserve"> </w:t>
      </w:r>
      <w:r w:rsidRPr="00082154">
        <w:rPr>
          <w:rFonts w:asciiTheme="minorHAnsi" w:hAnsiTheme="minorHAnsi" w:cstheme="minorHAnsi"/>
          <w:b/>
          <w:sz w:val="22"/>
        </w:rPr>
        <w:t>Integration of TB diagnosis within the existing health system for extensive outreach</w:t>
      </w:r>
      <w:r w:rsidR="00203D70" w:rsidRPr="00203D70">
        <w:rPr>
          <w:rFonts w:asciiTheme="minorHAnsi" w:hAnsiTheme="minorHAnsi" w:cstheme="minorHAnsi"/>
          <w:bCs/>
          <w:sz w:val="22"/>
        </w:rPr>
        <w:t xml:space="preserve"> </w:t>
      </w:r>
      <w:r w:rsidR="00C16768">
        <w:rPr>
          <w:rFonts w:asciiTheme="minorHAnsi" w:hAnsiTheme="minorHAnsi" w:cstheme="minorHAnsi"/>
          <w:b/>
          <w:sz w:val="22"/>
        </w:rPr>
        <w:t>for public awareness, TB service demand generation, early detection and referral to nearest TB service delivery point</w:t>
      </w:r>
    </w:p>
    <w:p w14:paraId="001DBB08" w14:textId="2E6490D0" w:rsidR="00193DF1" w:rsidRPr="00DA2622" w:rsidRDefault="00A67171" w:rsidP="00C16768">
      <w:pPr>
        <w:pStyle w:val="ListParagraph"/>
        <w:ind w:left="0"/>
        <w:contextualSpacing w:val="0"/>
        <w:jc w:val="both"/>
        <w:rPr>
          <w:rFonts w:asciiTheme="minorHAnsi" w:hAnsiTheme="minorHAnsi" w:cstheme="minorHAnsi"/>
          <w:b/>
          <w:sz w:val="22"/>
        </w:rPr>
      </w:pPr>
      <w:r>
        <w:rPr>
          <w:rFonts w:asciiTheme="minorHAnsi" w:hAnsiTheme="minorHAnsi" w:cstheme="minorHAnsi"/>
          <w:b/>
          <w:sz w:val="22"/>
        </w:rPr>
        <w:t xml:space="preserve">3.3.3. </w:t>
      </w:r>
      <w:r w:rsidR="00C16768">
        <w:rPr>
          <w:rFonts w:asciiTheme="minorHAnsi" w:hAnsiTheme="minorHAnsi" w:cstheme="minorHAnsi"/>
          <w:b/>
          <w:sz w:val="22"/>
        </w:rPr>
        <w:t>P</w:t>
      </w:r>
      <w:r w:rsidR="00DA2622" w:rsidRPr="00DA2622">
        <w:rPr>
          <w:rFonts w:asciiTheme="minorHAnsi" w:hAnsiTheme="minorHAnsi" w:cstheme="minorHAnsi"/>
          <w:b/>
          <w:sz w:val="22"/>
        </w:rPr>
        <w:t xml:space="preserve">redictive </w:t>
      </w:r>
      <w:r w:rsidR="00203D70">
        <w:rPr>
          <w:rFonts w:asciiTheme="minorHAnsi" w:hAnsiTheme="minorHAnsi" w:cstheme="minorHAnsi"/>
          <w:b/>
          <w:sz w:val="22"/>
        </w:rPr>
        <w:t>analytics</w:t>
      </w:r>
      <w:r w:rsidR="00DA2622" w:rsidRPr="00DA2622">
        <w:rPr>
          <w:rFonts w:asciiTheme="minorHAnsi" w:hAnsiTheme="minorHAnsi" w:cstheme="minorHAnsi"/>
          <w:b/>
          <w:sz w:val="22"/>
        </w:rPr>
        <w:t xml:space="preserve"> </w:t>
      </w:r>
      <w:r w:rsidR="00C16768">
        <w:rPr>
          <w:rFonts w:asciiTheme="minorHAnsi" w:hAnsiTheme="minorHAnsi" w:cstheme="minorHAnsi"/>
          <w:b/>
          <w:sz w:val="22"/>
        </w:rPr>
        <w:t xml:space="preserve">use for </w:t>
      </w:r>
      <w:r w:rsidR="00DA2622" w:rsidRPr="00DA2622">
        <w:rPr>
          <w:rFonts w:asciiTheme="minorHAnsi" w:hAnsiTheme="minorHAnsi" w:cstheme="minorHAnsi"/>
          <w:b/>
          <w:sz w:val="22"/>
        </w:rPr>
        <w:t xml:space="preserve">hot spot identification, vulnerability mapping </w:t>
      </w:r>
    </w:p>
    <w:p w14:paraId="0E91E68C" w14:textId="4D356A2C" w:rsidR="00DA2622" w:rsidRDefault="00A67171" w:rsidP="00C16768">
      <w:pPr>
        <w:pStyle w:val="ListParagraph"/>
        <w:ind w:left="0"/>
        <w:contextualSpacing w:val="0"/>
        <w:jc w:val="both"/>
        <w:rPr>
          <w:rFonts w:asciiTheme="minorHAnsi" w:hAnsiTheme="minorHAnsi" w:cstheme="minorHAnsi"/>
          <w:b/>
          <w:sz w:val="22"/>
        </w:rPr>
      </w:pPr>
      <w:r>
        <w:rPr>
          <w:rFonts w:asciiTheme="minorHAnsi" w:hAnsiTheme="minorHAnsi" w:cstheme="minorHAnsi"/>
          <w:b/>
          <w:sz w:val="22"/>
        </w:rPr>
        <w:t>3.3.4</w:t>
      </w:r>
      <w:r w:rsidR="00DA2622">
        <w:rPr>
          <w:rFonts w:asciiTheme="minorHAnsi" w:hAnsiTheme="minorHAnsi" w:cstheme="minorHAnsi"/>
          <w:b/>
          <w:sz w:val="22"/>
        </w:rPr>
        <w:t xml:space="preserve"> </w:t>
      </w:r>
      <w:r w:rsidR="00DA2622" w:rsidRPr="00DA2622">
        <w:rPr>
          <w:rFonts w:asciiTheme="minorHAnsi" w:hAnsiTheme="minorHAnsi" w:cstheme="minorHAnsi"/>
          <w:b/>
          <w:sz w:val="22"/>
        </w:rPr>
        <w:t>Systematic screening of high-risk groups through outreach and community-based approaches using digital x-rays and rapid and more sensitive diagnostic</w:t>
      </w:r>
      <w:r w:rsidR="00203D70">
        <w:rPr>
          <w:rFonts w:asciiTheme="minorHAnsi" w:hAnsiTheme="minorHAnsi" w:cstheme="minorHAnsi"/>
          <w:b/>
          <w:sz w:val="22"/>
        </w:rPr>
        <w:t xml:space="preserve"> tools</w:t>
      </w:r>
      <w:r w:rsidR="00DA2622" w:rsidRPr="00DA2622">
        <w:rPr>
          <w:rFonts w:asciiTheme="minorHAnsi" w:hAnsiTheme="minorHAnsi" w:cstheme="minorHAnsi"/>
          <w:b/>
          <w:sz w:val="22"/>
        </w:rPr>
        <w:t xml:space="preserve"> </w:t>
      </w:r>
    </w:p>
    <w:p w14:paraId="23AF6E94" w14:textId="16E905CB" w:rsidR="00EF01CA" w:rsidRDefault="00EF01CA" w:rsidP="00AA2B32">
      <w:pPr>
        <w:pStyle w:val="BodyText"/>
        <w:spacing w:line="240" w:lineRule="auto"/>
        <w:ind w:right="29"/>
      </w:pPr>
      <w:r w:rsidRPr="00EF01CA">
        <w:rPr>
          <w:b/>
        </w:rPr>
        <w:t xml:space="preserve">Active case finding (ACF) </w:t>
      </w:r>
      <w:r w:rsidRPr="00EF01CA">
        <w:t>activity in vulnerable groups is a focus over the next</w:t>
      </w:r>
      <w:r>
        <w:t xml:space="preserve"> five</w:t>
      </w:r>
      <w:r w:rsidRPr="00EF01CA">
        <w:t xml:space="preserve"> years</w:t>
      </w:r>
      <w:r>
        <w:t>. T</w:t>
      </w:r>
      <w:r w:rsidRPr="00EF01CA">
        <w:t xml:space="preserve">he prioritization of vulnerable </w:t>
      </w:r>
      <w:r>
        <w:t>g</w:t>
      </w:r>
      <w:r w:rsidRPr="00EF01CA">
        <w:t>roups for screening and ACF is as follows:</w:t>
      </w:r>
      <w:r w:rsidR="0076674F">
        <w:t xml:space="preserve"> </w:t>
      </w:r>
    </w:p>
    <w:p w14:paraId="051C86B5" w14:textId="7F8359EB" w:rsidR="0076674F" w:rsidRPr="00933C76" w:rsidRDefault="0076674F" w:rsidP="0076674F">
      <w:pPr>
        <w:jc w:val="both"/>
        <w:rPr>
          <w:rFonts w:asciiTheme="minorHAnsi" w:eastAsia="Times New Roman" w:hAnsiTheme="minorHAnsi" w:cstheme="minorHAnsi"/>
          <w:b/>
        </w:rPr>
      </w:pPr>
      <w:r w:rsidRPr="00933C76">
        <w:rPr>
          <w:rFonts w:asciiTheme="minorHAnsi" w:eastAsia="Times New Roman" w:hAnsiTheme="minorHAnsi" w:cstheme="minorHAnsi"/>
          <w:b/>
        </w:rPr>
        <w:lastRenderedPageBreak/>
        <w:t>Table 1</w:t>
      </w:r>
      <w:r w:rsidR="00852BA1">
        <w:rPr>
          <w:rFonts w:asciiTheme="minorHAnsi" w:eastAsia="Times New Roman" w:hAnsiTheme="minorHAnsi" w:cstheme="minorHAnsi"/>
          <w:b/>
        </w:rPr>
        <w:t>6</w:t>
      </w:r>
      <w:r w:rsidRPr="00933C76">
        <w:rPr>
          <w:rFonts w:asciiTheme="minorHAnsi" w:eastAsia="Times New Roman" w:hAnsiTheme="minorHAnsi" w:cstheme="minorHAnsi"/>
          <w:b/>
        </w:rPr>
        <w:t xml:space="preserve">: </w:t>
      </w:r>
      <w:r>
        <w:rPr>
          <w:rFonts w:ascii="Calibri" w:hAnsi="Calibri" w:cs="Calibri"/>
          <w:b/>
          <w:kern w:val="24"/>
          <w:lang w:eastAsia="en-IN"/>
        </w:rPr>
        <w:t>Prioritization of vulnerable groups</w:t>
      </w:r>
    </w:p>
    <w:tbl>
      <w:tblPr>
        <w:tblW w:w="9563" w:type="dxa"/>
        <w:tblBorders>
          <w:top w:val="single" w:sz="2" w:space="0" w:color="BFBFBF" w:themeColor="background1" w:themeShade="BF"/>
          <w:bottom w:val="single" w:sz="2" w:space="0" w:color="BFBFBF" w:themeColor="background1" w:themeShade="BF"/>
          <w:insideH w:val="single" w:sz="2" w:space="0" w:color="BFBFBF" w:themeColor="background1" w:themeShade="BF"/>
        </w:tblBorders>
        <w:tblLayout w:type="fixed"/>
        <w:tblCellMar>
          <w:left w:w="0" w:type="dxa"/>
          <w:right w:w="0" w:type="dxa"/>
        </w:tblCellMar>
        <w:tblLook w:val="01E0" w:firstRow="1" w:lastRow="1" w:firstColumn="1" w:lastColumn="1" w:noHBand="0" w:noVBand="0"/>
      </w:tblPr>
      <w:tblGrid>
        <w:gridCol w:w="810"/>
        <w:gridCol w:w="2070"/>
        <w:gridCol w:w="3690"/>
        <w:gridCol w:w="2993"/>
      </w:tblGrid>
      <w:tr w:rsidR="00EF01CA" w:rsidRPr="00EF01CA" w14:paraId="6BCF8D56" w14:textId="77777777" w:rsidTr="00F97743">
        <w:trPr>
          <w:trHeight w:val="75"/>
        </w:trPr>
        <w:tc>
          <w:tcPr>
            <w:tcW w:w="810" w:type="dxa"/>
            <w:shd w:val="clear" w:color="auto" w:fill="17365D" w:themeFill="text2" w:themeFillShade="BF"/>
          </w:tcPr>
          <w:p w14:paraId="3B2A0DDC" w14:textId="3144C82D" w:rsidR="00EF01CA" w:rsidRPr="00EF01CA" w:rsidRDefault="00EF01CA" w:rsidP="00AE4638">
            <w:pPr>
              <w:pStyle w:val="TableParagraph"/>
              <w:spacing w:line="248" w:lineRule="exact"/>
              <w:ind w:left="66" w:right="49"/>
              <w:rPr>
                <w:rFonts w:asciiTheme="minorHAnsi" w:hAnsiTheme="minorHAnsi" w:cstheme="minorHAnsi"/>
                <w:b/>
              </w:rPr>
            </w:pPr>
            <w:r w:rsidRPr="00EF01CA">
              <w:rPr>
                <w:rFonts w:asciiTheme="minorHAnsi" w:hAnsiTheme="minorHAnsi" w:cstheme="minorHAnsi"/>
                <w:b/>
              </w:rPr>
              <w:t>Priority</w:t>
            </w:r>
          </w:p>
        </w:tc>
        <w:tc>
          <w:tcPr>
            <w:tcW w:w="2070" w:type="dxa"/>
            <w:shd w:val="clear" w:color="auto" w:fill="17365D" w:themeFill="text2" w:themeFillShade="BF"/>
          </w:tcPr>
          <w:p w14:paraId="76CED669" w14:textId="77777777" w:rsidR="00EF01CA" w:rsidRPr="00EF01CA" w:rsidRDefault="00EF01CA" w:rsidP="00AE4638">
            <w:pPr>
              <w:pStyle w:val="TableParagraph"/>
              <w:spacing w:line="237" w:lineRule="exact"/>
              <w:ind w:left="57"/>
              <w:rPr>
                <w:rFonts w:asciiTheme="minorHAnsi" w:hAnsiTheme="minorHAnsi" w:cstheme="minorHAnsi"/>
                <w:b/>
              </w:rPr>
            </w:pPr>
            <w:r w:rsidRPr="00EF01CA">
              <w:rPr>
                <w:rFonts w:asciiTheme="minorHAnsi" w:hAnsiTheme="minorHAnsi" w:cstheme="minorHAnsi"/>
                <w:b/>
              </w:rPr>
              <w:t>Urban area</w:t>
            </w:r>
          </w:p>
        </w:tc>
        <w:tc>
          <w:tcPr>
            <w:tcW w:w="3690" w:type="dxa"/>
            <w:shd w:val="clear" w:color="auto" w:fill="17365D" w:themeFill="text2" w:themeFillShade="BF"/>
          </w:tcPr>
          <w:p w14:paraId="5DA5C7C9" w14:textId="77777777" w:rsidR="00EF01CA" w:rsidRPr="00EF01CA" w:rsidRDefault="00EF01CA" w:rsidP="00AE4638">
            <w:pPr>
              <w:pStyle w:val="TableParagraph"/>
              <w:spacing w:line="237" w:lineRule="exact"/>
              <w:ind w:left="56"/>
              <w:rPr>
                <w:rFonts w:asciiTheme="minorHAnsi" w:hAnsiTheme="minorHAnsi" w:cstheme="minorHAnsi"/>
                <w:b/>
              </w:rPr>
            </w:pPr>
            <w:r w:rsidRPr="00EF01CA">
              <w:rPr>
                <w:rFonts w:asciiTheme="minorHAnsi" w:hAnsiTheme="minorHAnsi" w:cstheme="minorHAnsi"/>
                <w:b/>
              </w:rPr>
              <w:t>Rural area</w:t>
            </w:r>
          </w:p>
        </w:tc>
        <w:tc>
          <w:tcPr>
            <w:tcW w:w="2993" w:type="dxa"/>
            <w:shd w:val="clear" w:color="auto" w:fill="17365D" w:themeFill="text2" w:themeFillShade="BF"/>
          </w:tcPr>
          <w:p w14:paraId="41E43B9B" w14:textId="77777777" w:rsidR="00EF01CA" w:rsidRPr="00EF01CA" w:rsidRDefault="00EF01CA" w:rsidP="00AE4638">
            <w:pPr>
              <w:pStyle w:val="TableParagraph"/>
              <w:spacing w:line="237" w:lineRule="exact"/>
              <w:ind w:left="57"/>
              <w:rPr>
                <w:rFonts w:asciiTheme="minorHAnsi" w:hAnsiTheme="minorHAnsi" w:cstheme="minorHAnsi"/>
                <w:b/>
              </w:rPr>
            </w:pPr>
            <w:r w:rsidRPr="00EF01CA">
              <w:rPr>
                <w:rFonts w:asciiTheme="minorHAnsi" w:hAnsiTheme="minorHAnsi" w:cstheme="minorHAnsi"/>
                <w:b/>
              </w:rPr>
              <w:t>Tribal area</w:t>
            </w:r>
          </w:p>
        </w:tc>
      </w:tr>
      <w:tr w:rsidR="00F97743" w:rsidRPr="00EF01CA" w14:paraId="578872DD" w14:textId="77777777" w:rsidTr="00F97743">
        <w:trPr>
          <w:trHeight w:val="75"/>
        </w:trPr>
        <w:tc>
          <w:tcPr>
            <w:tcW w:w="810" w:type="dxa"/>
          </w:tcPr>
          <w:p w14:paraId="146E08E4" w14:textId="77777777" w:rsidR="00EF01CA" w:rsidRPr="00EF01CA" w:rsidRDefault="00EF01CA" w:rsidP="00AE4638">
            <w:pPr>
              <w:pStyle w:val="TableParagraph"/>
              <w:spacing w:before="124"/>
              <w:ind w:left="311"/>
              <w:rPr>
                <w:rFonts w:asciiTheme="minorHAnsi" w:hAnsiTheme="minorHAnsi" w:cstheme="minorHAnsi"/>
              </w:rPr>
            </w:pPr>
            <w:r w:rsidRPr="00EF01CA">
              <w:rPr>
                <w:rFonts w:asciiTheme="minorHAnsi" w:hAnsiTheme="minorHAnsi" w:cstheme="minorHAnsi"/>
              </w:rPr>
              <w:t>1</w:t>
            </w:r>
          </w:p>
        </w:tc>
        <w:tc>
          <w:tcPr>
            <w:tcW w:w="2070" w:type="dxa"/>
          </w:tcPr>
          <w:p w14:paraId="5C57D4FD" w14:textId="77777777" w:rsidR="00EF01CA" w:rsidRPr="00EF01CA" w:rsidRDefault="00EF01CA" w:rsidP="00AE4638">
            <w:pPr>
              <w:pStyle w:val="TableParagraph"/>
              <w:spacing w:before="124"/>
              <w:ind w:left="57"/>
              <w:rPr>
                <w:rFonts w:asciiTheme="minorHAnsi" w:hAnsiTheme="minorHAnsi" w:cstheme="minorHAnsi"/>
              </w:rPr>
            </w:pPr>
            <w:r w:rsidRPr="00EF01CA">
              <w:rPr>
                <w:rFonts w:asciiTheme="minorHAnsi" w:hAnsiTheme="minorHAnsi" w:cstheme="minorHAnsi"/>
              </w:rPr>
              <w:t>Slum</w:t>
            </w:r>
          </w:p>
        </w:tc>
        <w:tc>
          <w:tcPr>
            <w:tcW w:w="3690" w:type="dxa"/>
          </w:tcPr>
          <w:p w14:paraId="3092D6A9" w14:textId="77777777" w:rsidR="00EF01CA" w:rsidRPr="00EF01CA" w:rsidRDefault="00EF01CA" w:rsidP="00AE4638">
            <w:pPr>
              <w:pStyle w:val="TableParagraph"/>
              <w:spacing w:before="124"/>
              <w:ind w:left="56"/>
              <w:rPr>
                <w:rFonts w:asciiTheme="minorHAnsi" w:hAnsiTheme="minorHAnsi" w:cstheme="minorHAnsi"/>
              </w:rPr>
            </w:pPr>
            <w:r w:rsidRPr="00EF01CA">
              <w:rPr>
                <w:rFonts w:asciiTheme="minorHAnsi" w:hAnsiTheme="minorHAnsi" w:cstheme="minorHAnsi"/>
              </w:rPr>
              <w:t>Difficult to reach villages</w:t>
            </w:r>
          </w:p>
        </w:tc>
        <w:tc>
          <w:tcPr>
            <w:tcW w:w="2993" w:type="dxa"/>
          </w:tcPr>
          <w:p w14:paraId="0C41E8B1" w14:textId="77777777" w:rsidR="00EF01CA" w:rsidRPr="00EF01CA" w:rsidRDefault="00EF01CA" w:rsidP="00AE4638">
            <w:pPr>
              <w:pStyle w:val="TableParagraph"/>
              <w:spacing w:line="254" w:lineRule="exact"/>
              <w:ind w:left="57" w:right="163"/>
              <w:rPr>
                <w:rFonts w:asciiTheme="minorHAnsi" w:hAnsiTheme="minorHAnsi" w:cstheme="minorHAnsi"/>
              </w:rPr>
            </w:pPr>
            <w:r w:rsidRPr="00EF01CA">
              <w:rPr>
                <w:rFonts w:asciiTheme="minorHAnsi" w:hAnsiTheme="minorHAnsi" w:cstheme="minorHAnsi"/>
              </w:rPr>
              <w:t>Difficult to reach villages and hamlets</w:t>
            </w:r>
          </w:p>
        </w:tc>
      </w:tr>
      <w:tr w:rsidR="00F97743" w:rsidRPr="00EF01CA" w14:paraId="74DB05F0" w14:textId="77777777" w:rsidTr="00F97743">
        <w:trPr>
          <w:trHeight w:val="75"/>
        </w:trPr>
        <w:tc>
          <w:tcPr>
            <w:tcW w:w="810" w:type="dxa"/>
          </w:tcPr>
          <w:p w14:paraId="28AB7AB4" w14:textId="77777777" w:rsidR="00EF01CA" w:rsidRPr="00EF01CA" w:rsidRDefault="00EF01CA" w:rsidP="00AE4638">
            <w:pPr>
              <w:pStyle w:val="TableParagraph"/>
              <w:spacing w:before="123"/>
              <w:ind w:left="311"/>
              <w:rPr>
                <w:rFonts w:asciiTheme="minorHAnsi" w:hAnsiTheme="minorHAnsi" w:cstheme="minorHAnsi"/>
              </w:rPr>
            </w:pPr>
            <w:r w:rsidRPr="00EF01CA">
              <w:rPr>
                <w:rFonts w:asciiTheme="minorHAnsi" w:hAnsiTheme="minorHAnsi" w:cstheme="minorHAnsi"/>
              </w:rPr>
              <w:t>2</w:t>
            </w:r>
          </w:p>
        </w:tc>
        <w:tc>
          <w:tcPr>
            <w:tcW w:w="2070" w:type="dxa"/>
          </w:tcPr>
          <w:p w14:paraId="558F0CE1" w14:textId="77777777" w:rsidR="00EF01CA" w:rsidRPr="00EF01CA" w:rsidRDefault="00EF01CA" w:rsidP="00AE4638">
            <w:pPr>
              <w:pStyle w:val="TableParagraph"/>
              <w:spacing w:before="123"/>
              <w:ind w:left="57"/>
              <w:rPr>
                <w:rFonts w:asciiTheme="minorHAnsi" w:hAnsiTheme="minorHAnsi" w:cstheme="minorHAnsi"/>
              </w:rPr>
            </w:pPr>
            <w:r w:rsidRPr="00EF01CA">
              <w:rPr>
                <w:rFonts w:asciiTheme="minorHAnsi" w:hAnsiTheme="minorHAnsi" w:cstheme="minorHAnsi"/>
              </w:rPr>
              <w:t>Prisons inmates</w:t>
            </w:r>
          </w:p>
        </w:tc>
        <w:tc>
          <w:tcPr>
            <w:tcW w:w="3690" w:type="dxa"/>
          </w:tcPr>
          <w:p w14:paraId="6BEDE422" w14:textId="77777777" w:rsidR="00EF01CA" w:rsidRPr="00EF01CA" w:rsidRDefault="00EF01CA" w:rsidP="00AE4638">
            <w:pPr>
              <w:pStyle w:val="TableParagraph"/>
              <w:spacing w:before="123"/>
              <w:ind w:left="56"/>
              <w:rPr>
                <w:rFonts w:asciiTheme="minorHAnsi" w:hAnsiTheme="minorHAnsi" w:cstheme="minorHAnsi"/>
              </w:rPr>
            </w:pPr>
            <w:r w:rsidRPr="00EF01CA">
              <w:rPr>
                <w:rFonts w:asciiTheme="minorHAnsi" w:hAnsiTheme="minorHAnsi" w:cstheme="minorHAnsi"/>
              </w:rPr>
              <w:t>Mine workers</w:t>
            </w:r>
          </w:p>
        </w:tc>
        <w:tc>
          <w:tcPr>
            <w:tcW w:w="2993" w:type="dxa"/>
          </w:tcPr>
          <w:p w14:paraId="2055E8BC" w14:textId="77777777" w:rsidR="00EF01CA" w:rsidRPr="00EF01CA" w:rsidRDefault="00EF01CA" w:rsidP="00AE4638">
            <w:pPr>
              <w:pStyle w:val="TableParagraph"/>
              <w:spacing w:line="249" w:lineRule="exact"/>
              <w:ind w:left="57"/>
              <w:rPr>
                <w:rFonts w:asciiTheme="minorHAnsi" w:hAnsiTheme="minorHAnsi" w:cstheme="minorHAnsi"/>
              </w:rPr>
            </w:pPr>
            <w:r w:rsidRPr="00EF01CA">
              <w:rPr>
                <w:rFonts w:asciiTheme="minorHAnsi" w:hAnsiTheme="minorHAnsi" w:cstheme="minorHAnsi"/>
              </w:rPr>
              <w:t>Villages with known</w:t>
            </w:r>
          </w:p>
          <w:p w14:paraId="1ACE3BDB" w14:textId="77777777" w:rsidR="00EF01CA" w:rsidRPr="00EF01CA" w:rsidRDefault="00EF01CA" w:rsidP="00AE4638">
            <w:pPr>
              <w:pStyle w:val="TableParagraph"/>
              <w:spacing w:before="1" w:line="234" w:lineRule="exact"/>
              <w:ind w:left="57"/>
              <w:rPr>
                <w:rFonts w:asciiTheme="minorHAnsi" w:hAnsiTheme="minorHAnsi" w:cstheme="minorHAnsi"/>
              </w:rPr>
            </w:pPr>
            <w:r w:rsidRPr="00EF01CA">
              <w:rPr>
                <w:rFonts w:asciiTheme="minorHAnsi" w:hAnsiTheme="minorHAnsi" w:cstheme="minorHAnsi"/>
              </w:rPr>
              <w:t>higher case load</w:t>
            </w:r>
          </w:p>
        </w:tc>
      </w:tr>
      <w:tr w:rsidR="00F97743" w:rsidRPr="00EF01CA" w14:paraId="1929442E" w14:textId="77777777" w:rsidTr="00F97743">
        <w:trPr>
          <w:trHeight w:val="287"/>
        </w:trPr>
        <w:tc>
          <w:tcPr>
            <w:tcW w:w="810" w:type="dxa"/>
          </w:tcPr>
          <w:p w14:paraId="117FD009" w14:textId="77777777" w:rsidR="00EF01CA" w:rsidRPr="00EF01CA" w:rsidRDefault="00EF01CA" w:rsidP="00AE4638">
            <w:pPr>
              <w:pStyle w:val="TableParagraph"/>
              <w:spacing w:before="14"/>
              <w:ind w:left="311"/>
              <w:rPr>
                <w:rFonts w:asciiTheme="minorHAnsi" w:hAnsiTheme="minorHAnsi" w:cstheme="minorHAnsi"/>
              </w:rPr>
            </w:pPr>
            <w:r w:rsidRPr="00EF01CA">
              <w:rPr>
                <w:rFonts w:asciiTheme="minorHAnsi" w:hAnsiTheme="minorHAnsi" w:cstheme="minorHAnsi"/>
              </w:rPr>
              <w:t>3</w:t>
            </w:r>
          </w:p>
        </w:tc>
        <w:tc>
          <w:tcPr>
            <w:tcW w:w="2070" w:type="dxa"/>
          </w:tcPr>
          <w:p w14:paraId="6F5CA8E2" w14:textId="77777777" w:rsidR="00EF01CA" w:rsidRPr="00EF01CA" w:rsidRDefault="00EF01CA" w:rsidP="00AE4638">
            <w:pPr>
              <w:pStyle w:val="TableParagraph"/>
              <w:spacing w:before="14"/>
              <w:ind w:left="57"/>
              <w:rPr>
                <w:rFonts w:asciiTheme="minorHAnsi" w:hAnsiTheme="minorHAnsi" w:cstheme="minorHAnsi"/>
              </w:rPr>
            </w:pPr>
            <w:r w:rsidRPr="00EF01CA">
              <w:rPr>
                <w:rFonts w:asciiTheme="minorHAnsi" w:hAnsiTheme="minorHAnsi" w:cstheme="minorHAnsi"/>
              </w:rPr>
              <w:t>Old Age homes</w:t>
            </w:r>
          </w:p>
        </w:tc>
        <w:tc>
          <w:tcPr>
            <w:tcW w:w="3690" w:type="dxa"/>
          </w:tcPr>
          <w:p w14:paraId="50C7C81B" w14:textId="77777777" w:rsidR="00EF01CA" w:rsidRPr="00EF01CA" w:rsidRDefault="00EF01CA" w:rsidP="00AE4638">
            <w:pPr>
              <w:pStyle w:val="TableParagraph"/>
              <w:spacing w:before="14"/>
              <w:ind w:left="56"/>
              <w:rPr>
                <w:rFonts w:asciiTheme="minorHAnsi" w:hAnsiTheme="minorHAnsi" w:cstheme="minorHAnsi"/>
              </w:rPr>
            </w:pPr>
            <w:r w:rsidRPr="00EF01CA">
              <w:rPr>
                <w:rFonts w:asciiTheme="minorHAnsi" w:hAnsiTheme="minorHAnsi" w:cstheme="minorHAnsi"/>
              </w:rPr>
              <w:t>Stone crusher workers</w:t>
            </w:r>
          </w:p>
        </w:tc>
        <w:tc>
          <w:tcPr>
            <w:tcW w:w="2993" w:type="dxa"/>
          </w:tcPr>
          <w:p w14:paraId="1B54A421" w14:textId="77777777" w:rsidR="00EF01CA" w:rsidRPr="00EF01CA" w:rsidRDefault="00EF01CA" w:rsidP="00AE4638">
            <w:pPr>
              <w:pStyle w:val="TableParagraph"/>
              <w:spacing w:before="14"/>
              <w:ind w:left="57"/>
              <w:rPr>
                <w:rFonts w:asciiTheme="minorHAnsi" w:hAnsiTheme="minorHAnsi" w:cstheme="minorHAnsi"/>
              </w:rPr>
            </w:pPr>
            <w:r w:rsidRPr="00EF01CA">
              <w:rPr>
                <w:rFonts w:asciiTheme="minorHAnsi" w:hAnsiTheme="minorHAnsi" w:cstheme="minorHAnsi"/>
              </w:rPr>
              <w:t>Tribal school hostels</w:t>
            </w:r>
          </w:p>
        </w:tc>
      </w:tr>
      <w:tr w:rsidR="00F97743" w:rsidRPr="00EF01CA" w14:paraId="25BAEBCC" w14:textId="77777777" w:rsidTr="00F97743">
        <w:trPr>
          <w:trHeight w:val="506"/>
        </w:trPr>
        <w:tc>
          <w:tcPr>
            <w:tcW w:w="810" w:type="dxa"/>
          </w:tcPr>
          <w:p w14:paraId="5F296968" w14:textId="77777777" w:rsidR="00EF01CA" w:rsidRPr="00EF01CA" w:rsidRDefault="00EF01CA" w:rsidP="00AE4638">
            <w:pPr>
              <w:pStyle w:val="TableParagraph"/>
              <w:spacing w:before="124"/>
              <w:ind w:left="311"/>
              <w:rPr>
                <w:rFonts w:asciiTheme="minorHAnsi" w:hAnsiTheme="minorHAnsi" w:cstheme="minorHAnsi"/>
              </w:rPr>
            </w:pPr>
            <w:r w:rsidRPr="00EF01CA">
              <w:rPr>
                <w:rFonts w:asciiTheme="minorHAnsi" w:hAnsiTheme="minorHAnsi" w:cstheme="minorHAnsi"/>
              </w:rPr>
              <w:t>4</w:t>
            </w:r>
          </w:p>
        </w:tc>
        <w:tc>
          <w:tcPr>
            <w:tcW w:w="2070" w:type="dxa"/>
          </w:tcPr>
          <w:p w14:paraId="52BDACAC" w14:textId="77777777" w:rsidR="00EF01CA" w:rsidRPr="00EF01CA" w:rsidRDefault="00EF01CA" w:rsidP="00AE4638">
            <w:pPr>
              <w:pStyle w:val="TableParagraph"/>
              <w:spacing w:line="254" w:lineRule="exact"/>
              <w:ind w:left="57" w:right="311"/>
              <w:rPr>
                <w:rFonts w:asciiTheme="minorHAnsi" w:hAnsiTheme="minorHAnsi" w:cstheme="minorHAnsi"/>
              </w:rPr>
            </w:pPr>
            <w:r w:rsidRPr="00EF01CA">
              <w:rPr>
                <w:rFonts w:asciiTheme="minorHAnsi" w:hAnsiTheme="minorHAnsi" w:cstheme="minorHAnsi"/>
              </w:rPr>
              <w:t>Construction site workers</w:t>
            </w:r>
          </w:p>
        </w:tc>
        <w:tc>
          <w:tcPr>
            <w:tcW w:w="3690" w:type="dxa"/>
          </w:tcPr>
          <w:p w14:paraId="51961FEB" w14:textId="77777777" w:rsidR="00EF01CA" w:rsidRPr="00EF01CA" w:rsidRDefault="00EF01CA" w:rsidP="00AE4638">
            <w:pPr>
              <w:pStyle w:val="TableParagraph"/>
              <w:spacing w:line="254" w:lineRule="exact"/>
              <w:ind w:left="56" w:right="448"/>
              <w:rPr>
                <w:rFonts w:asciiTheme="minorHAnsi" w:hAnsiTheme="minorHAnsi" w:cstheme="minorHAnsi"/>
              </w:rPr>
            </w:pPr>
            <w:r w:rsidRPr="00EF01CA">
              <w:rPr>
                <w:rFonts w:asciiTheme="minorHAnsi" w:hAnsiTheme="minorHAnsi" w:cstheme="minorHAnsi"/>
              </w:rPr>
              <w:t>Populations groups with high malnutrition</w:t>
            </w:r>
          </w:p>
        </w:tc>
        <w:tc>
          <w:tcPr>
            <w:tcW w:w="2993" w:type="dxa"/>
          </w:tcPr>
          <w:p w14:paraId="0753679F" w14:textId="77777777" w:rsidR="00EF01CA" w:rsidRPr="00EF01CA" w:rsidRDefault="00EF01CA" w:rsidP="00AE4638">
            <w:pPr>
              <w:pStyle w:val="TableParagraph"/>
              <w:spacing w:line="254" w:lineRule="exact"/>
              <w:ind w:left="57" w:right="1031"/>
              <w:rPr>
                <w:rFonts w:asciiTheme="minorHAnsi" w:hAnsiTheme="minorHAnsi" w:cstheme="minorHAnsi"/>
              </w:rPr>
            </w:pPr>
            <w:r w:rsidRPr="00EF01CA">
              <w:rPr>
                <w:rFonts w:asciiTheme="minorHAnsi" w:hAnsiTheme="minorHAnsi" w:cstheme="minorHAnsi"/>
              </w:rPr>
              <w:t>Areas with high malnutrition</w:t>
            </w:r>
          </w:p>
        </w:tc>
      </w:tr>
      <w:tr w:rsidR="00F97743" w:rsidRPr="00EF01CA" w14:paraId="656E8985" w14:textId="77777777" w:rsidTr="00F97743">
        <w:trPr>
          <w:trHeight w:val="504"/>
        </w:trPr>
        <w:tc>
          <w:tcPr>
            <w:tcW w:w="810" w:type="dxa"/>
          </w:tcPr>
          <w:p w14:paraId="0EF4AAF5" w14:textId="77777777" w:rsidR="00EF01CA" w:rsidRPr="00EF01CA" w:rsidRDefault="00EF01CA" w:rsidP="00AE4638">
            <w:pPr>
              <w:pStyle w:val="TableParagraph"/>
              <w:spacing w:before="123"/>
              <w:ind w:left="311"/>
              <w:rPr>
                <w:rFonts w:asciiTheme="minorHAnsi" w:hAnsiTheme="minorHAnsi" w:cstheme="minorHAnsi"/>
              </w:rPr>
            </w:pPr>
            <w:r w:rsidRPr="00EF01CA">
              <w:rPr>
                <w:rFonts w:asciiTheme="minorHAnsi" w:hAnsiTheme="minorHAnsi" w:cstheme="minorHAnsi"/>
              </w:rPr>
              <w:t>5</w:t>
            </w:r>
          </w:p>
        </w:tc>
        <w:tc>
          <w:tcPr>
            <w:tcW w:w="2070" w:type="dxa"/>
          </w:tcPr>
          <w:p w14:paraId="5B4F352C" w14:textId="77777777" w:rsidR="00EF01CA" w:rsidRPr="00EF01CA" w:rsidRDefault="00EF01CA" w:rsidP="00AE4638">
            <w:pPr>
              <w:pStyle w:val="TableParagraph"/>
              <w:spacing w:before="123"/>
              <w:ind w:left="57"/>
              <w:rPr>
                <w:rFonts w:asciiTheme="minorHAnsi" w:hAnsiTheme="minorHAnsi" w:cstheme="minorHAnsi"/>
              </w:rPr>
            </w:pPr>
            <w:r w:rsidRPr="00EF01CA">
              <w:rPr>
                <w:rFonts w:asciiTheme="minorHAnsi" w:hAnsiTheme="minorHAnsi" w:cstheme="minorHAnsi"/>
              </w:rPr>
              <w:t>Refugee camps</w:t>
            </w:r>
          </w:p>
        </w:tc>
        <w:tc>
          <w:tcPr>
            <w:tcW w:w="3690" w:type="dxa"/>
          </w:tcPr>
          <w:p w14:paraId="08B7AD5B" w14:textId="77777777" w:rsidR="00EF01CA" w:rsidRPr="00EF01CA" w:rsidRDefault="00EF01CA" w:rsidP="00AE4638">
            <w:pPr>
              <w:pStyle w:val="TableParagraph"/>
              <w:spacing w:line="252" w:lineRule="exact"/>
              <w:ind w:left="56" w:right="143"/>
              <w:rPr>
                <w:rFonts w:asciiTheme="minorHAnsi" w:hAnsiTheme="minorHAnsi" w:cstheme="minorHAnsi"/>
              </w:rPr>
            </w:pPr>
            <w:r w:rsidRPr="00EF01CA">
              <w:rPr>
                <w:rFonts w:asciiTheme="minorHAnsi" w:hAnsiTheme="minorHAnsi" w:cstheme="minorHAnsi"/>
              </w:rPr>
              <w:t>NACO/SACS identified high risk group for HIV</w:t>
            </w:r>
          </w:p>
        </w:tc>
        <w:tc>
          <w:tcPr>
            <w:tcW w:w="2993" w:type="dxa"/>
          </w:tcPr>
          <w:p w14:paraId="098243C5" w14:textId="77777777" w:rsidR="00EF01CA" w:rsidRPr="00EF01CA" w:rsidRDefault="00EF01CA" w:rsidP="00AE4638">
            <w:pPr>
              <w:pStyle w:val="TableParagraph"/>
              <w:spacing w:line="252" w:lineRule="exact"/>
              <w:ind w:left="57" w:right="297"/>
              <w:rPr>
                <w:rFonts w:asciiTheme="minorHAnsi" w:hAnsiTheme="minorHAnsi" w:cstheme="minorHAnsi"/>
              </w:rPr>
            </w:pPr>
            <w:r w:rsidRPr="00EF01CA">
              <w:rPr>
                <w:rFonts w:asciiTheme="minorHAnsi" w:hAnsiTheme="minorHAnsi" w:cstheme="minorHAnsi"/>
              </w:rPr>
              <w:t>Villages seeking care from traditional healers</w:t>
            </w:r>
          </w:p>
        </w:tc>
      </w:tr>
      <w:tr w:rsidR="00F97743" w:rsidRPr="00EF01CA" w14:paraId="0E38A655" w14:textId="77777777" w:rsidTr="00F97743">
        <w:trPr>
          <w:trHeight w:val="112"/>
        </w:trPr>
        <w:tc>
          <w:tcPr>
            <w:tcW w:w="810" w:type="dxa"/>
          </w:tcPr>
          <w:p w14:paraId="5C9EB2EB" w14:textId="77777777" w:rsidR="00EF01CA" w:rsidRPr="00EF01CA" w:rsidRDefault="00EF01CA" w:rsidP="00AE4638">
            <w:pPr>
              <w:pStyle w:val="TableParagraph"/>
              <w:spacing w:before="124"/>
              <w:ind w:left="311"/>
              <w:rPr>
                <w:rFonts w:asciiTheme="minorHAnsi" w:hAnsiTheme="minorHAnsi" w:cstheme="minorHAnsi"/>
              </w:rPr>
            </w:pPr>
            <w:r w:rsidRPr="00EF01CA">
              <w:rPr>
                <w:rFonts w:asciiTheme="minorHAnsi" w:hAnsiTheme="minorHAnsi" w:cstheme="minorHAnsi"/>
              </w:rPr>
              <w:t>6</w:t>
            </w:r>
          </w:p>
        </w:tc>
        <w:tc>
          <w:tcPr>
            <w:tcW w:w="2070" w:type="dxa"/>
          </w:tcPr>
          <w:p w14:paraId="4F42C806" w14:textId="77777777" w:rsidR="00EF01CA" w:rsidRPr="00EF01CA" w:rsidRDefault="00EF01CA" w:rsidP="00AE4638">
            <w:pPr>
              <w:pStyle w:val="TableParagraph"/>
              <w:spacing w:before="124"/>
              <w:ind w:left="57"/>
              <w:rPr>
                <w:rFonts w:asciiTheme="minorHAnsi" w:hAnsiTheme="minorHAnsi" w:cstheme="minorHAnsi"/>
              </w:rPr>
            </w:pPr>
            <w:r w:rsidRPr="00EF01CA">
              <w:rPr>
                <w:rFonts w:asciiTheme="minorHAnsi" w:hAnsiTheme="minorHAnsi" w:cstheme="minorHAnsi"/>
              </w:rPr>
              <w:t>Night shelters</w:t>
            </w:r>
          </w:p>
        </w:tc>
        <w:tc>
          <w:tcPr>
            <w:tcW w:w="3690" w:type="dxa"/>
          </w:tcPr>
          <w:p w14:paraId="5000622C" w14:textId="77777777" w:rsidR="00EF01CA" w:rsidRPr="00EF01CA" w:rsidRDefault="00EF01CA" w:rsidP="00AE4638">
            <w:pPr>
              <w:pStyle w:val="TableParagraph"/>
              <w:spacing w:before="2" w:line="252" w:lineRule="exact"/>
              <w:ind w:left="56" w:right="411"/>
              <w:rPr>
                <w:rFonts w:asciiTheme="minorHAnsi" w:hAnsiTheme="minorHAnsi" w:cstheme="minorHAnsi"/>
              </w:rPr>
            </w:pPr>
            <w:r w:rsidRPr="00EF01CA">
              <w:rPr>
                <w:rFonts w:asciiTheme="minorHAnsi" w:hAnsiTheme="minorHAnsi" w:cstheme="minorHAnsi"/>
              </w:rPr>
              <w:t>Weaving and Glass industrial workers</w:t>
            </w:r>
          </w:p>
        </w:tc>
        <w:tc>
          <w:tcPr>
            <w:tcW w:w="2993" w:type="dxa"/>
          </w:tcPr>
          <w:p w14:paraId="39C32394" w14:textId="77777777" w:rsidR="00EF01CA" w:rsidRPr="00EF01CA" w:rsidRDefault="00EF01CA" w:rsidP="00AE4638">
            <w:pPr>
              <w:pStyle w:val="TableParagraph"/>
              <w:spacing w:before="2" w:line="252" w:lineRule="exact"/>
              <w:ind w:left="57" w:right="469"/>
              <w:rPr>
                <w:rFonts w:asciiTheme="minorHAnsi" w:hAnsiTheme="minorHAnsi" w:cstheme="minorHAnsi"/>
              </w:rPr>
            </w:pPr>
            <w:r w:rsidRPr="00EF01CA">
              <w:rPr>
                <w:rFonts w:asciiTheme="minorHAnsi" w:hAnsiTheme="minorHAnsi" w:cstheme="minorHAnsi"/>
              </w:rPr>
              <w:t>Tribal areas with little ventilated huts</w:t>
            </w:r>
          </w:p>
        </w:tc>
      </w:tr>
      <w:tr w:rsidR="00F97743" w:rsidRPr="00EF01CA" w14:paraId="73E0755A" w14:textId="77777777" w:rsidTr="00F97743">
        <w:trPr>
          <w:trHeight w:val="328"/>
        </w:trPr>
        <w:tc>
          <w:tcPr>
            <w:tcW w:w="810" w:type="dxa"/>
          </w:tcPr>
          <w:p w14:paraId="2E51BBE2" w14:textId="77777777" w:rsidR="00EF01CA" w:rsidRPr="00EF01CA" w:rsidRDefault="00EF01CA" w:rsidP="00AE4638">
            <w:pPr>
              <w:pStyle w:val="TableParagraph"/>
              <w:spacing w:before="5"/>
              <w:rPr>
                <w:rFonts w:asciiTheme="minorHAnsi" w:hAnsiTheme="minorHAnsi" w:cstheme="minorHAnsi"/>
              </w:rPr>
            </w:pPr>
          </w:p>
          <w:p w14:paraId="10A19F00" w14:textId="77777777" w:rsidR="00EF01CA" w:rsidRPr="00EF01CA" w:rsidRDefault="00EF01CA" w:rsidP="00AE4638">
            <w:pPr>
              <w:pStyle w:val="TableParagraph"/>
              <w:ind w:left="311"/>
              <w:rPr>
                <w:rFonts w:asciiTheme="minorHAnsi" w:hAnsiTheme="minorHAnsi" w:cstheme="minorHAnsi"/>
              </w:rPr>
            </w:pPr>
            <w:r w:rsidRPr="00EF01CA">
              <w:rPr>
                <w:rFonts w:asciiTheme="minorHAnsi" w:hAnsiTheme="minorHAnsi" w:cstheme="minorHAnsi"/>
              </w:rPr>
              <w:t>7</w:t>
            </w:r>
          </w:p>
        </w:tc>
        <w:tc>
          <w:tcPr>
            <w:tcW w:w="2070" w:type="dxa"/>
          </w:tcPr>
          <w:p w14:paraId="235D8AEF" w14:textId="77777777" w:rsidR="00EF01CA" w:rsidRPr="00EF01CA" w:rsidRDefault="00EF01CA" w:rsidP="00AE4638">
            <w:pPr>
              <w:pStyle w:val="TableParagraph"/>
              <w:spacing w:line="250" w:lineRule="exact"/>
              <w:ind w:left="57"/>
              <w:rPr>
                <w:rFonts w:asciiTheme="minorHAnsi" w:hAnsiTheme="minorHAnsi" w:cstheme="minorHAnsi"/>
              </w:rPr>
            </w:pPr>
            <w:r w:rsidRPr="00EF01CA">
              <w:rPr>
                <w:rFonts w:asciiTheme="minorHAnsi" w:hAnsiTheme="minorHAnsi" w:cstheme="minorHAnsi"/>
              </w:rPr>
              <w:t>NACO/SACS</w:t>
            </w:r>
          </w:p>
          <w:p w14:paraId="56A7B4AF" w14:textId="77777777" w:rsidR="00EF01CA" w:rsidRPr="00EF01CA" w:rsidRDefault="00EF01CA" w:rsidP="00AE4638">
            <w:pPr>
              <w:pStyle w:val="TableParagraph"/>
              <w:spacing w:before="2" w:line="254" w:lineRule="exact"/>
              <w:ind w:left="57" w:right="189"/>
              <w:rPr>
                <w:rFonts w:asciiTheme="minorHAnsi" w:hAnsiTheme="minorHAnsi" w:cstheme="minorHAnsi"/>
              </w:rPr>
            </w:pPr>
            <w:r w:rsidRPr="00EF01CA">
              <w:rPr>
                <w:rFonts w:asciiTheme="minorHAnsi" w:hAnsiTheme="minorHAnsi" w:cstheme="minorHAnsi"/>
              </w:rPr>
              <w:t>identified high risk group for</w:t>
            </w:r>
            <w:r w:rsidRPr="00EF01CA">
              <w:rPr>
                <w:rFonts w:asciiTheme="minorHAnsi" w:hAnsiTheme="minorHAnsi" w:cstheme="minorHAnsi"/>
                <w:spacing w:val="-3"/>
              </w:rPr>
              <w:t xml:space="preserve"> </w:t>
            </w:r>
            <w:r w:rsidRPr="00EF01CA">
              <w:rPr>
                <w:rFonts w:asciiTheme="minorHAnsi" w:hAnsiTheme="minorHAnsi" w:cstheme="minorHAnsi"/>
              </w:rPr>
              <w:t>HIV</w:t>
            </w:r>
          </w:p>
        </w:tc>
        <w:tc>
          <w:tcPr>
            <w:tcW w:w="3690" w:type="dxa"/>
          </w:tcPr>
          <w:p w14:paraId="7ACB90D0" w14:textId="77777777" w:rsidR="00EF01CA" w:rsidRPr="00EF01CA" w:rsidRDefault="00EF01CA" w:rsidP="00AE4638">
            <w:pPr>
              <w:pStyle w:val="TableParagraph"/>
              <w:spacing w:before="5"/>
              <w:rPr>
                <w:rFonts w:asciiTheme="minorHAnsi" w:hAnsiTheme="minorHAnsi" w:cstheme="minorHAnsi"/>
              </w:rPr>
            </w:pPr>
          </w:p>
          <w:p w14:paraId="6E7F6356" w14:textId="77777777" w:rsidR="00EF01CA" w:rsidRPr="00EF01CA" w:rsidRDefault="00EF01CA" w:rsidP="00AE4638">
            <w:pPr>
              <w:pStyle w:val="TableParagraph"/>
              <w:ind w:left="56"/>
              <w:rPr>
                <w:rFonts w:asciiTheme="minorHAnsi" w:hAnsiTheme="minorHAnsi" w:cstheme="minorHAnsi"/>
              </w:rPr>
            </w:pPr>
            <w:r w:rsidRPr="00EF01CA">
              <w:rPr>
                <w:rFonts w:asciiTheme="minorHAnsi" w:hAnsiTheme="minorHAnsi" w:cstheme="minorHAnsi"/>
              </w:rPr>
              <w:t>Cotton mill workers</w:t>
            </w:r>
          </w:p>
        </w:tc>
        <w:tc>
          <w:tcPr>
            <w:tcW w:w="2993" w:type="dxa"/>
            <w:shd w:val="clear" w:color="auto" w:fill="17365D" w:themeFill="text2" w:themeFillShade="BF"/>
          </w:tcPr>
          <w:p w14:paraId="2812CA1D" w14:textId="77777777" w:rsidR="00EF01CA" w:rsidRPr="00EF01CA" w:rsidRDefault="00EF01CA" w:rsidP="00AE4638">
            <w:pPr>
              <w:pStyle w:val="TableParagraph"/>
              <w:rPr>
                <w:rFonts w:asciiTheme="minorHAnsi" w:hAnsiTheme="minorHAnsi" w:cstheme="minorHAnsi"/>
              </w:rPr>
            </w:pPr>
          </w:p>
        </w:tc>
      </w:tr>
      <w:tr w:rsidR="00F97743" w:rsidRPr="00EF01CA" w14:paraId="351B9E9E" w14:textId="77777777" w:rsidTr="00F97743">
        <w:trPr>
          <w:trHeight w:val="285"/>
        </w:trPr>
        <w:tc>
          <w:tcPr>
            <w:tcW w:w="810" w:type="dxa"/>
          </w:tcPr>
          <w:p w14:paraId="0502EE17" w14:textId="77777777" w:rsidR="00EF01CA" w:rsidRPr="00EF01CA" w:rsidRDefault="00EF01CA" w:rsidP="00AE4638">
            <w:pPr>
              <w:pStyle w:val="TableParagraph"/>
              <w:spacing w:before="12"/>
              <w:ind w:left="311"/>
              <w:rPr>
                <w:rFonts w:asciiTheme="minorHAnsi" w:hAnsiTheme="minorHAnsi" w:cstheme="minorHAnsi"/>
              </w:rPr>
            </w:pPr>
            <w:r w:rsidRPr="00EF01CA">
              <w:rPr>
                <w:rFonts w:asciiTheme="minorHAnsi" w:hAnsiTheme="minorHAnsi" w:cstheme="minorHAnsi"/>
              </w:rPr>
              <w:t>8</w:t>
            </w:r>
          </w:p>
        </w:tc>
        <w:tc>
          <w:tcPr>
            <w:tcW w:w="2070" w:type="dxa"/>
          </w:tcPr>
          <w:p w14:paraId="5C74AD83" w14:textId="77777777" w:rsidR="00EF01CA" w:rsidRPr="00EF01CA" w:rsidRDefault="00EF01CA" w:rsidP="00AE4638">
            <w:pPr>
              <w:pStyle w:val="TableParagraph"/>
              <w:spacing w:before="12"/>
              <w:ind w:left="57"/>
              <w:rPr>
                <w:rFonts w:asciiTheme="minorHAnsi" w:hAnsiTheme="minorHAnsi" w:cstheme="minorHAnsi"/>
              </w:rPr>
            </w:pPr>
            <w:r w:rsidRPr="00EF01CA">
              <w:rPr>
                <w:rFonts w:asciiTheme="minorHAnsi" w:hAnsiTheme="minorHAnsi" w:cstheme="minorHAnsi"/>
              </w:rPr>
              <w:t>Homeless</w:t>
            </w:r>
          </w:p>
        </w:tc>
        <w:tc>
          <w:tcPr>
            <w:tcW w:w="3690" w:type="dxa"/>
          </w:tcPr>
          <w:p w14:paraId="03316D89" w14:textId="77777777" w:rsidR="00EF01CA" w:rsidRPr="00EF01CA" w:rsidRDefault="00EF01CA" w:rsidP="00AE4638">
            <w:pPr>
              <w:pStyle w:val="TableParagraph"/>
              <w:spacing w:before="12"/>
              <w:ind w:left="56"/>
              <w:rPr>
                <w:rFonts w:asciiTheme="minorHAnsi" w:hAnsiTheme="minorHAnsi" w:cstheme="minorHAnsi"/>
              </w:rPr>
            </w:pPr>
            <w:r w:rsidRPr="00EF01CA">
              <w:rPr>
                <w:rFonts w:asciiTheme="minorHAnsi" w:hAnsiTheme="minorHAnsi" w:cstheme="minorHAnsi"/>
              </w:rPr>
              <w:t>Unorganized labour</w:t>
            </w:r>
          </w:p>
        </w:tc>
        <w:tc>
          <w:tcPr>
            <w:tcW w:w="2993" w:type="dxa"/>
            <w:shd w:val="clear" w:color="auto" w:fill="17365D" w:themeFill="text2" w:themeFillShade="BF"/>
          </w:tcPr>
          <w:p w14:paraId="1A43C650" w14:textId="77777777" w:rsidR="00EF01CA" w:rsidRPr="00EF01CA" w:rsidRDefault="00EF01CA" w:rsidP="00AE4638">
            <w:pPr>
              <w:pStyle w:val="TableParagraph"/>
              <w:rPr>
                <w:rFonts w:asciiTheme="minorHAnsi" w:hAnsiTheme="minorHAnsi" w:cstheme="minorHAnsi"/>
              </w:rPr>
            </w:pPr>
          </w:p>
        </w:tc>
      </w:tr>
      <w:tr w:rsidR="00F97743" w:rsidRPr="00EF01CA" w14:paraId="45B605D7" w14:textId="77777777" w:rsidTr="00F97743">
        <w:trPr>
          <w:trHeight w:val="287"/>
        </w:trPr>
        <w:tc>
          <w:tcPr>
            <w:tcW w:w="810" w:type="dxa"/>
          </w:tcPr>
          <w:p w14:paraId="7FA0DCAD" w14:textId="77777777" w:rsidR="00EF01CA" w:rsidRPr="00EF01CA" w:rsidRDefault="00EF01CA" w:rsidP="00AE4638">
            <w:pPr>
              <w:pStyle w:val="TableParagraph"/>
              <w:spacing w:before="14"/>
              <w:ind w:left="311"/>
              <w:rPr>
                <w:rFonts w:asciiTheme="minorHAnsi" w:hAnsiTheme="minorHAnsi" w:cstheme="minorHAnsi"/>
              </w:rPr>
            </w:pPr>
            <w:r w:rsidRPr="00EF01CA">
              <w:rPr>
                <w:rFonts w:asciiTheme="minorHAnsi" w:hAnsiTheme="minorHAnsi" w:cstheme="minorHAnsi"/>
              </w:rPr>
              <w:t>9</w:t>
            </w:r>
          </w:p>
        </w:tc>
        <w:tc>
          <w:tcPr>
            <w:tcW w:w="2070" w:type="dxa"/>
          </w:tcPr>
          <w:p w14:paraId="593ECB69" w14:textId="77777777" w:rsidR="00EF01CA" w:rsidRPr="00EF01CA" w:rsidRDefault="00EF01CA" w:rsidP="00AE4638">
            <w:pPr>
              <w:pStyle w:val="TableParagraph"/>
              <w:spacing w:before="14"/>
              <w:ind w:left="57"/>
              <w:rPr>
                <w:rFonts w:asciiTheme="minorHAnsi" w:hAnsiTheme="minorHAnsi" w:cstheme="minorHAnsi"/>
              </w:rPr>
            </w:pPr>
            <w:r w:rsidRPr="00EF01CA">
              <w:rPr>
                <w:rFonts w:asciiTheme="minorHAnsi" w:hAnsiTheme="minorHAnsi" w:cstheme="minorHAnsi"/>
              </w:rPr>
              <w:t>Street children</w:t>
            </w:r>
          </w:p>
        </w:tc>
        <w:tc>
          <w:tcPr>
            <w:tcW w:w="3690" w:type="dxa"/>
          </w:tcPr>
          <w:p w14:paraId="590E7101" w14:textId="77777777" w:rsidR="00EF01CA" w:rsidRPr="00EF01CA" w:rsidRDefault="00EF01CA" w:rsidP="00AE4638">
            <w:pPr>
              <w:pStyle w:val="TableParagraph"/>
              <w:spacing w:before="14"/>
              <w:ind w:left="56"/>
              <w:rPr>
                <w:rFonts w:asciiTheme="minorHAnsi" w:hAnsiTheme="minorHAnsi" w:cstheme="minorHAnsi"/>
              </w:rPr>
            </w:pPr>
            <w:r w:rsidRPr="00EF01CA">
              <w:rPr>
                <w:rFonts w:asciiTheme="minorHAnsi" w:hAnsiTheme="minorHAnsi" w:cstheme="minorHAnsi"/>
              </w:rPr>
              <w:t>Tea garden workers</w:t>
            </w:r>
          </w:p>
        </w:tc>
        <w:tc>
          <w:tcPr>
            <w:tcW w:w="2993" w:type="dxa"/>
            <w:shd w:val="clear" w:color="auto" w:fill="17365D" w:themeFill="text2" w:themeFillShade="BF"/>
          </w:tcPr>
          <w:p w14:paraId="1A1228DA" w14:textId="77777777" w:rsidR="00EF01CA" w:rsidRPr="00EF01CA" w:rsidRDefault="00EF01CA" w:rsidP="00AE4638">
            <w:pPr>
              <w:pStyle w:val="TableParagraph"/>
              <w:rPr>
                <w:rFonts w:asciiTheme="minorHAnsi" w:hAnsiTheme="minorHAnsi" w:cstheme="minorHAnsi"/>
              </w:rPr>
            </w:pPr>
          </w:p>
        </w:tc>
      </w:tr>
      <w:tr w:rsidR="00F97743" w:rsidRPr="00EF01CA" w14:paraId="0583F537" w14:textId="77777777" w:rsidTr="00F97743">
        <w:trPr>
          <w:trHeight w:val="506"/>
        </w:trPr>
        <w:tc>
          <w:tcPr>
            <w:tcW w:w="810" w:type="dxa"/>
          </w:tcPr>
          <w:p w14:paraId="730AF05B" w14:textId="77777777" w:rsidR="00EF01CA" w:rsidRPr="00EF01CA" w:rsidRDefault="00EF01CA" w:rsidP="00AE4638">
            <w:pPr>
              <w:pStyle w:val="TableParagraph"/>
              <w:spacing w:before="124"/>
              <w:ind w:left="251"/>
              <w:rPr>
                <w:rFonts w:asciiTheme="minorHAnsi" w:hAnsiTheme="minorHAnsi" w:cstheme="minorHAnsi"/>
              </w:rPr>
            </w:pPr>
            <w:r w:rsidRPr="00EF01CA">
              <w:rPr>
                <w:rFonts w:asciiTheme="minorHAnsi" w:hAnsiTheme="minorHAnsi" w:cstheme="minorHAnsi"/>
              </w:rPr>
              <w:t>10</w:t>
            </w:r>
          </w:p>
        </w:tc>
        <w:tc>
          <w:tcPr>
            <w:tcW w:w="2070" w:type="dxa"/>
          </w:tcPr>
          <w:p w14:paraId="05B3B871" w14:textId="77777777" w:rsidR="00EF01CA" w:rsidRPr="00EF01CA" w:rsidRDefault="00EF01CA" w:rsidP="00AE4638">
            <w:pPr>
              <w:pStyle w:val="TableParagraph"/>
              <w:spacing w:before="124"/>
              <w:ind w:left="57"/>
              <w:rPr>
                <w:rFonts w:asciiTheme="minorHAnsi" w:hAnsiTheme="minorHAnsi" w:cstheme="minorHAnsi"/>
              </w:rPr>
            </w:pPr>
            <w:r w:rsidRPr="00EF01CA">
              <w:rPr>
                <w:rFonts w:asciiTheme="minorHAnsi" w:hAnsiTheme="minorHAnsi" w:cstheme="minorHAnsi"/>
              </w:rPr>
              <w:t>Orphanages</w:t>
            </w:r>
          </w:p>
        </w:tc>
        <w:tc>
          <w:tcPr>
            <w:tcW w:w="3690" w:type="dxa"/>
          </w:tcPr>
          <w:p w14:paraId="5AB77162" w14:textId="77777777" w:rsidR="00EF01CA" w:rsidRPr="00EF01CA" w:rsidRDefault="00EF01CA" w:rsidP="00AE4638">
            <w:pPr>
              <w:pStyle w:val="TableParagraph"/>
              <w:spacing w:line="254" w:lineRule="exact"/>
              <w:ind w:left="56" w:right="472"/>
              <w:rPr>
                <w:rFonts w:asciiTheme="minorHAnsi" w:hAnsiTheme="minorHAnsi" w:cstheme="minorHAnsi"/>
              </w:rPr>
            </w:pPr>
            <w:r w:rsidRPr="00EF01CA">
              <w:rPr>
                <w:rFonts w:asciiTheme="minorHAnsi" w:hAnsiTheme="minorHAnsi" w:cstheme="minorHAnsi"/>
              </w:rPr>
              <w:t>Villages largely seeking care from traditional healers</w:t>
            </w:r>
          </w:p>
        </w:tc>
        <w:tc>
          <w:tcPr>
            <w:tcW w:w="2993" w:type="dxa"/>
            <w:shd w:val="clear" w:color="auto" w:fill="17365D" w:themeFill="text2" w:themeFillShade="BF"/>
          </w:tcPr>
          <w:p w14:paraId="4A85AE7E" w14:textId="77777777" w:rsidR="00EF01CA" w:rsidRPr="00EF01CA" w:rsidRDefault="00EF01CA" w:rsidP="00AE4638">
            <w:pPr>
              <w:pStyle w:val="TableParagraph"/>
              <w:rPr>
                <w:rFonts w:asciiTheme="minorHAnsi" w:hAnsiTheme="minorHAnsi" w:cstheme="minorHAnsi"/>
              </w:rPr>
            </w:pPr>
          </w:p>
        </w:tc>
      </w:tr>
      <w:tr w:rsidR="00EF01CA" w:rsidRPr="00EF01CA" w14:paraId="06D47ADE" w14:textId="77777777" w:rsidTr="00F97743">
        <w:trPr>
          <w:trHeight w:val="75"/>
        </w:trPr>
        <w:tc>
          <w:tcPr>
            <w:tcW w:w="810" w:type="dxa"/>
          </w:tcPr>
          <w:p w14:paraId="3262DF80" w14:textId="77777777" w:rsidR="00EF01CA" w:rsidRPr="00EF01CA" w:rsidRDefault="00EF01CA" w:rsidP="00AE4638">
            <w:pPr>
              <w:pStyle w:val="TableParagraph"/>
              <w:spacing w:before="12"/>
              <w:ind w:left="251"/>
              <w:rPr>
                <w:rFonts w:asciiTheme="minorHAnsi" w:hAnsiTheme="minorHAnsi" w:cstheme="minorHAnsi"/>
              </w:rPr>
            </w:pPr>
            <w:r w:rsidRPr="00EF01CA">
              <w:rPr>
                <w:rFonts w:asciiTheme="minorHAnsi" w:hAnsiTheme="minorHAnsi" w:cstheme="minorHAnsi"/>
              </w:rPr>
              <w:t>11</w:t>
            </w:r>
          </w:p>
        </w:tc>
        <w:tc>
          <w:tcPr>
            <w:tcW w:w="2070" w:type="dxa"/>
          </w:tcPr>
          <w:p w14:paraId="162504E6" w14:textId="77777777" w:rsidR="00EF01CA" w:rsidRPr="00EF01CA" w:rsidRDefault="00EF01CA" w:rsidP="00AE4638">
            <w:pPr>
              <w:pStyle w:val="TableParagraph"/>
              <w:spacing w:before="12"/>
              <w:ind w:left="57"/>
              <w:rPr>
                <w:rFonts w:asciiTheme="minorHAnsi" w:hAnsiTheme="minorHAnsi" w:cstheme="minorHAnsi"/>
              </w:rPr>
            </w:pPr>
            <w:r w:rsidRPr="00EF01CA">
              <w:rPr>
                <w:rFonts w:asciiTheme="minorHAnsi" w:hAnsiTheme="minorHAnsi" w:cstheme="minorHAnsi"/>
              </w:rPr>
              <w:t>Homes for destitute</w:t>
            </w:r>
          </w:p>
        </w:tc>
        <w:tc>
          <w:tcPr>
            <w:tcW w:w="3690" w:type="dxa"/>
            <w:shd w:val="clear" w:color="auto" w:fill="17365D" w:themeFill="text2" w:themeFillShade="BF"/>
          </w:tcPr>
          <w:p w14:paraId="2539A567" w14:textId="77777777" w:rsidR="00EF01CA" w:rsidRPr="00EF01CA" w:rsidRDefault="00EF01CA" w:rsidP="00AE4638">
            <w:pPr>
              <w:pStyle w:val="TableParagraph"/>
              <w:rPr>
                <w:rFonts w:asciiTheme="minorHAnsi" w:hAnsiTheme="minorHAnsi" w:cstheme="minorHAnsi"/>
              </w:rPr>
            </w:pPr>
          </w:p>
        </w:tc>
        <w:tc>
          <w:tcPr>
            <w:tcW w:w="2993" w:type="dxa"/>
            <w:shd w:val="clear" w:color="auto" w:fill="17365D" w:themeFill="text2" w:themeFillShade="BF"/>
          </w:tcPr>
          <w:p w14:paraId="2F8B1C96" w14:textId="77777777" w:rsidR="00EF01CA" w:rsidRPr="00EF01CA" w:rsidRDefault="00EF01CA" w:rsidP="00AE4638">
            <w:pPr>
              <w:pStyle w:val="TableParagraph"/>
              <w:rPr>
                <w:rFonts w:asciiTheme="minorHAnsi" w:hAnsiTheme="minorHAnsi" w:cstheme="minorHAnsi"/>
              </w:rPr>
            </w:pPr>
          </w:p>
        </w:tc>
      </w:tr>
      <w:tr w:rsidR="00EF01CA" w:rsidRPr="00EF01CA" w14:paraId="67F21B86" w14:textId="77777777" w:rsidTr="00F97743">
        <w:trPr>
          <w:trHeight w:val="287"/>
        </w:trPr>
        <w:tc>
          <w:tcPr>
            <w:tcW w:w="810" w:type="dxa"/>
          </w:tcPr>
          <w:p w14:paraId="207A37FE" w14:textId="77777777" w:rsidR="00EF01CA" w:rsidRPr="00EF01CA" w:rsidRDefault="00EF01CA" w:rsidP="00AE4638">
            <w:pPr>
              <w:pStyle w:val="TableParagraph"/>
              <w:spacing w:before="16" w:line="251" w:lineRule="exact"/>
              <w:ind w:left="251"/>
              <w:rPr>
                <w:rFonts w:asciiTheme="minorHAnsi" w:hAnsiTheme="minorHAnsi" w:cstheme="minorHAnsi"/>
              </w:rPr>
            </w:pPr>
            <w:r w:rsidRPr="00EF01CA">
              <w:rPr>
                <w:rFonts w:asciiTheme="minorHAnsi" w:hAnsiTheme="minorHAnsi" w:cstheme="minorHAnsi"/>
              </w:rPr>
              <w:t>12</w:t>
            </w:r>
          </w:p>
        </w:tc>
        <w:tc>
          <w:tcPr>
            <w:tcW w:w="2070" w:type="dxa"/>
          </w:tcPr>
          <w:p w14:paraId="0BC2DE99" w14:textId="77777777" w:rsidR="00EF01CA" w:rsidRPr="00EF01CA" w:rsidRDefault="00EF01CA" w:rsidP="00AE4638">
            <w:pPr>
              <w:pStyle w:val="TableParagraph"/>
              <w:spacing w:before="16" w:line="251" w:lineRule="exact"/>
              <w:ind w:left="57"/>
              <w:rPr>
                <w:rFonts w:asciiTheme="minorHAnsi" w:hAnsiTheme="minorHAnsi" w:cstheme="minorHAnsi"/>
              </w:rPr>
            </w:pPr>
            <w:r w:rsidRPr="00EF01CA">
              <w:rPr>
                <w:rFonts w:asciiTheme="minorHAnsi" w:hAnsiTheme="minorHAnsi" w:cstheme="minorHAnsi"/>
              </w:rPr>
              <w:t>Asylums</w:t>
            </w:r>
          </w:p>
        </w:tc>
        <w:tc>
          <w:tcPr>
            <w:tcW w:w="3690" w:type="dxa"/>
            <w:shd w:val="clear" w:color="auto" w:fill="17365D" w:themeFill="text2" w:themeFillShade="BF"/>
          </w:tcPr>
          <w:p w14:paraId="4DE24675" w14:textId="77777777" w:rsidR="00EF01CA" w:rsidRPr="00EF01CA" w:rsidRDefault="00EF01CA" w:rsidP="00AE4638">
            <w:pPr>
              <w:pStyle w:val="TableParagraph"/>
              <w:rPr>
                <w:rFonts w:asciiTheme="minorHAnsi" w:hAnsiTheme="minorHAnsi" w:cstheme="minorHAnsi"/>
              </w:rPr>
            </w:pPr>
          </w:p>
        </w:tc>
        <w:tc>
          <w:tcPr>
            <w:tcW w:w="2993" w:type="dxa"/>
            <w:shd w:val="clear" w:color="auto" w:fill="17365D" w:themeFill="text2" w:themeFillShade="BF"/>
          </w:tcPr>
          <w:p w14:paraId="7CB5DD27" w14:textId="77777777" w:rsidR="00EF01CA" w:rsidRPr="00EF01CA" w:rsidRDefault="00EF01CA" w:rsidP="00AE4638">
            <w:pPr>
              <w:pStyle w:val="TableParagraph"/>
              <w:rPr>
                <w:rFonts w:asciiTheme="minorHAnsi" w:hAnsiTheme="minorHAnsi" w:cstheme="minorHAnsi"/>
              </w:rPr>
            </w:pPr>
          </w:p>
        </w:tc>
      </w:tr>
    </w:tbl>
    <w:p w14:paraId="3B309767" w14:textId="07914C74" w:rsidR="009A4B41" w:rsidRPr="009A4B41" w:rsidRDefault="009A4B41" w:rsidP="00AA2B32">
      <w:pPr>
        <w:pStyle w:val="ListParagraph"/>
        <w:spacing w:after="0"/>
        <w:ind w:left="0"/>
        <w:jc w:val="both"/>
        <w:rPr>
          <w:rFonts w:asciiTheme="minorHAnsi" w:hAnsiTheme="minorHAnsi" w:cstheme="minorHAnsi"/>
          <w:sz w:val="22"/>
        </w:rPr>
      </w:pPr>
      <w:r w:rsidRPr="009A4B41">
        <w:rPr>
          <w:rFonts w:asciiTheme="minorHAnsi" w:hAnsiTheme="minorHAnsi" w:cstheme="minorHAnsi"/>
          <w:sz w:val="22"/>
        </w:rPr>
        <w:t>3.3.4.1</w:t>
      </w:r>
      <w:r w:rsidRPr="009A4B41">
        <w:rPr>
          <w:rFonts w:asciiTheme="minorHAnsi" w:hAnsiTheme="minorHAnsi" w:cstheme="minorHAnsi"/>
          <w:sz w:val="22"/>
        </w:rPr>
        <w:tab/>
        <w:t>Sensitization of the political and administrative leadership in the states.</w:t>
      </w:r>
    </w:p>
    <w:p w14:paraId="4F1D1188" w14:textId="337049DB" w:rsidR="00B213A5" w:rsidRDefault="00B213A5" w:rsidP="00C129C4">
      <w:pPr>
        <w:pStyle w:val="ListParagraph"/>
        <w:spacing w:before="0" w:after="0"/>
        <w:ind w:left="0"/>
        <w:jc w:val="both"/>
        <w:rPr>
          <w:rFonts w:asciiTheme="minorHAnsi" w:hAnsiTheme="minorHAnsi" w:cstheme="minorHAnsi"/>
          <w:sz w:val="22"/>
          <w:lang w:bidi="en-US"/>
        </w:rPr>
      </w:pPr>
      <w:r w:rsidRPr="009A4B41">
        <w:rPr>
          <w:rFonts w:asciiTheme="minorHAnsi" w:hAnsiTheme="minorHAnsi" w:cstheme="minorHAnsi"/>
          <w:sz w:val="22"/>
        </w:rPr>
        <w:t>3.3.4.</w:t>
      </w:r>
      <w:r>
        <w:rPr>
          <w:rFonts w:asciiTheme="minorHAnsi" w:hAnsiTheme="minorHAnsi" w:cstheme="minorHAnsi"/>
          <w:sz w:val="22"/>
        </w:rPr>
        <w:t>2 I</w:t>
      </w:r>
      <w:r w:rsidRPr="00B213A5">
        <w:rPr>
          <w:rFonts w:asciiTheme="minorHAnsi" w:hAnsiTheme="minorHAnsi" w:cstheme="minorHAnsi"/>
          <w:sz w:val="22"/>
          <w:lang w:bidi="en-US"/>
        </w:rPr>
        <w:t>dentify and map high risk / vulnerable population in local area.</w:t>
      </w:r>
    </w:p>
    <w:p w14:paraId="522D2FB8" w14:textId="022ABA68" w:rsidR="009A4B41" w:rsidRPr="009A4B41" w:rsidRDefault="00B213A5" w:rsidP="00C129C4">
      <w:pPr>
        <w:pStyle w:val="ListParagraph"/>
        <w:spacing w:before="0" w:after="0"/>
        <w:ind w:left="0"/>
        <w:jc w:val="both"/>
        <w:rPr>
          <w:rFonts w:asciiTheme="minorHAnsi" w:hAnsiTheme="minorHAnsi" w:cstheme="minorHAnsi"/>
          <w:sz w:val="22"/>
        </w:rPr>
      </w:pPr>
      <w:r>
        <w:rPr>
          <w:rFonts w:asciiTheme="minorHAnsi" w:hAnsiTheme="minorHAnsi" w:cstheme="minorHAnsi"/>
          <w:sz w:val="22"/>
        </w:rPr>
        <w:t>3.3.4.3</w:t>
      </w:r>
      <w:r w:rsidR="009A4B41" w:rsidRPr="009A4B41">
        <w:rPr>
          <w:rFonts w:asciiTheme="minorHAnsi" w:hAnsiTheme="minorHAnsi" w:cstheme="minorHAnsi"/>
          <w:sz w:val="22"/>
        </w:rPr>
        <w:tab/>
        <w:t>Active case finding in a campaign mode conducted in 3 rounds during the year.</w:t>
      </w:r>
    </w:p>
    <w:p w14:paraId="557E7581" w14:textId="32BA3E68" w:rsidR="00A67171" w:rsidRDefault="009A4B41" w:rsidP="00C129C4">
      <w:pPr>
        <w:pStyle w:val="ListParagraph"/>
        <w:spacing w:before="0" w:after="0"/>
        <w:ind w:left="0"/>
        <w:jc w:val="both"/>
        <w:rPr>
          <w:rFonts w:asciiTheme="minorHAnsi" w:hAnsiTheme="minorHAnsi" w:cstheme="minorHAnsi"/>
          <w:sz w:val="22"/>
        </w:rPr>
      </w:pPr>
      <w:r>
        <w:rPr>
          <w:rFonts w:asciiTheme="minorHAnsi" w:hAnsiTheme="minorHAnsi" w:cstheme="minorHAnsi"/>
          <w:sz w:val="22"/>
        </w:rPr>
        <w:t>3.3.4.</w:t>
      </w:r>
      <w:r w:rsidR="00B213A5">
        <w:rPr>
          <w:rFonts w:asciiTheme="minorHAnsi" w:hAnsiTheme="minorHAnsi" w:cstheme="minorHAnsi"/>
          <w:sz w:val="22"/>
        </w:rPr>
        <w:t>4</w:t>
      </w:r>
      <w:r w:rsidRPr="009A4B41">
        <w:rPr>
          <w:rFonts w:asciiTheme="minorHAnsi" w:hAnsiTheme="minorHAnsi" w:cstheme="minorHAnsi"/>
          <w:sz w:val="22"/>
        </w:rPr>
        <w:tab/>
        <w:t>Large scale IEC through print and electronic mass media and local channels about the campaign</w:t>
      </w:r>
      <w:r w:rsidR="006674FC">
        <w:rPr>
          <w:rFonts w:asciiTheme="minorHAnsi" w:hAnsiTheme="minorHAnsi" w:cstheme="minorHAnsi"/>
          <w:sz w:val="22"/>
        </w:rPr>
        <w:t xml:space="preserve"> </w:t>
      </w:r>
    </w:p>
    <w:p w14:paraId="2A3AF448" w14:textId="77777777" w:rsidR="006674FC" w:rsidRPr="009A4B41" w:rsidRDefault="006674FC" w:rsidP="00C129C4">
      <w:pPr>
        <w:pStyle w:val="ListParagraph"/>
        <w:spacing w:before="0" w:after="0"/>
        <w:ind w:left="0"/>
        <w:jc w:val="both"/>
        <w:rPr>
          <w:rFonts w:asciiTheme="minorHAnsi" w:hAnsiTheme="minorHAnsi" w:cstheme="minorHAnsi"/>
          <w:sz w:val="22"/>
        </w:rPr>
      </w:pPr>
    </w:p>
    <w:p w14:paraId="75E044C4" w14:textId="51ED3360" w:rsidR="00A67171" w:rsidRDefault="00A67171" w:rsidP="0030030B">
      <w:pPr>
        <w:pStyle w:val="ListParagraph"/>
        <w:spacing w:before="0" w:after="0"/>
        <w:ind w:left="0"/>
        <w:jc w:val="both"/>
        <w:rPr>
          <w:rFonts w:asciiTheme="minorHAnsi" w:hAnsiTheme="minorHAnsi" w:cstheme="minorHAnsi"/>
          <w:b/>
          <w:sz w:val="22"/>
        </w:rPr>
      </w:pPr>
      <w:r w:rsidRPr="00193DF1">
        <w:rPr>
          <w:rFonts w:asciiTheme="minorHAnsi" w:hAnsiTheme="minorHAnsi" w:cstheme="minorHAnsi"/>
          <w:b/>
          <w:sz w:val="22"/>
        </w:rPr>
        <w:t xml:space="preserve">3.3.5 </w:t>
      </w:r>
      <w:r w:rsidRPr="00DA2622">
        <w:rPr>
          <w:rFonts w:asciiTheme="minorHAnsi" w:hAnsiTheme="minorHAnsi" w:cstheme="minorHAnsi"/>
          <w:b/>
          <w:sz w:val="22"/>
        </w:rPr>
        <w:t>Systematic screen</w:t>
      </w:r>
      <w:r>
        <w:rPr>
          <w:rFonts w:asciiTheme="minorHAnsi" w:hAnsiTheme="minorHAnsi" w:cstheme="minorHAnsi"/>
          <w:b/>
          <w:sz w:val="22"/>
        </w:rPr>
        <w:t xml:space="preserve">ing for symptoms in </w:t>
      </w:r>
      <w:r w:rsidR="00193DF1">
        <w:rPr>
          <w:rFonts w:asciiTheme="minorHAnsi" w:hAnsiTheme="minorHAnsi" w:cstheme="minorHAnsi"/>
          <w:b/>
          <w:sz w:val="22"/>
        </w:rPr>
        <w:t>health care institutions/ OPDs</w:t>
      </w:r>
    </w:p>
    <w:p w14:paraId="5C18D7E2" w14:textId="77F29A4C" w:rsidR="00A67171" w:rsidRDefault="00193DF1" w:rsidP="0030030B">
      <w:pPr>
        <w:pStyle w:val="ListParagraph"/>
        <w:spacing w:before="0" w:after="0"/>
        <w:ind w:left="0"/>
        <w:jc w:val="both"/>
        <w:rPr>
          <w:rFonts w:asciiTheme="minorHAnsi" w:hAnsiTheme="minorHAnsi" w:cstheme="minorHAnsi"/>
          <w:sz w:val="22"/>
        </w:rPr>
      </w:pPr>
      <w:r>
        <w:rPr>
          <w:rFonts w:asciiTheme="minorHAnsi" w:hAnsiTheme="minorHAnsi" w:cstheme="minorHAnsi"/>
          <w:sz w:val="22"/>
        </w:rPr>
        <w:t xml:space="preserve">3.3.5.1 </w:t>
      </w:r>
      <w:r w:rsidR="00A67171" w:rsidRPr="00193DF1">
        <w:rPr>
          <w:rFonts w:asciiTheme="minorHAnsi" w:hAnsiTheme="minorHAnsi" w:cstheme="minorHAnsi"/>
          <w:sz w:val="22"/>
        </w:rPr>
        <w:t xml:space="preserve">Put in place administrative measures to identify and fast track the chest </w:t>
      </w:r>
      <w:r w:rsidR="00203D70" w:rsidRPr="00193DF1">
        <w:rPr>
          <w:rFonts w:asciiTheme="minorHAnsi" w:hAnsiTheme="minorHAnsi" w:cstheme="minorHAnsi"/>
          <w:sz w:val="22"/>
        </w:rPr>
        <w:t>symptomatic</w:t>
      </w:r>
      <w:r w:rsidR="00A67171" w:rsidRPr="00193DF1">
        <w:rPr>
          <w:rFonts w:asciiTheme="minorHAnsi" w:hAnsiTheme="minorHAnsi" w:cstheme="minorHAnsi"/>
          <w:sz w:val="22"/>
        </w:rPr>
        <w:t xml:space="preserve"> attending OPDs and other clinical set ups to enable rapid consultations and investigations, thus minimizing transmission rates in hospital OPDs</w:t>
      </w:r>
      <w:r w:rsidR="006674FC">
        <w:rPr>
          <w:rFonts w:asciiTheme="minorHAnsi" w:hAnsiTheme="minorHAnsi" w:cstheme="minorHAnsi"/>
          <w:sz w:val="22"/>
        </w:rPr>
        <w:t xml:space="preserve"> </w:t>
      </w:r>
    </w:p>
    <w:p w14:paraId="2DF8E3DD" w14:textId="77777777" w:rsidR="006674FC" w:rsidRPr="00193DF1" w:rsidRDefault="006674FC" w:rsidP="0030030B">
      <w:pPr>
        <w:pStyle w:val="ListParagraph"/>
        <w:spacing w:before="0" w:after="0"/>
        <w:ind w:left="0"/>
        <w:jc w:val="both"/>
        <w:rPr>
          <w:rFonts w:asciiTheme="minorHAnsi" w:hAnsiTheme="minorHAnsi" w:cstheme="minorHAnsi"/>
          <w:b/>
          <w:sz w:val="24"/>
        </w:rPr>
      </w:pPr>
    </w:p>
    <w:p w14:paraId="313991A2" w14:textId="2EFA77A9" w:rsidR="00DB12F4" w:rsidRDefault="00DA2622" w:rsidP="0030030B">
      <w:pPr>
        <w:pStyle w:val="ListParagraph"/>
        <w:spacing w:before="0" w:after="0"/>
        <w:ind w:left="0"/>
        <w:jc w:val="both"/>
        <w:rPr>
          <w:rFonts w:asciiTheme="minorHAnsi" w:hAnsiTheme="minorHAnsi" w:cstheme="minorHAnsi"/>
          <w:b/>
          <w:sz w:val="22"/>
        </w:rPr>
      </w:pPr>
      <w:r>
        <w:rPr>
          <w:rFonts w:asciiTheme="minorHAnsi" w:hAnsiTheme="minorHAnsi" w:cstheme="minorHAnsi"/>
          <w:b/>
          <w:sz w:val="22"/>
        </w:rPr>
        <w:t>3.3.</w:t>
      </w:r>
      <w:r w:rsidR="00A67171">
        <w:rPr>
          <w:rFonts w:asciiTheme="minorHAnsi" w:hAnsiTheme="minorHAnsi" w:cstheme="minorHAnsi"/>
          <w:b/>
          <w:sz w:val="22"/>
        </w:rPr>
        <w:t>6</w:t>
      </w:r>
      <w:r>
        <w:rPr>
          <w:rFonts w:asciiTheme="minorHAnsi" w:hAnsiTheme="minorHAnsi" w:cstheme="minorHAnsi"/>
          <w:b/>
          <w:sz w:val="22"/>
        </w:rPr>
        <w:t xml:space="preserve"> </w:t>
      </w:r>
      <w:r w:rsidRPr="00DA2622">
        <w:rPr>
          <w:rFonts w:asciiTheme="minorHAnsi" w:hAnsiTheme="minorHAnsi" w:cstheme="minorHAnsi"/>
          <w:b/>
          <w:sz w:val="22"/>
        </w:rPr>
        <w:t>Intensified contact tracing/investigation: to cover baseline and follow up</w:t>
      </w:r>
    </w:p>
    <w:p w14:paraId="7A025330" w14:textId="0D4FCBB7" w:rsidR="00987FBB" w:rsidRPr="00987FBB" w:rsidRDefault="00987FBB" w:rsidP="00987FBB">
      <w:pPr>
        <w:spacing w:before="0" w:after="0"/>
        <w:jc w:val="both"/>
        <w:rPr>
          <w:rFonts w:asciiTheme="minorHAnsi" w:hAnsiTheme="minorHAnsi" w:cstheme="minorHAnsi"/>
          <w:sz w:val="22"/>
        </w:rPr>
      </w:pPr>
      <w:r>
        <w:rPr>
          <w:rFonts w:asciiTheme="minorHAnsi" w:hAnsiTheme="minorHAnsi" w:cstheme="minorHAnsi"/>
          <w:sz w:val="22"/>
        </w:rPr>
        <w:t>3.3.6.1 M</w:t>
      </w:r>
      <w:r w:rsidRPr="00987FBB">
        <w:rPr>
          <w:rFonts w:asciiTheme="minorHAnsi" w:hAnsiTheme="minorHAnsi" w:cstheme="minorHAnsi"/>
          <w:sz w:val="22"/>
        </w:rPr>
        <w:t>onitor and supervise quality and completeness of contact tracing</w:t>
      </w:r>
    </w:p>
    <w:p w14:paraId="463E5CB0" w14:textId="3116410F" w:rsidR="00987FBB" w:rsidRPr="00987FBB" w:rsidRDefault="00987FBB" w:rsidP="00987FBB">
      <w:pPr>
        <w:spacing w:before="0" w:after="0"/>
        <w:jc w:val="both"/>
        <w:rPr>
          <w:rFonts w:asciiTheme="minorHAnsi" w:hAnsiTheme="minorHAnsi" w:cstheme="minorHAnsi"/>
          <w:sz w:val="22"/>
        </w:rPr>
      </w:pPr>
      <w:r>
        <w:rPr>
          <w:rFonts w:asciiTheme="minorHAnsi" w:hAnsiTheme="minorHAnsi" w:cstheme="minorHAnsi"/>
          <w:sz w:val="22"/>
        </w:rPr>
        <w:t xml:space="preserve">3.3.6.2 </w:t>
      </w:r>
      <w:r w:rsidRPr="00987FBB">
        <w:rPr>
          <w:rFonts w:asciiTheme="minorHAnsi" w:hAnsiTheme="minorHAnsi" w:cstheme="minorHAnsi"/>
          <w:sz w:val="22"/>
        </w:rPr>
        <w:t>Hold the program accountable for completeness and quality of contact tracing, by including in state scoring system.</w:t>
      </w:r>
    </w:p>
    <w:p w14:paraId="61769657" w14:textId="6468F015" w:rsidR="00987FBB" w:rsidRPr="00987FBB" w:rsidRDefault="00987FBB" w:rsidP="00987FBB">
      <w:pPr>
        <w:spacing w:before="0" w:after="0"/>
        <w:jc w:val="both"/>
        <w:rPr>
          <w:rFonts w:asciiTheme="minorHAnsi" w:hAnsiTheme="minorHAnsi" w:cstheme="minorHAnsi"/>
          <w:sz w:val="22"/>
        </w:rPr>
      </w:pPr>
      <w:r>
        <w:rPr>
          <w:rFonts w:asciiTheme="minorHAnsi" w:hAnsiTheme="minorHAnsi" w:cstheme="minorHAnsi"/>
          <w:sz w:val="22"/>
        </w:rPr>
        <w:t xml:space="preserve">3.3.6.3 </w:t>
      </w:r>
      <w:r w:rsidRPr="00987FBB">
        <w:rPr>
          <w:rFonts w:asciiTheme="minorHAnsi" w:hAnsiTheme="minorHAnsi" w:cstheme="minorHAnsi"/>
          <w:sz w:val="22"/>
        </w:rPr>
        <w:t xml:space="preserve">Ensure that </w:t>
      </w:r>
      <w:r w:rsidR="00203D70">
        <w:rPr>
          <w:rFonts w:asciiTheme="minorHAnsi" w:hAnsiTheme="minorHAnsi" w:cstheme="minorHAnsi"/>
          <w:sz w:val="22"/>
        </w:rPr>
        <w:t xml:space="preserve">reverse </w:t>
      </w:r>
      <w:r w:rsidRPr="00987FBB">
        <w:rPr>
          <w:rFonts w:asciiTheme="minorHAnsi" w:hAnsiTheme="minorHAnsi" w:cstheme="minorHAnsi"/>
          <w:sz w:val="22"/>
        </w:rPr>
        <w:t>contact tracing of pediatric TB patients to identify the index case is done for all pediatric TB patients</w:t>
      </w:r>
    </w:p>
    <w:p w14:paraId="1D726F9C" w14:textId="4EECFBC1" w:rsidR="00987FBB" w:rsidRPr="00987FBB" w:rsidRDefault="00987FBB" w:rsidP="00987FBB">
      <w:pPr>
        <w:spacing w:before="0" w:after="0"/>
        <w:jc w:val="both"/>
        <w:rPr>
          <w:rFonts w:asciiTheme="minorHAnsi" w:hAnsiTheme="minorHAnsi" w:cstheme="minorHAnsi"/>
          <w:sz w:val="22"/>
        </w:rPr>
      </w:pPr>
      <w:r>
        <w:rPr>
          <w:rFonts w:asciiTheme="minorHAnsi" w:hAnsiTheme="minorHAnsi" w:cstheme="minorHAnsi"/>
          <w:sz w:val="22"/>
        </w:rPr>
        <w:t xml:space="preserve">3.3.6.4 </w:t>
      </w:r>
      <w:r w:rsidRPr="00987FBB">
        <w:rPr>
          <w:rFonts w:asciiTheme="minorHAnsi" w:hAnsiTheme="minorHAnsi" w:cstheme="minorHAnsi"/>
          <w:sz w:val="22"/>
        </w:rPr>
        <w:t>Repeat contact tracing at end of treatment and during follow-up to detect newly developed cases and document treatment outcome</w:t>
      </w:r>
    </w:p>
    <w:p w14:paraId="75D17180" w14:textId="568B8D0C" w:rsidR="0064691B" w:rsidRDefault="00987FBB" w:rsidP="0064691B">
      <w:pPr>
        <w:spacing w:before="0" w:after="0"/>
        <w:jc w:val="both"/>
        <w:rPr>
          <w:rFonts w:ascii="Calibri" w:hAnsi="Calibri" w:cs="Calibri"/>
          <w:b/>
          <w:bCs/>
          <w:sz w:val="22"/>
        </w:rPr>
      </w:pPr>
      <w:r>
        <w:rPr>
          <w:rFonts w:asciiTheme="minorHAnsi" w:hAnsiTheme="minorHAnsi" w:cstheme="minorHAnsi"/>
          <w:sz w:val="22"/>
        </w:rPr>
        <w:t xml:space="preserve">3.3.6.5 </w:t>
      </w:r>
      <w:r w:rsidRPr="00987FBB">
        <w:rPr>
          <w:rFonts w:asciiTheme="minorHAnsi" w:hAnsiTheme="minorHAnsi" w:cstheme="minorHAnsi"/>
          <w:sz w:val="22"/>
        </w:rPr>
        <w:t>Ensure availability</w:t>
      </w:r>
      <w:r w:rsidRPr="00987FBB">
        <w:rPr>
          <w:rFonts w:asciiTheme="minorHAnsi" w:hAnsiTheme="minorHAnsi" w:cstheme="minorHAnsi"/>
          <w:b/>
          <w:sz w:val="22"/>
        </w:rPr>
        <w:t xml:space="preserve"> of testing</w:t>
      </w:r>
      <w:r w:rsidR="0064691B">
        <w:rPr>
          <w:rFonts w:asciiTheme="minorHAnsi" w:hAnsiTheme="minorHAnsi" w:cstheme="minorHAnsi"/>
          <w:b/>
          <w:sz w:val="22"/>
        </w:rPr>
        <w:t xml:space="preserve"> (TST, IGRA, etc.) </w:t>
      </w:r>
      <w:r w:rsidRPr="00987FBB">
        <w:rPr>
          <w:rFonts w:asciiTheme="minorHAnsi" w:hAnsiTheme="minorHAnsi" w:cstheme="minorHAnsi"/>
          <w:b/>
          <w:sz w:val="22"/>
        </w:rPr>
        <w:t>and follow-up (TPT) for contacts</w:t>
      </w:r>
      <w:r w:rsidR="0064691B">
        <w:rPr>
          <w:rFonts w:asciiTheme="minorHAnsi" w:hAnsiTheme="minorHAnsi" w:cstheme="minorHAnsi"/>
          <w:b/>
          <w:sz w:val="22"/>
        </w:rPr>
        <w:t xml:space="preserve"> </w:t>
      </w:r>
      <w:r w:rsidR="0064691B" w:rsidRPr="0061288C">
        <w:rPr>
          <w:rFonts w:ascii="Calibri" w:hAnsi="Calibri" w:cs="Calibri"/>
          <w:sz w:val="22"/>
        </w:rPr>
        <w:t>and link to appropriate TB treatment or TB preventive treatment.</w:t>
      </w:r>
    </w:p>
    <w:p w14:paraId="43E436C1" w14:textId="1E7E7EC1" w:rsidR="00A67171" w:rsidRPr="00987FBB" w:rsidRDefault="00A67171" w:rsidP="00987FBB">
      <w:pPr>
        <w:spacing w:before="0" w:after="0"/>
        <w:jc w:val="both"/>
        <w:rPr>
          <w:rFonts w:asciiTheme="minorHAnsi" w:hAnsiTheme="minorHAnsi" w:cstheme="minorHAnsi"/>
          <w:b/>
          <w:sz w:val="22"/>
        </w:rPr>
      </w:pPr>
    </w:p>
    <w:p w14:paraId="28F23CB3" w14:textId="77777777" w:rsidR="00680C3F" w:rsidRPr="00680C3F" w:rsidRDefault="00680C3F" w:rsidP="00680C3F">
      <w:pPr>
        <w:spacing w:before="0" w:after="0"/>
        <w:jc w:val="both"/>
        <w:rPr>
          <w:rFonts w:asciiTheme="minorHAnsi" w:hAnsiTheme="minorHAnsi" w:cstheme="minorHAnsi"/>
          <w:sz w:val="22"/>
        </w:rPr>
      </w:pPr>
    </w:p>
    <w:p w14:paraId="0894B977" w14:textId="77777777" w:rsidR="00DB12F4" w:rsidRDefault="00DB12F4" w:rsidP="00C129C4">
      <w:pPr>
        <w:pStyle w:val="ListParagraph"/>
        <w:spacing w:before="0" w:after="0"/>
        <w:ind w:left="0"/>
        <w:jc w:val="both"/>
        <w:rPr>
          <w:rFonts w:asciiTheme="minorHAnsi" w:hAnsiTheme="minorHAnsi" w:cstheme="minorHAnsi"/>
          <w:b/>
          <w:sz w:val="22"/>
        </w:rPr>
      </w:pPr>
    </w:p>
    <w:p w14:paraId="4C9BB3E4" w14:textId="77777777" w:rsidR="00DB12F4" w:rsidRDefault="00DB12F4" w:rsidP="00C129C4">
      <w:pPr>
        <w:pStyle w:val="ListParagraph"/>
        <w:spacing w:before="0" w:after="0"/>
        <w:ind w:left="0"/>
        <w:jc w:val="both"/>
        <w:rPr>
          <w:rFonts w:asciiTheme="minorHAnsi" w:hAnsiTheme="minorHAnsi" w:cstheme="minorHAnsi"/>
          <w:b/>
          <w:sz w:val="22"/>
        </w:rPr>
      </w:pPr>
    </w:p>
    <w:p w14:paraId="312E1FF4" w14:textId="77777777" w:rsidR="00DB12F4" w:rsidRDefault="00DB12F4" w:rsidP="00C129C4">
      <w:pPr>
        <w:pStyle w:val="ListParagraph"/>
        <w:spacing w:before="0" w:after="0"/>
        <w:ind w:left="0"/>
        <w:jc w:val="both"/>
        <w:rPr>
          <w:rFonts w:asciiTheme="minorHAnsi" w:hAnsiTheme="minorHAnsi" w:cstheme="minorHAnsi"/>
          <w:b/>
          <w:sz w:val="22"/>
        </w:rPr>
      </w:pPr>
    </w:p>
    <w:p w14:paraId="518CA10A" w14:textId="77777777" w:rsidR="00DB12F4" w:rsidRDefault="00DB12F4" w:rsidP="00C129C4">
      <w:pPr>
        <w:pStyle w:val="ListParagraph"/>
        <w:spacing w:before="0" w:after="0"/>
        <w:ind w:left="0"/>
        <w:jc w:val="both"/>
        <w:rPr>
          <w:rFonts w:asciiTheme="minorHAnsi" w:hAnsiTheme="minorHAnsi" w:cstheme="minorHAnsi"/>
          <w:b/>
          <w:sz w:val="22"/>
        </w:rPr>
      </w:pPr>
    </w:p>
    <w:p w14:paraId="1B0AEED3" w14:textId="77777777" w:rsidR="00DB12F4" w:rsidRDefault="00DB12F4" w:rsidP="00C129C4">
      <w:pPr>
        <w:pStyle w:val="ListParagraph"/>
        <w:spacing w:before="0" w:after="0"/>
        <w:ind w:left="0"/>
        <w:jc w:val="both"/>
        <w:rPr>
          <w:rFonts w:asciiTheme="minorHAnsi" w:hAnsiTheme="minorHAnsi" w:cstheme="minorHAnsi"/>
          <w:b/>
          <w:sz w:val="22"/>
        </w:rPr>
      </w:pPr>
    </w:p>
    <w:bookmarkEnd w:id="65"/>
    <w:p w14:paraId="7DA00B44" w14:textId="0E940F96" w:rsidR="0015012E" w:rsidRDefault="0015012E">
      <w:pPr>
        <w:spacing w:before="0" w:after="0"/>
        <w:rPr>
          <w:rFonts w:asciiTheme="minorHAnsi" w:eastAsia="Times New Roman" w:hAnsiTheme="minorHAnsi" w:cstheme="minorHAnsi"/>
          <w:b/>
          <w:caps/>
          <w:snapToGrid w:val="0"/>
          <w:sz w:val="36"/>
          <w:szCs w:val="28"/>
        </w:rPr>
      </w:pPr>
      <w:r>
        <w:rPr>
          <w:rFonts w:asciiTheme="minorHAnsi" w:hAnsiTheme="minorHAnsi" w:cstheme="minorHAnsi"/>
          <w:b/>
          <w:noProof/>
          <w:sz w:val="28"/>
          <w:szCs w:val="28"/>
          <w:lang w:val="en-IN" w:eastAsia="en-IN"/>
        </w:rPr>
        <w:lastRenderedPageBreak/>
        <mc:AlternateContent>
          <mc:Choice Requires="wps">
            <w:drawing>
              <wp:anchor distT="0" distB="0" distL="114300" distR="114300" simplePos="0" relativeHeight="251660288" behindDoc="0" locked="0" layoutInCell="1" allowOverlap="1" wp14:anchorId="6126B14D" wp14:editId="3C7953C6">
                <wp:simplePos x="0" y="0"/>
                <wp:positionH relativeFrom="column">
                  <wp:posOffset>-588010</wp:posOffset>
                </wp:positionH>
                <wp:positionV relativeFrom="paragraph">
                  <wp:posOffset>-650240</wp:posOffset>
                </wp:positionV>
                <wp:extent cx="6878955" cy="9796780"/>
                <wp:effectExtent l="0" t="0" r="17145" b="13970"/>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9796780"/>
                        </a:xfrm>
                        <a:prstGeom prst="rect">
                          <a:avLst/>
                        </a:prstGeom>
                        <a:solidFill>
                          <a:schemeClr val="tx2">
                            <a:lumMod val="75000"/>
                          </a:schemeClr>
                        </a:solidFill>
                        <a:ln w="9525">
                          <a:solidFill>
                            <a:schemeClr val="tx2">
                              <a:lumMod val="75000"/>
                            </a:schemeClr>
                          </a:solidFill>
                          <a:miter lim="800000"/>
                          <a:headEnd/>
                          <a:tailEnd/>
                        </a:ln>
                      </wps:spPr>
                      <wps:txbx>
                        <w:txbxContent>
                          <w:p w14:paraId="7FDD221D" w14:textId="77777777" w:rsidR="00D55F8F" w:rsidRPr="00EF09B4" w:rsidRDefault="00D55F8F" w:rsidP="00841EF2">
                            <w:pPr>
                              <w:shd w:val="clear" w:color="auto" w:fill="17365D" w:themeFill="text2" w:themeFillShade="BF"/>
                              <w:jc w:val="right"/>
                              <w:rPr>
                                <w:color w:val="FFFFFF" w:themeColor="background1"/>
                                <w:sz w:val="144"/>
                                <w:szCs w:val="144"/>
                                <w:lang w:val="en-GB"/>
                              </w:rPr>
                            </w:pPr>
                          </w:p>
                          <w:p w14:paraId="5BD86394" w14:textId="2899B0CC" w:rsidR="00D55F8F" w:rsidRPr="00F74542" w:rsidRDefault="00D55F8F" w:rsidP="00841EF2">
                            <w:pPr>
                              <w:pStyle w:val="Heading1"/>
                              <w:shd w:val="clear" w:color="auto" w:fill="17365D" w:themeFill="text2" w:themeFillShade="BF"/>
                              <w:tabs>
                                <w:tab w:val="num" w:pos="5670"/>
                              </w:tabs>
                              <w:spacing w:after="360"/>
                              <w:rPr>
                                <w:rFonts w:ascii="Myriad Pro Cond" w:hAnsi="Myriad Pro Cond" w:cstheme="minorHAnsi"/>
                                <w:b/>
                                <w:snapToGrid w:val="0"/>
                                <w:color w:val="auto"/>
                                <w:szCs w:val="144"/>
                              </w:rPr>
                            </w:pPr>
                            <w:r w:rsidRPr="00F74542">
                              <w:rPr>
                                <w:rFonts w:ascii="Myriad Pro Cond" w:hAnsi="Myriad Pro Cond" w:cstheme="minorHAnsi"/>
                                <w:b/>
                                <w:snapToGrid w:val="0"/>
                                <w:color w:val="auto"/>
                                <w:szCs w:val="144"/>
                              </w:rPr>
                              <w:t>NSP PILLAR</w:t>
                            </w:r>
                            <w:r>
                              <w:rPr>
                                <w:rFonts w:ascii="Myriad Pro Cond" w:hAnsi="Myriad Pro Cond" w:cstheme="minorHAnsi"/>
                                <w:b/>
                                <w:snapToGrid w:val="0"/>
                                <w:color w:val="auto"/>
                                <w:szCs w:val="144"/>
                              </w:rPr>
                              <w:t xml:space="preserve"> 4</w:t>
                            </w:r>
                          </w:p>
                          <w:p w14:paraId="6172C0D3" w14:textId="26D202AB" w:rsidR="00D55F8F" w:rsidRPr="0015012E" w:rsidRDefault="00D55F8F" w:rsidP="00841EF2">
                            <w:pPr>
                              <w:pStyle w:val="Heading1"/>
                              <w:shd w:val="clear" w:color="auto" w:fill="17365D" w:themeFill="text2" w:themeFillShade="BF"/>
                              <w:tabs>
                                <w:tab w:val="num" w:pos="5670"/>
                              </w:tabs>
                              <w:rPr>
                                <w:rFonts w:ascii="Myriad Pro Cond" w:hAnsi="Myriad Pro Cond" w:cstheme="minorHAnsi"/>
                                <w:b/>
                                <w:snapToGrid w:val="0"/>
                                <w:color w:val="auto"/>
                                <w:sz w:val="180"/>
                                <w:szCs w:val="144"/>
                              </w:rPr>
                            </w:pPr>
                            <w:r>
                              <w:rPr>
                                <w:rFonts w:ascii="Myriad Pro Cond" w:hAnsi="Myriad Pro Cond" w:cstheme="minorHAnsi"/>
                                <w:b/>
                                <w:snapToGrid w:val="0"/>
                                <w:color w:val="auto"/>
                                <w:sz w:val="180"/>
                                <w:szCs w:val="144"/>
                              </w:rPr>
                              <w:t>TREAT ALL</w:t>
                            </w:r>
                          </w:p>
                          <w:p w14:paraId="0A5C3619" w14:textId="77777777" w:rsidR="00D55F8F" w:rsidRPr="00713F88" w:rsidRDefault="00D55F8F" w:rsidP="00841EF2">
                            <w:pPr>
                              <w:shd w:val="clear" w:color="auto" w:fill="17365D" w:themeFill="text2" w:themeFillShade="BF"/>
                              <w:ind w:left="144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ab/>
                            </w:r>
                          </w:p>
                        </w:txbxContent>
                      </wps:txbx>
                      <wps:bodyPr rot="0" vert="horz" wrap="square" lIns="91440" tIns="45720" rIns="4572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6B14D" id="_x0000_s1031" type="#_x0000_t202" style="position:absolute;margin-left:-46.3pt;margin-top:-51.2pt;width:541.65pt;height:7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" fillcolor="#17365d [2415]" strokecolor="#17365d [2415]">
                <v:textbox inset=",,36pt">
                  <w:txbxContent>
                    <w:p w14:paraId="7FDD221D" w14:textId="77777777" w:rsidR="00D55F8F" w:rsidRPr="00EF09B4" w:rsidRDefault="00D55F8F" w:rsidP="00841EF2">
                      <w:pPr>
                        <w:shd w:val="clear" w:color="auto" w:fill="17365D" w:themeFill="text2" w:themeFillShade="BF"/>
                        <w:jc w:val="right"/>
                        <w:rPr>
                          <w:color w:val="FFFFFF" w:themeColor="background1"/>
                          <w:sz w:val="144"/>
                          <w:szCs w:val="144"/>
                          <w:lang w:val="en-GB"/>
                        </w:rPr>
                      </w:pPr>
                    </w:p>
                    <w:p w14:paraId="5BD86394" w14:textId="2899B0CC" w:rsidR="00D55F8F" w:rsidRPr="00F74542" w:rsidRDefault="00D55F8F" w:rsidP="00841EF2">
                      <w:pPr>
                        <w:pStyle w:val="Heading1"/>
                        <w:shd w:val="clear" w:color="auto" w:fill="17365D" w:themeFill="text2" w:themeFillShade="BF"/>
                        <w:tabs>
                          <w:tab w:val="num" w:pos="5670"/>
                        </w:tabs>
                        <w:spacing w:after="360"/>
                        <w:rPr>
                          <w:rFonts w:ascii="Myriad Pro Cond" w:hAnsi="Myriad Pro Cond" w:cstheme="minorHAnsi"/>
                          <w:b/>
                          <w:snapToGrid w:val="0"/>
                          <w:color w:val="auto"/>
                          <w:szCs w:val="144"/>
                        </w:rPr>
                      </w:pPr>
                      <w:r w:rsidRPr="00F74542">
                        <w:rPr>
                          <w:rFonts w:ascii="Myriad Pro Cond" w:hAnsi="Myriad Pro Cond" w:cstheme="minorHAnsi"/>
                          <w:b/>
                          <w:snapToGrid w:val="0"/>
                          <w:color w:val="auto"/>
                          <w:szCs w:val="144"/>
                        </w:rPr>
                        <w:t>NSP PILLAR</w:t>
                      </w:r>
                      <w:r>
                        <w:rPr>
                          <w:rFonts w:ascii="Myriad Pro Cond" w:hAnsi="Myriad Pro Cond" w:cstheme="minorHAnsi"/>
                          <w:b/>
                          <w:snapToGrid w:val="0"/>
                          <w:color w:val="auto"/>
                          <w:szCs w:val="144"/>
                        </w:rPr>
                        <w:t xml:space="preserve"> 4</w:t>
                      </w:r>
                    </w:p>
                    <w:p w14:paraId="6172C0D3" w14:textId="26D202AB" w:rsidR="00D55F8F" w:rsidRPr="0015012E" w:rsidRDefault="00D55F8F" w:rsidP="00841EF2">
                      <w:pPr>
                        <w:pStyle w:val="Heading1"/>
                        <w:shd w:val="clear" w:color="auto" w:fill="17365D" w:themeFill="text2" w:themeFillShade="BF"/>
                        <w:tabs>
                          <w:tab w:val="num" w:pos="5670"/>
                        </w:tabs>
                        <w:rPr>
                          <w:rFonts w:ascii="Myriad Pro Cond" w:hAnsi="Myriad Pro Cond" w:cstheme="minorHAnsi"/>
                          <w:b/>
                          <w:snapToGrid w:val="0"/>
                          <w:color w:val="auto"/>
                          <w:sz w:val="180"/>
                          <w:szCs w:val="144"/>
                        </w:rPr>
                      </w:pPr>
                      <w:r>
                        <w:rPr>
                          <w:rFonts w:ascii="Myriad Pro Cond" w:hAnsi="Myriad Pro Cond" w:cstheme="minorHAnsi"/>
                          <w:b/>
                          <w:snapToGrid w:val="0"/>
                          <w:color w:val="auto"/>
                          <w:sz w:val="180"/>
                          <w:szCs w:val="144"/>
                        </w:rPr>
                        <w:t>TREAT ALL</w:t>
                      </w:r>
                    </w:p>
                    <w:p w14:paraId="0A5C3619" w14:textId="77777777" w:rsidR="00D55F8F" w:rsidRPr="00713F88" w:rsidRDefault="00D55F8F" w:rsidP="00841EF2">
                      <w:pPr>
                        <w:shd w:val="clear" w:color="auto" w:fill="17365D" w:themeFill="text2" w:themeFillShade="BF"/>
                        <w:ind w:left="1440"/>
                        <w:rPr>
                          <w:rFonts w:ascii="Bernard MT Condensed" w:hAnsi="Bernard MT Condensed"/>
                          <w:color w:val="FFFFFF" w:themeColor="background1"/>
                          <w:sz w:val="40"/>
                          <w:szCs w:val="48"/>
                          <w:lang w:val="en-GB"/>
                        </w:rPr>
                      </w:pPr>
                      <w:r w:rsidRPr="00713F88">
                        <w:rPr>
                          <w:rFonts w:ascii="Bernard MT Condensed" w:hAnsi="Bernard MT Condensed"/>
                          <w:color w:val="FFFFFF" w:themeColor="background1"/>
                          <w:sz w:val="40"/>
                          <w:szCs w:val="48"/>
                          <w:lang w:val="en-GB"/>
                        </w:rPr>
                        <w:tab/>
                      </w:r>
                    </w:p>
                  </w:txbxContent>
                </v:textbox>
                <w10:wrap type="topAndBottom"/>
              </v:shape>
            </w:pict>
          </mc:Fallback>
        </mc:AlternateContent>
      </w:r>
      <w:r>
        <w:rPr>
          <w:rFonts w:asciiTheme="minorHAnsi" w:hAnsiTheme="minorHAnsi" w:cstheme="minorHAnsi"/>
          <w:b/>
          <w:snapToGrid w:val="0"/>
          <w:sz w:val="36"/>
        </w:rPr>
        <w:br w:type="page"/>
      </w:r>
    </w:p>
    <w:p w14:paraId="7ADC232F" w14:textId="2AFAC89F" w:rsidR="007B4AB3" w:rsidRDefault="009D5787" w:rsidP="00D8123A">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BE594E">
        <w:rPr>
          <w:rFonts w:asciiTheme="minorHAnsi" w:hAnsiTheme="minorHAnsi" w:cstheme="minorHAnsi"/>
          <w:b/>
          <w:snapToGrid w:val="0"/>
          <w:color w:val="auto"/>
          <w:sz w:val="36"/>
        </w:rPr>
        <w:t>26</w:t>
      </w:r>
    </w:p>
    <w:p w14:paraId="380B8C16" w14:textId="6A3C4380" w:rsidR="009D5787" w:rsidRPr="007B4AB3" w:rsidRDefault="007B4AB3" w:rsidP="007B4AB3">
      <w:pPr>
        <w:shd w:val="clear" w:color="auto" w:fill="17365D" w:themeFill="text2" w:themeFillShade="BF"/>
        <w:spacing w:before="0" w:after="0"/>
        <w:jc w:val="right"/>
        <w:rPr>
          <w:b/>
          <w:sz w:val="28"/>
        </w:rPr>
      </w:pPr>
      <w:r>
        <w:rPr>
          <w:b/>
          <w:sz w:val="28"/>
        </w:rPr>
        <w:t xml:space="preserve">NSP </w:t>
      </w:r>
      <w:r w:rsidRPr="006B7923">
        <w:rPr>
          <w:b/>
          <w:sz w:val="28"/>
        </w:rPr>
        <w:t xml:space="preserve">STRATEGIC AREA </w:t>
      </w:r>
      <w:r>
        <w:rPr>
          <w:b/>
          <w:sz w:val="28"/>
        </w:rPr>
        <w:t>4.</w:t>
      </w:r>
      <w:r w:rsidRPr="006B7923">
        <w:rPr>
          <w:b/>
          <w:sz w:val="28"/>
        </w:rPr>
        <w:t>1</w:t>
      </w:r>
    </w:p>
    <w:p w14:paraId="2E09F731" w14:textId="5A735393" w:rsidR="00972069" w:rsidRDefault="008858C9" w:rsidP="00AF5B00">
      <w:pPr>
        <w:pStyle w:val="Heading1"/>
        <w:tabs>
          <w:tab w:val="num" w:pos="5670"/>
        </w:tabs>
        <w:rPr>
          <w:rFonts w:asciiTheme="minorHAnsi" w:hAnsiTheme="minorHAnsi" w:cstheme="minorHAnsi"/>
          <w:b/>
          <w:snapToGrid w:val="0"/>
          <w:color w:val="auto"/>
        </w:rPr>
      </w:pPr>
      <w:r w:rsidRPr="008858C9">
        <w:rPr>
          <w:rFonts w:asciiTheme="minorHAnsi" w:hAnsiTheme="minorHAnsi" w:cstheme="minorHAnsi"/>
          <w:b/>
          <w:snapToGrid w:val="0"/>
          <w:color w:val="auto"/>
        </w:rPr>
        <w:t>treatment of DSTB</w:t>
      </w:r>
    </w:p>
    <w:p w14:paraId="66D41669" w14:textId="03D3BC38" w:rsidR="00DD4576"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6</w:t>
      </w:r>
      <w:r>
        <w:rPr>
          <w:rFonts w:asciiTheme="minorHAnsi" w:hAnsiTheme="minorHAnsi" w:cstheme="minorHAnsi"/>
          <w:b/>
          <w:color w:val="C86A07" w:themeColor="accent2" w:themeShade="BF"/>
          <w:sz w:val="28"/>
          <w:lang w:val="en"/>
        </w:rPr>
        <w:t xml:space="preserve">.1 </w:t>
      </w:r>
      <w:r w:rsidR="00DD4576" w:rsidRPr="0030030B">
        <w:rPr>
          <w:rFonts w:asciiTheme="minorHAnsi" w:hAnsiTheme="minorHAnsi" w:cstheme="minorHAnsi"/>
          <w:b/>
          <w:color w:val="C86A07" w:themeColor="accent2" w:themeShade="BF"/>
          <w:sz w:val="28"/>
          <w:lang w:val="en"/>
        </w:rPr>
        <w:t>INTRODUCTION</w:t>
      </w:r>
    </w:p>
    <w:p w14:paraId="10F55F6A" w14:textId="32812B62" w:rsidR="009D5787" w:rsidRDefault="00371461" w:rsidP="00AF5B00">
      <w:pPr>
        <w:spacing w:before="0"/>
        <w:jc w:val="both"/>
        <w:rPr>
          <w:rFonts w:asciiTheme="minorHAnsi" w:hAnsiTheme="minorHAnsi" w:cstheme="minorHAnsi"/>
          <w:sz w:val="22"/>
        </w:rPr>
      </w:pPr>
      <w:r>
        <w:rPr>
          <w:rFonts w:asciiTheme="minorHAnsi" w:hAnsiTheme="minorHAnsi" w:cstheme="minorHAnsi"/>
          <w:sz w:val="22"/>
        </w:rPr>
        <w:t>U</w:t>
      </w:r>
      <w:r w:rsidRPr="00AE3D97">
        <w:rPr>
          <w:rFonts w:asciiTheme="minorHAnsi" w:hAnsiTheme="minorHAnsi" w:cstheme="minorHAnsi"/>
          <w:sz w:val="22"/>
        </w:rPr>
        <w:t>niversal access to</w:t>
      </w:r>
      <w:r>
        <w:rPr>
          <w:rFonts w:asciiTheme="minorHAnsi" w:hAnsiTheme="minorHAnsi" w:cstheme="minorHAnsi"/>
          <w:sz w:val="22"/>
        </w:rPr>
        <w:t xml:space="preserve"> free,</w:t>
      </w:r>
      <w:r w:rsidRPr="00AE3D97">
        <w:rPr>
          <w:rFonts w:asciiTheme="minorHAnsi" w:hAnsiTheme="minorHAnsi" w:cstheme="minorHAnsi"/>
          <w:sz w:val="22"/>
        </w:rPr>
        <w:t xml:space="preserve"> standard treatment services for all TB pat</w:t>
      </w:r>
      <w:r>
        <w:rPr>
          <w:rFonts w:asciiTheme="minorHAnsi" w:hAnsiTheme="minorHAnsi" w:cstheme="minorHAnsi"/>
          <w:sz w:val="22"/>
        </w:rPr>
        <w:t>ients in the country encompass</w:t>
      </w:r>
      <w:r w:rsidRPr="00AE3D97">
        <w:rPr>
          <w:rFonts w:asciiTheme="minorHAnsi" w:hAnsiTheme="minorHAnsi" w:cstheme="minorHAnsi"/>
          <w:sz w:val="22"/>
        </w:rPr>
        <w:t xml:space="preserve"> an ambit of services in and around each patient’s care cascade. Strengthening of these patient centered treatment services in </w:t>
      </w:r>
      <w:r w:rsidR="007B135B">
        <w:rPr>
          <w:rFonts w:asciiTheme="minorHAnsi" w:hAnsiTheme="minorHAnsi" w:cstheme="minorHAnsi"/>
          <w:sz w:val="22"/>
        </w:rPr>
        <w:t>NTEP</w:t>
      </w:r>
      <w:r w:rsidRPr="00AE3D97">
        <w:rPr>
          <w:rFonts w:asciiTheme="minorHAnsi" w:hAnsiTheme="minorHAnsi" w:cstheme="minorHAnsi"/>
          <w:sz w:val="22"/>
        </w:rPr>
        <w:t xml:space="preserve"> with enhanced capacity to rapidly accommodate new drugs and treatment modalities will be the cornerstone of the NSP</w:t>
      </w:r>
      <w:r w:rsidR="000A2EDF">
        <w:rPr>
          <w:rFonts w:asciiTheme="minorHAnsi" w:hAnsiTheme="minorHAnsi" w:cstheme="minorHAnsi"/>
          <w:sz w:val="22"/>
        </w:rPr>
        <w:t xml:space="preserve"> </w:t>
      </w:r>
      <w:r w:rsidR="00E20F7B">
        <w:rPr>
          <w:rFonts w:asciiTheme="minorHAnsi" w:hAnsiTheme="minorHAnsi" w:cstheme="minorHAnsi"/>
          <w:sz w:val="22"/>
        </w:rPr>
        <w:t xml:space="preserve">2020-25   </w:t>
      </w:r>
      <w:r w:rsidR="00972069" w:rsidRPr="00972069">
        <w:rPr>
          <w:rFonts w:asciiTheme="minorHAnsi" w:hAnsiTheme="minorHAnsi" w:cstheme="minorHAnsi"/>
          <w:sz w:val="22"/>
        </w:rPr>
        <w:t>.</w:t>
      </w:r>
      <w:r w:rsidR="0052316D">
        <w:rPr>
          <w:rFonts w:asciiTheme="minorHAnsi" w:hAnsiTheme="minorHAnsi" w:cstheme="minorHAnsi"/>
          <w:sz w:val="22"/>
        </w:rPr>
        <w:t xml:space="preserve"> </w:t>
      </w:r>
    </w:p>
    <w:p w14:paraId="0DE27B83" w14:textId="29E2C59E" w:rsidR="00371461"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6</w:t>
      </w:r>
      <w:r>
        <w:rPr>
          <w:rFonts w:asciiTheme="minorHAnsi" w:hAnsiTheme="minorHAnsi" w:cstheme="minorHAnsi"/>
          <w:b/>
          <w:color w:val="C86A07" w:themeColor="accent2" w:themeShade="BF"/>
          <w:sz w:val="28"/>
          <w:lang w:val="en"/>
        </w:rPr>
        <w:t xml:space="preserve">.2 </w:t>
      </w:r>
      <w:r w:rsidR="00AF5B00" w:rsidRPr="0030030B">
        <w:rPr>
          <w:rFonts w:asciiTheme="minorHAnsi" w:hAnsiTheme="minorHAnsi" w:cstheme="minorHAnsi"/>
          <w:b/>
          <w:color w:val="C86A07" w:themeColor="accent2" w:themeShade="BF"/>
          <w:sz w:val="28"/>
          <w:lang w:val="en"/>
        </w:rPr>
        <w:t>THE PROGRESS SO FAR</w:t>
      </w:r>
    </w:p>
    <w:p w14:paraId="7162B3A8" w14:textId="77777777" w:rsidR="00371461" w:rsidRPr="00371461" w:rsidRDefault="00371461" w:rsidP="00442A67">
      <w:pPr>
        <w:pStyle w:val="ListParagraph"/>
        <w:numPr>
          <w:ilvl w:val="0"/>
          <w:numId w:val="38"/>
        </w:numPr>
        <w:spacing w:before="0" w:after="0"/>
        <w:jc w:val="both"/>
        <w:rPr>
          <w:rFonts w:asciiTheme="minorHAnsi" w:hAnsiTheme="minorHAnsi" w:cstheme="minorHAnsi"/>
          <w:sz w:val="22"/>
        </w:rPr>
      </w:pPr>
      <w:r w:rsidRPr="00371461">
        <w:rPr>
          <w:rFonts w:asciiTheme="minorHAnsi" w:hAnsiTheme="minorHAnsi" w:cstheme="minorHAnsi"/>
          <w:sz w:val="22"/>
        </w:rPr>
        <w:t xml:space="preserve">Pan country roll-out of Injection free regimen (FDCs) for DS-TB </w:t>
      </w:r>
    </w:p>
    <w:p w14:paraId="7293258B" w14:textId="3C263DBF" w:rsidR="00371461" w:rsidRPr="00371461" w:rsidRDefault="0083785B" w:rsidP="00442A67">
      <w:pPr>
        <w:pStyle w:val="ListParagraph"/>
        <w:numPr>
          <w:ilvl w:val="0"/>
          <w:numId w:val="38"/>
        </w:numPr>
        <w:spacing w:before="0" w:after="0"/>
        <w:jc w:val="both"/>
        <w:rPr>
          <w:rFonts w:asciiTheme="minorHAnsi" w:hAnsiTheme="minorHAnsi" w:cstheme="minorHAnsi"/>
          <w:sz w:val="22"/>
        </w:rPr>
      </w:pPr>
      <w:r>
        <w:rPr>
          <w:rFonts w:asciiTheme="minorHAnsi" w:hAnsiTheme="minorHAnsi" w:cstheme="minorHAnsi"/>
          <w:sz w:val="22"/>
        </w:rPr>
        <w:t>Increase in the p</w:t>
      </w:r>
      <w:r w:rsidR="00371461" w:rsidRPr="00371461">
        <w:rPr>
          <w:rFonts w:asciiTheme="minorHAnsi" w:hAnsiTheme="minorHAnsi" w:cstheme="minorHAnsi"/>
          <w:sz w:val="22"/>
        </w:rPr>
        <w:t>roportion of patient put on treatment is 92%</w:t>
      </w:r>
    </w:p>
    <w:p w14:paraId="12144CE5" w14:textId="3D5F201B" w:rsidR="00371461" w:rsidRPr="00371461" w:rsidRDefault="00371461" w:rsidP="00442A67">
      <w:pPr>
        <w:pStyle w:val="ListParagraph"/>
        <w:numPr>
          <w:ilvl w:val="0"/>
          <w:numId w:val="38"/>
        </w:numPr>
        <w:spacing w:before="0" w:after="0"/>
        <w:jc w:val="both"/>
        <w:rPr>
          <w:rFonts w:asciiTheme="minorHAnsi" w:hAnsiTheme="minorHAnsi" w:cstheme="minorHAnsi"/>
          <w:sz w:val="22"/>
        </w:rPr>
      </w:pPr>
      <w:r w:rsidRPr="00371461">
        <w:rPr>
          <w:rFonts w:asciiTheme="minorHAnsi" w:hAnsiTheme="minorHAnsi" w:cstheme="minorHAnsi"/>
          <w:sz w:val="22"/>
        </w:rPr>
        <w:t>Access to free drugs for private sector</w:t>
      </w:r>
      <w:r>
        <w:rPr>
          <w:rFonts w:asciiTheme="minorHAnsi" w:hAnsiTheme="minorHAnsi" w:cstheme="minorHAnsi"/>
          <w:sz w:val="22"/>
        </w:rPr>
        <w:t xml:space="preserve"> </w:t>
      </w:r>
      <w:r w:rsidRPr="00371461">
        <w:rPr>
          <w:rFonts w:asciiTheme="minorHAnsi" w:hAnsiTheme="minorHAnsi" w:cstheme="minorHAnsi"/>
          <w:sz w:val="22"/>
        </w:rPr>
        <w:t xml:space="preserve">- 8% of private notified patients </w:t>
      </w:r>
    </w:p>
    <w:p w14:paraId="2FD6A95C" w14:textId="77777777" w:rsidR="00371461" w:rsidRPr="00371461" w:rsidRDefault="00371461" w:rsidP="00442A67">
      <w:pPr>
        <w:pStyle w:val="ListParagraph"/>
        <w:numPr>
          <w:ilvl w:val="0"/>
          <w:numId w:val="38"/>
        </w:numPr>
        <w:spacing w:before="0" w:after="0"/>
        <w:jc w:val="both"/>
        <w:rPr>
          <w:rFonts w:asciiTheme="minorHAnsi" w:hAnsiTheme="minorHAnsi" w:cstheme="minorHAnsi"/>
          <w:sz w:val="22"/>
        </w:rPr>
      </w:pPr>
      <w:r w:rsidRPr="00371461">
        <w:rPr>
          <w:rFonts w:asciiTheme="minorHAnsi" w:hAnsiTheme="minorHAnsi" w:cstheme="minorHAnsi"/>
          <w:sz w:val="22"/>
        </w:rPr>
        <w:t>With rapid expansion of molecular diagnostics in last 3 years, India now has decentralized the molecular test for DR TB detection and subsequent linkage for treatment initiation at district level</w:t>
      </w:r>
    </w:p>
    <w:p w14:paraId="32324419" w14:textId="4DC83B46" w:rsidR="00371461" w:rsidRDefault="00371461" w:rsidP="00442A67">
      <w:pPr>
        <w:pStyle w:val="ListParagraph"/>
        <w:numPr>
          <w:ilvl w:val="0"/>
          <w:numId w:val="38"/>
        </w:numPr>
        <w:spacing w:before="0" w:after="0"/>
        <w:jc w:val="both"/>
        <w:rPr>
          <w:rFonts w:asciiTheme="minorHAnsi" w:hAnsiTheme="minorHAnsi" w:cstheme="minorHAnsi"/>
          <w:sz w:val="22"/>
        </w:rPr>
      </w:pPr>
      <w:r w:rsidRPr="00371461">
        <w:rPr>
          <w:rFonts w:asciiTheme="minorHAnsi" w:hAnsiTheme="minorHAnsi" w:cstheme="minorHAnsi"/>
          <w:sz w:val="22"/>
        </w:rPr>
        <w:t>Post treatment follow up till 2 years after completion of the anti-TB treatment</w:t>
      </w:r>
      <w:r w:rsidR="00B356F5">
        <w:rPr>
          <w:rFonts w:asciiTheme="minorHAnsi" w:hAnsiTheme="minorHAnsi" w:cstheme="minorHAnsi"/>
          <w:sz w:val="22"/>
        </w:rPr>
        <w:t xml:space="preserve"> (follow-up policy at 6, 12, 18 and 24 months post-treatment)</w:t>
      </w:r>
      <w:r w:rsidRPr="00371461">
        <w:rPr>
          <w:rFonts w:asciiTheme="minorHAnsi" w:hAnsiTheme="minorHAnsi" w:cstheme="minorHAnsi"/>
          <w:sz w:val="22"/>
        </w:rPr>
        <w:t xml:space="preserve"> for ensuring relapse free cure</w:t>
      </w:r>
    </w:p>
    <w:p w14:paraId="2B67E7FD" w14:textId="5115C9CF" w:rsidR="000C2D46" w:rsidRPr="00C16768" w:rsidRDefault="00F80E42" w:rsidP="00442A67">
      <w:pPr>
        <w:pStyle w:val="ListParagraph"/>
        <w:numPr>
          <w:ilvl w:val="0"/>
          <w:numId w:val="38"/>
        </w:numPr>
        <w:spacing w:before="0"/>
        <w:jc w:val="both"/>
        <w:rPr>
          <w:rFonts w:asciiTheme="minorHAnsi" w:hAnsiTheme="minorHAnsi" w:cstheme="minorHAnsi"/>
          <w:color w:val="FF0000"/>
          <w:sz w:val="22"/>
          <w:lang w:val="en-IN"/>
        </w:rPr>
      </w:pPr>
      <w:r w:rsidRPr="00371461">
        <w:rPr>
          <w:rFonts w:asciiTheme="minorHAnsi" w:hAnsiTheme="minorHAnsi" w:cstheme="minorHAnsi"/>
          <w:sz w:val="22"/>
          <w:lang w:val="en-GB"/>
        </w:rPr>
        <w:t>Treatm</w:t>
      </w:r>
      <w:r w:rsidR="00C16768">
        <w:rPr>
          <w:rFonts w:asciiTheme="minorHAnsi" w:hAnsiTheme="minorHAnsi" w:cstheme="minorHAnsi"/>
          <w:sz w:val="22"/>
          <w:lang w:val="en-GB"/>
        </w:rPr>
        <w:t>ent success rate – DS TB (80%)</w:t>
      </w:r>
    </w:p>
    <w:p w14:paraId="4C3B9F3D" w14:textId="69855456" w:rsidR="000C2D46" w:rsidRPr="00D67738" w:rsidRDefault="00371461" w:rsidP="00442A67">
      <w:pPr>
        <w:pStyle w:val="ListParagraph"/>
        <w:numPr>
          <w:ilvl w:val="0"/>
          <w:numId w:val="38"/>
        </w:numPr>
        <w:spacing w:before="0"/>
        <w:jc w:val="both"/>
        <w:rPr>
          <w:rFonts w:asciiTheme="minorHAnsi" w:hAnsiTheme="minorHAnsi" w:cstheme="minorHAnsi"/>
          <w:sz w:val="22"/>
          <w:lang w:val="en-IN"/>
        </w:rPr>
      </w:pPr>
      <w:r>
        <w:rPr>
          <w:rFonts w:asciiTheme="minorHAnsi" w:hAnsiTheme="minorHAnsi" w:cstheme="minorHAnsi"/>
          <w:sz w:val="22"/>
          <w:lang w:val="en-GB"/>
        </w:rPr>
        <w:t xml:space="preserve">More than </w:t>
      </w:r>
      <w:r w:rsidR="00463A05">
        <w:rPr>
          <w:rFonts w:asciiTheme="minorHAnsi" w:hAnsiTheme="minorHAnsi" w:cstheme="minorHAnsi"/>
          <w:sz w:val="22"/>
          <w:lang w:val="en-GB"/>
        </w:rPr>
        <w:t>500,000</w:t>
      </w:r>
      <w:r w:rsidR="00F80E42" w:rsidRPr="00371461">
        <w:rPr>
          <w:rFonts w:asciiTheme="minorHAnsi" w:hAnsiTheme="minorHAnsi" w:cstheme="minorHAnsi"/>
          <w:sz w:val="22"/>
          <w:lang w:val="en-GB"/>
        </w:rPr>
        <w:t xml:space="preserve"> treatment supporter for patient centric treatment provision</w:t>
      </w:r>
      <w:r w:rsidR="00D67738">
        <w:rPr>
          <w:rFonts w:asciiTheme="minorHAnsi" w:hAnsiTheme="minorHAnsi" w:cstheme="minorHAnsi"/>
          <w:sz w:val="22"/>
          <w:lang w:val="en-GB"/>
        </w:rPr>
        <w:t xml:space="preserve"> </w:t>
      </w:r>
    </w:p>
    <w:p w14:paraId="3B016559" w14:textId="0D00CD94" w:rsidR="00D67738" w:rsidRPr="00CA3A46" w:rsidRDefault="00D67738" w:rsidP="00442A67">
      <w:pPr>
        <w:pStyle w:val="ListParagraph"/>
        <w:numPr>
          <w:ilvl w:val="0"/>
          <w:numId w:val="38"/>
        </w:numPr>
        <w:spacing w:before="0"/>
        <w:jc w:val="both"/>
        <w:rPr>
          <w:rFonts w:asciiTheme="minorHAnsi" w:hAnsiTheme="minorHAnsi" w:cstheme="minorHAnsi"/>
          <w:sz w:val="22"/>
          <w:lang w:val="en-IN"/>
        </w:rPr>
      </w:pPr>
      <w:r>
        <w:rPr>
          <w:rFonts w:asciiTheme="minorHAnsi" w:hAnsiTheme="minorHAnsi" w:cstheme="minorHAnsi"/>
          <w:sz w:val="22"/>
          <w:lang w:val="en-GB"/>
        </w:rPr>
        <w:t xml:space="preserve">India has developed, deployed, and evaluated the </w:t>
      </w:r>
      <w:r w:rsidR="00693FC5">
        <w:rPr>
          <w:rFonts w:asciiTheme="minorHAnsi" w:hAnsiTheme="minorHAnsi" w:cstheme="minorHAnsi"/>
          <w:sz w:val="22"/>
          <w:lang w:val="en-GB"/>
        </w:rPr>
        <w:t>worlds</w:t>
      </w:r>
      <w:r>
        <w:rPr>
          <w:rFonts w:asciiTheme="minorHAnsi" w:hAnsiTheme="minorHAnsi" w:cstheme="minorHAnsi"/>
          <w:sz w:val="22"/>
          <w:lang w:val="en-GB"/>
        </w:rPr>
        <w:t xml:space="preserve"> only integrated digital adherence technology solution, providing patients and providers with choices of adherence support and monitoring technologies.</w:t>
      </w:r>
    </w:p>
    <w:p w14:paraId="65D2F81D" w14:textId="6548ADA6" w:rsidR="00D67738" w:rsidRPr="00D67738" w:rsidRDefault="00D67738" w:rsidP="00442A67">
      <w:pPr>
        <w:pStyle w:val="ListParagraph"/>
        <w:numPr>
          <w:ilvl w:val="0"/>
          <w:numId w:val="38"/>
        </w:numPr>
        <w:spacing w:before="0"/>
        <w:jc w:val="both"/>
        <w:rPr>
          <w:rFonts w:asciiTheme="minorHAnsi" w:hAnsiTheme="minorHAnsi" w:cstheme="minorHAnsi"/>
          <w:sz w:val="22"/>
          <w:lang w:val="en-IN"/>
        </w:rPr>
      </w:pPr>
      <w:r>
        <w:rPr>
          <w:rFonts w:asciiTheme="minorHAnsi" w:hAnsiTheme="minorHAnsi" w:cstheme="minorHAnsi"/>
          <w:sz w:val="22"/>
          <w:lang w:val="en-GB"/>
        </w:rPr>
        <w:t>Leveraging NIKSHAY, India has developed escalation protocols based on information from digital adherence technologies, to inform and enable more differentiated patient care</w:t>
      </w:r>
    </w:p>
    <w:p w14:paraId="285C78E4" w14:textId="2C13B725" w:rsidR="000404CE"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6</w:t>
      </w:r>
      <w:r>
        <w:rPr>
          <w:rFonts w:asciiTheme="minorHAnsi" w:hAnsiTheme="minorHAnsi" w:cstheme="minorHAnsi"/>
          <w:b/>
          <w:color w:val="C86A07" w:themeColor="accent2" w:themeShade="BF"/>
          <w:sz w:val="28"/>
          <w:lang w:val="en"/>
        </w:rPr>
        <w:t xml:space="preserve">.3 </w:t>
      </w:r>
      <w:r w:rsidR="000404CE" w:rsidRPr="0030030B">
        <w:rPr>
          <w:rFonts w:asciiTheme="minorHAnsi" w:hAnsiTheme="minorHAnsi" w:cstheme="minorHAnsi"/>
          <w:b/>
          <w:color w:val="C86A07" w:themeColor="accent2" w:themeShade="BF"/>
          <w:sz w:val="28"/>
          <w:lang w:val="en"/>
        </w:rPr>
        <w:t>CHALLENGES REMAIN</w:t>
      </w:r>
    </w:p>
    <w:p w14:paraId="6E871C31" w14:textId="50AF54C9" w:rsidR="0086096B" w:rsidRPr="005D3154" w:rsidRDefault="00890CB1" w:rsidP="00442A67">
      <w:pPr>
        <w:pStyle w:val="ListParagraph"/>
        <w:numPr>
          <w:ilvl w:val="0"/>
          <w:numId w:val="37"/>
        </w:numPr>
        <w:spacing w:before="0" w:after="0"/>
        <w:jc w:val="both"/>
        <w:rPr>
          <w:rFonts w:asciiTheme="minorHAnsi" w:hAnsiTheme="minorHAnsi" w:cstheme="minorHAnsi"/>
          <w:sz w:val="22"/>
        </w:rPr>
      </w:pPr>
      <w:r>
        <w:rPr>
          <w:rFonts w:asciiTheme="minorHAnsi" w:hAnsiTheme="minorHAnsi" w:cstheme="minorHAnsi"/>
          <w:sz w:val="22"/>
        </w:rPr>
        <w:t>DST services in many states are</w:t>
      </w:r>
      <w:r w:rsidR="0086096B" w:rsidRPr="005D3154">
        <w:rPr>
          <w:rFonts w:asciiTheme="minorHAnsi" w:hAnsiTheme="minorHAnsi" w:cstheme="minorHAnsi"/>
          <w:sz w:val="22"/>
        </w:rPr>
        <w:t xml:space="preserve"> sub-optimal leading to </w:t>
      </w:r>
      <w:r w:rsidR="0086096B">
        <w:rPr>
          <w:rFonts w:asciiTheme="minorHAnsi" w:hAnsiTheme="minorHAnsi" w:cstheme="minorHAnsi"/>
          <w:sz w:val="22"/>
        </w:rPr>
        <w:t xml:space="preserve">a </w:t>
      </w:r>
      <w:r w:rsidR="0086096B" w:rsidRPr="005D3154">
        <w:rPr>
          <w:rFonts w:asciiTheme="minorHAnsi" w:hAnsiTheme="minorHAnsi" w:cstheme="minorHAnsi"/>
          <w:sz w:val="22"/>
        </w:rPr>
        <w:t>compromise in initiating the patients on appropriate treatment regimen.</w:t>
      </w:r>
    </w:p>
    <w:p w14:paraId="76FC4A27" w14:textId="71E2FBD5" w:rsidR="005D3154" w:rsidRPr="005D3154" w:rsidRDefault="00A445E2" w:rsidP="00442A67">
      <w:pPr>
        <w:pStyle w:val="ListParagraph"/>
        <w:numPr>
          <w:ilvl w:val="0"/>
          <w:numId w:val="37"/>
        </w:numPr>
        <w:spacing w:before="0" w:after="0"/>
        <w:jc w:val="both"/>
        <w:rPr>
          <w:rFonts w:asciiTheme="minorHAnsi" w:hAnsiTheme="minorHAnsi" w:cstheme="minorHAnsi"/>
          <w:sz w:val="22"/>
        </w:rPr>
      </w:pPr>
      <w:r>
        <w:rPr>
          <w:rFonts w:asciiTheme="minorHAnsi" w:hAnsiTheme="minorHAnsi" w:cstheme="minorHAnsi"/>
          <w:sz w:val="22"/>
        </w:rPr>
        <w:t>Q</w:t>
      </w:r>
      <w:r w:rsidR="005D3154" w:rsidRPr="005D3154">
        <w:rPr>
          <w:rFonts w:asciiTheme="minorHAnsi" w:hAnsiTheme="minorHAnsi" w:cstheme="minorHAnsi"/>
          <w:sz w:val="22"/>
        </w:rPr>
        <w:t xml:space="preserve">uality issues such as delay in obtaining laboratory results and consequent delay in initiation of treatment. </w:t>
      </w:r>
    </w:p>
    <w:p w14:paraId="578D2F0C" w14:textId="77777777" w:rsidR="0086096B" w:rsidRPr="005D3154" w:rsidRDefault="0086096B" w:rsidP="00442A67">
      <w:pPr>
        <w:pStyle w:val="ListParagraph"/>
        <w:numPr>
          <w:ilvl w:val="0"/>
          <w:numId w:val="37"/>
        </w:numPr>
        <w:spacing w:before="0" w:after="0"/>
        <w:jc w:val="both"/>
        <w:rPr>
          <w:rFonts w:asciiTheme="minorHAnsi" w:hAnsiTheme="minorHAnsi" w:cstheme="minorHAnsi"/>
          <w:sz w:val="22"/>
        </w:rPr>
      </w:pPr>
      <w:r w:rsidRPr="005D3154">
        <w:rPr>
          <w:rFonts w:asciiTheme="minorHAnsi" w:hAnsiTheme="minorHAnsi" w:cstheme="minorHAnsi"/>
          <w:sz w:val="22"/>
        </w:rPr>
        <w:t>Sub-optimal implementation</w:t>
      </w:r>
      <w:r>
        <w:rPr>
          <w:rFonts w:asciiTheme="minorHAnsi" w:hAnsiTheme="minorHAnsi" w:cstheme="minorHAnsi"/>
          <w:sz w:val="22"/>
        </w:rPr>
        <w:t xml:space="preserve"> of</w:t>
      </w:r>
      <w:r w:rsidRPr="005D3154">
        <w:rPr>
          <w:rFonts w:asciiTheme="minorHAnsi" w:hAnsiTheme="minorHAnsi" w:cstheme="minorHAnsi"/>
          <w:sz w:val="22"/>
        </w:rPr>
        <w:t xml:space="preserve"> ADR management and aDSM.</w:t>
      </w:r>
    </w:p>
    <w:p w14:paraId="1EF88013" w14:textId="2BE41D48" w:rsidR="005D3154" w:rsidRPr="005D3154" w:rsidRDefault="005D3154" w:rsidP="00442A67">
      <w:pPr>
        <w:pStyle w:val="ListParagraph"/>
        <w:numPr>
          <w:ilvl w:val="0"/>
          <w:numId w:val="37"/>
        </w:numPr>
        <w:spacing w:before="0" w:after="0"/>
        <w:jc w:val="both"/>
        <w:rPr>
          <w:rFonts w:asciiTheme="minorHAnsi" w:hAnsiTheme="minorHAnsi" w:cstheme="minorHAnsi"/>
          <w:sz w:val="22"/>
        </w:rPr>
      </w:pPr>
      <w:r w:rsidRPr="005D3154">
        <w:rPr>
          <w:rFonts w:asciiTheme="minorHAnsi" w:hAnsiTheme="minorHAnsi" w:cstheme="minorHAnsi"/>
          <w:sz w:val="22"/>
        </w:rPr>
        <w:t>Uptake of Digital Adherence Technologies (DAT) for adherence monitoring is insufficient and is not being uniformly implemented in all the states.</w:t>
      </w:r>
    </w:p>
    <w:p w14:paraId="3E56233B" w14:textId="53A55A4E" w:rsidR="005D3154" w:rsidRPr="005D3154" w:rsidRDefault="005D3154" w:rsidP="00442A67">
      <w:pPr>
        <w:pStyle w:val="ListParagraph"/>
        <w:numPr>
          <w:ilvl w:val="0"/>
          <w:numId w:val="37"/>
        </w:numPr>
        <w:spacing w:before="0" w:after="0"/>
        <w:jc w:val="both"/>
        <w:rPr>
          <w:rFonts w:asciiTheme="minorHAnsi" w:hAnsiTheme="minorHAnsi" w:cstheme="minorHAnsi"/>
          <w:sz w:val="22"/>
        </w:rPr>
      </w:pPr>
      <w:r w:rsidRPr="005D3154">
        <w:rPr>
          <w:rFonts w:asciiTheme="minorHAnsi" w:hAnsiTheme="minorHAnsi" w:cstheme="minorHAnsi"/>
          <w:sz w:val="22"/>
        </w:rPr>
        <w:t>Lack of information on the long-term outcomes of treatments which makes it difficult to establish efficacy o</w:t>
      </w:r>
      <w:r w:rsidR="00890CB1">
        <w:rPr>
          <w:rFonts w:asciiTheme="minorHAnsi" w:hAnsiTheme="minorHAnsi" w:cstheme="minorHAnsi"/>
          <w:sz w:val="22"/>
        </w:rPr>
        <w:t>f</w:t>
      </w:r>
      <w:r w:rsidRPr="005D3154">
        <w:rPr>
          <w:rFonts w:asciiTheme="minorHAnsi" w:hAnsiTheme="minorHAnsi" w:cstheme="minorHAnsi"/>
          <w:sz w:val="22"/>
        </w:rPr>
        <w:t xml:space="preserve"> long term follow-up as envisaged in the NSP</w:t>
      </w:r>
      <w:r w:rsidR="0086096B">
        <w:rPr>
          <w:rFonts w:asciiTheme="minorHAnsi" w:hAnsiTheme="minorHAnsi" w:cstheme="minorHAnsi"/>
          <w:sz w:val="22"/>
        </w:rPr>
        <w:t xml:space="preserve"> 2017 2025</w:t>
      </w:r>
      <w:r w:rsidRPr="005D3154">
        <w:rPr>
          <w:rFonts w:asciiTheme="minorHAnsi" w:hAnsiTheme="minorHAnsi" w:cstheme="minorHAnsi"/>
          <w:sz w:val="22"/>
        </w:rPr>
        <w:t>.</w:t>
      </w:r>
    </w:p>
    <w:p w14:paraId="7565CF56" w14:textId="73C6DAF0" w:rsidR="005D3154" w:rsidRPr="005D3154" w:rsidRDefault="005D3154" w:rsidP="00442A67">
      <w:pPr>
        <w:pStyle w:val="ListParagraph"/>
        <w:numPr>
          <w:ilvl w:val="0"/>
          <w:numId w:val="37"/>
        </w:numPr>
        <w:spacing w:before="0" w:after="0"/>
        <w:jc w:val="both"/>
        <w:rPr>
          <w:rFonts w:asciiTheme="minorHAnsi" w:hAnsiTheme="minorHAnsi" w:cstheme="minorHAnsi"/>
          <w:sz w:val="22"/>
        </w:rPr>
      </w:pPr>
      <w:r w:rsidRPr="005D3154">
        <w:rPr>
          <w:rFonts w:asciiTheme="minorHAnsi" w:hAnsiTheme="minorHAnsi" w:cstheme="minorHAnsi"/>
          <w:sz w:val="22"/>
        </w:rPr>
        <w:t>Measuring the qua</w:t>
      </w:r>
      <w:r w:rsidR="0086096B">
        <w:rPr>
          <w:rFonts w:asciiTheme="minorHAnsi" w:hAnsiTheme="minorHAnsi" w:cstheme="minorHAnsi"/>
          <w:sz w:val="22"/>
        </w:rPr>
        <w:t>lity of care in private sector is</w:t>
      </w:r>
      <w:r w:rsidRPr="005D3154">
        <w:rPr>
          <w:rFonts w:asciiTheme="minorHAnsi" w:hAnsiTheme="minorHAnsi" w:cstheme="minorHAnsi"/>
          <w:sz w:val="22"/>
        </w:rPr>
        <w:t xml:space="preserve"> a challenge as PPs have no means to ensure treatment adherence/compliance.</w:t>
      </w:r>
    </w:p>
    <w:p w14:paraId="5DD0086E" w14:textId="34F589C4" w:rsidR="005D3154" w:rsidRPr="005D3154" w:rsidRDefault="00A2260B" w:rsidP="00442A67">
      <w:pPr>
        <w:pStyle w:val="ListParagraph"/>
        <w:numPr>
          <w:ilvl w:val="0"/>
          <w:numId w:val="37"/>
        </w:numPr>
        <w:spacing w:before="0" w:after="0"/>
        <w:jc w:val="both"/>
        <w:rPr>
          <w:rFonts w:asciiTheme="minorHAnsi" w:hAnsiTheme="minorHAnsi" w:cstheme="minorHAnsi"/>
          <w:sz w:val="22"/>
        </w:rPr>
      </w:pPr>
      <w:r>
        <w:rPr>
          <w:rFonts w:asciiTheme="minorHAnsi" w:hAnsiTheme="minorHAnsi" w:cstheme="minorHAnsi"/>
          <w:sz w:val="22"/>
        </w:rPr>
        <w:t>T</w:t>
      </w:r>
      <w:r w:rsidR="005D3154" w:rsidRPr="005D3154">
        <w:rPr>
          <w:rFonts w:asciiTheme="minorHAnsi" w:hAnsiTheme="minorHAnsi" w:cstheme="minorHAnsi"/>
          <w:sz w:val="22"/>
        </w:rPr>
        <w:t>PT coverage in identified key populations (Children &lt;5 years and PLHIV) is sub-optimal in most of the states.</w:t>
      </w:r>
    </w:p>
    <w:p w14:paraId="499440E0" w14:textId="74B45C48" w:rsidR="005D3154" w:rsidRDefault="005D3154" w:rsidP="00442A67">
      <w:pPr>
        <w:pStyle w:val="ListParagraph"/>
        <w:numPr>
          <w:ilvl w:val="0"/>
          <w:numId w:val="37"/>
        </w:numPr>
        <w:spacing w:before="0" w:after="0"/>
        <w:jc w:val="both"/>
        <w:rPr>
          <w:rFonts w:asciiTheme="minorHAnsi" w:hAnsiTheme="minorHAnsi" w:cstheme="minorHAnsi"/>
          <w:sz w:val="22"/>
        </w:rPr>
      </w:pPr>
      <w:r w:rsidRPr="005D3154">
        <w:rPr>
          <w:rFonts w:asciiTheme="minorHAnsi" w:hAnsiTheme="minorHAnsi" w:cstheme="minorHAnsi"/>
          <w:sz w:val="22"/>
        </w:rPr>
        <w:t>Inadequate provision of palliative care and rehabilitation services for the difficult to manage cases</w:t>
      </w:r>
      <w:r w:rsidR="00AE4638">
        <w:rPr>
          <w:rFonts w:asciiTheme="minorHAnsi" w:hAnsiTheme="minorHAnsi" w:cstheme="minorHAnsi"/>
          <w:sz w:val="22"/>
        </w:rPr>
        <w:t xml:space="preserve"> </w:t>
      </w:r>
    </w:p>
    <w:p w14:paraId="5CABE258" w14:textId="5CC78DEF" w:rsidR="00F52C8A"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6</w:t>
      </w:r>
      <w:r>
        <w:rPr>
          <w:rFonts w:asciiTheme="minorHAnsi" w:hAnsiTheme="minorHAnsi" w:cstheme="minorHAnsi"/>
          <w:b/>
          <w:color w:val="C86A07" w:themeColor="accent2" w:themeShade="BF"/>
          <w:sz w:val="28"/>
          <w:lang w:val="en"/>
        </w:rPr>
        <w:t xml:space="preserve">.4 </w:t>
      </w:r>
      <w:r w:rsidR="00F52C8A" w:rsidRPr="0030030B">
        <w:rPr>
          <w:rFonts w:asciiTheme="minorHAnsi" w:hAnsiTheme="minorHAnsi" w:cstheme="minorHAnsi"/>
          <w:b/>
          <w:color w:val="C86A07" w:themeColor="accent2" w:themeShade="BF"/>
          <w:sz w:val="28"/>
          <w:lang w:val="en"/>
        </w:rPr>
        <w:t xml:space="preserve">THE WAY FORWARD </w:t>
      </w:r>
    </w:p>
    <w:p w14:paraId="317A4647" w14:textId="77777777" w:rsidR="00597CF1" w:rsidRPr="00597CF1" w:rsidRDefault="00597CF1" w:rsidP="009136E5">
      <w:pPr>
        <w:pStyle w:val="ListParagraph"/>
        <w:numPr>
          <w:ilvl w:val="0"/>
          <w:numId w:val="75"/>
        </w:numPr>
        <w:tabs>
          <w:tab w:val="left" w:pos="900"/>
        </w:tabs>
        <w:spacing w:before="0" w:after="0"/>
        <w:jc w:val="both"/>
        <w:rPr>
          <w:rFonts w:asciiTheme="minorHAnsi" w:hAnsiTheme="minorHAnsi" w:cstheme="minorHAnsi"/>
          <w:vanish/>
          <w:sz w:val="22"/>
        </w:rPr>
      </w:pPr>
    </w:p>
    <w:p w14:paraId="44022487" w14:textId="77777777" w:rsidR="00597CF1" w:rsidRPr="00597CF1" w:rsidRDefault="00597CF1" w:rsidP="009136E5">
      <w:pPr>
        <w:pStyle w:val="ListParagraph"/>
        <w:numPr>
          <w:ilvl w:val="0"/>
          <w:numId w:val="75"/>
        </w:numPr>
        <w:tabs>
          <w:tab w:val="left" w:pos="900"/>
        </w:tabs>
        <w:spacing w:before="0" w:after="0"/>
        <w:jc w:val="both"/>
        <w:rPr>
          <w:rFonts w:asciiTheme="minorHAnsi" w:hAnsiTheme="minorHAnsi" w:cstheme="minorHAnsi"/>
          <w:vanish/>
          <w:sz w:val="22"/>
        </w:rPr>
      </w:pPr>
    </w:p>
    <w:p w14:paraId="378F5F34" w14:textId="77777777" w:rsidR="00597CF1" w:rsidRPr="00597CF1" w:rsidRDefault="00597CF1" w:rsidP="009136E5">
      <w:pPr>
        <w:pStyle w:val="ListParagraph"/>
        <w:numPr>
          <w:ilvl w:val="0"/>
          <w:numId w:val="75"/>
        </w:numPr>
        <w:tabs>
          <w:tab w:val="left" w:pos="900"/>
        </w:tabs>
        <w:spacing w:before="0" w:after="0"/>
        <w:jc w:val="both"/>
        <w:rPr>
          <w:rFonts w:asciiTheme="minorHAnsi" w:hAnsiTheme="minorHAnsi" w:cstheme="minorHAnsi"/>
          <w:vanish/>
          <w:sz w:val="22"/>
        </w:rPr>
      </w:pPr>
    </w:p>
    <w:p w14:paraId="59481E8A" w14:textId="77777777" w:rsidR="00597CF1" w:rsidRPr="00597CF1" w:rsidRDefault="00597CF1" w:rsidP="009136E5">
      <w:pPr>
        <w:pStyle w:val="ListParagraph"/>
        <w:numPr>
          <w:ilvl w:val="1"/>
          <w:numId w:val="75"/>
        </w:numPr>
        <w:tabs>
          <w:tab w:val="left" w:pos="900"/>
        </w:tabs>
        <w:spacing w:before="0" w:after="0"/>
        <w:jc w:val="both"/>
        <w:rPr>
          <w:rFonts w:asciiTheme="minorHAnsi" w:hAnsiTheme="minorHAnsi" w:cstheme="minorHAnsi"/>
          <w:vanish/>
          <w:sz w:val="22"/>
        </w:rPr>
      </w:pPr>
    </w:p>
    <w:p w14:paraId="731DAECC" w14:textId="73D13C4B" w:rsidR="00F52C8A" w:rsidRPr="00DB4CE2" w:rsidRDefault="00F52C8A" w:rsidP="009136E5">
      <w:pPr>
        <w:pStyle w:val="ListParagraph"/>
        <w:numPr>
          <w:ilvl w:val="2"/>
          <w:numId w:val="75"/>
        </w:numPr>
        <w:tabs>
          <w:tab w:val="left" w:pos="630"/>
        </w:tabs>
        <w:spacing w:before="0" w:after="0"/>
        <w:ind w:left="504"/>
        <w:jc w:val="both"/>
        <w:rPr>
          <w:rFonts w:asciiTheme="minorHAnsi" w:hAnsiTheme="minorHAnsi" w:cstheme="minorHAnsi"/>
          <w:sz w:val="22"/>
        </w:rPr>
      </w:pPr>
      <w:r w:rsidRPr="00597CF1">
        <w:rPr>
          <w:rFonts w:asciiTheme="minorHAnsi" w:hAnsiTheme="minorHAnsi" w:cstheme="minorHAnsi"/>
          <w:b/>
          <w:sz w:val="22"/>
        </w:rPr>
        <w:t>Continue with the current modalities for treatment that include regimens for DSTB using daily</w:t>
      </w:r>
      <w:r w:rsidRPr="00DB4CE2">
        <w:rPr>
          <w:rFonts w:asciiTheme="minorHAnsi" w:hAnsiTheme="minorHAnsi" w:cstheme="minorHAnsi"/>
          <w:sz w:val="22"/>
        </w:rPr>
        <w:t xml:space="preserve"> FDCs as per patient’s weight band (5 weight bands) with augmented continuation phase and intensified treatment support systems using ICT. </w:t>
      </w:r>
    </w:p>
    <w:p w14:paraId="089F25B5" w14:textId="167D1D2F" w:rsidR="00F52C8A" w:rsidRPr="00DB4CE2" w:rsidRDefault="00383940" w:rsidP="009136E5">
      <w:pPr>
        <w:pStyle w:val="ListParagraph"/>
        <w:numPr>
          <w:ilvl w:val="2"/>
          <w:numId w:val="75"/>
        </w:numPr>
        <w:tabs>
          <w:tab w:val="left" w:pos="630"/>
        </w:tabs>
        <w:spacing w:after="0"/>
        <w:ind w:left="504"/>
        <w:contextualSpacing w:val="0"/>
        <w:jc w:val="both"/>
        <w:rPr>
          <w:rFonts w:asciiTheme="minorHAnsi" w:hAnsiTheme="minorHAnsi" w:cstheme="minorHAnsi"/>
          <w:sz w:val="22"/>
        </w:rPr>
      </w:pPr>
      <w:r w:rsidRPr="00597CF1">
        <w:rPr>
          <w:rFonts w:asciiTheme="minorHAnsi" w:hAnsiTheme="minorHAnsi" w:cstheme="minorHAnsi"/>
          <w:b/>
          <w:sz w:val="22"/>
        </w:rPr>
        <w:t xml:space="preserve">Implement </w:t>
      </w:r>
      <w:r w:rsidR="00F52C8A" w:rsidRPr="00597CF1">
        <w:rPr>
          <w:rFonts w:asciiTheme="minorHAnsi" w:hAnsiTheme="minorHAnsi" w:cstheme="minorHAnsi"/>
          <w:b/>
          <w:sz w:val="22"/>
        </w:rPr>
        <w:t>activities for the prevention of relapse and development of drug resistance in pan</w:t>
      </w:r>
      <w:r w:rsidR="00F52C8A" w:rsidRPr="00DB4CE2">
        <w:rPr>
          <w:rFonts w:asciiTheme="minorHAnsi" w:hAnsiTheme="minorHAnsi" w:cstheme="minorHAnsi"/>
          <w:sz w:val="22"/>
        </w:rPr>
        <w:t xml:space="preserve"> sensitive patients durin</w:t>
      </w:r>
      <w:r w:rsidRPr="00DB4CE2">
        <w:rPr>
          <w:rFonts w:asciiTheme="minorHAnsi" w:hAnsiTheme="minorHAnsi" w:cstheme="minorHAnsi"/>
          <w:sz w:val="22"/>
        </w:rPr>
        <w:t>g first line standard treatment</w:t>
      </w:r>
      <w:r w:rsidR="00F52C8A" w:rsidRPr="00DB4CE2">
        <w:rPr>
          <w:rFonts w:asciiTheme="minorHAnsi" w:hAnsiTheme="minorHAnsi" w:cstheme="minorHAnsi"/>
          <w:sz w:val="22"/>
        </w:rPr>
        <w:t>:</w:t>
      </w:r>
    </w:p>
    <w:p w14:paraId="54C7C144" w14:textId="734A0BF9" w:rsidR="00F52C8A" w:rsidRPr="00DB4CE2" w:rsidRDefault="00F52C8A"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DB4CE2">
        <w:rPr>
          <w:rFonts w:asciiTheme="minorHAnsi" w:hAnsiTheme="minorHAnsi" w:cstheme="minorHAnsi"/>
          <w:sz w:val="22"/>
        </w:rPr>
        <w:t>Concurrent baseline investigation along with treatment initiation</w:t>
      </w:r>
    </w:p>
    <w:p w14:paraId="0E4E42F8" w14:textId="2BCE21D6" w:rsidR="00F52C8A" w:rsidRPr="00DB4CE2" w:rsidRDefault="00F52C8A"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DB4CE2">
        <w:rPr>
          <w:rFonts w:asciiTheme="minorHAnsi" w:hAnsiTheme="minorHAnsi" w:cstheme="minorHAnsi"/>
          <w:sz w:val="22"/>
        </w:rPr>
        <w:t>Therapeutic drug monitoring services for patients to be available on demand from the provider</w:t>
      </w:r>
    </w:p>
    <w:p w14:paraId="5E8E172A" w14:textId="3D629237" w:rsidR="00B356F5" w:rsidRPr="00DB4CE2" w:rsidRDefault="00B356F5"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DB4CE2">
        <w:rPr>
          <w:rFonts w:asciiTheme="minorHAnsi" w:hAnsiTheme="minorHAnsi" w:cstheme="minorHAnsi"/>
          <w:sz w:val="22"/>
        </w:rPr>
        <w:t xml:space="preserve">Option of </w:t>
      </w:r>
      <w:r>
        <w:rPr>
          <w:rFonts w:asciiTheme="minorHAnsi" w:hAnsiTheme="minorHAnsi" w:cstheme="minorHAnsi"/>
          <w:sz w:val="22"/>
        </w:rPr>
        <w:t xml:space="preserve">regular and long-term </w:t>
      </w:r>
      <w:r w:rsidRPr="00DB4CE2">
        <w:rPr>
          <w:rFonts w:asciiTheme="minorHAnsi" w:hAnsiTheme="minorHAnsi" w:cstheme="minorHAnsi"/>
          <w:sz w:val="22"/>
        </w:rPr>
        <w:t xml:space="preserve">post-treatment </w:t>
      </w:r>
      <w:r>
        <w:rPr>
          <w:rFonts w:asciiTheme="minorHAnsi" w:hAnsiTheme="minorHAnsi" w:cstheme="minorHAnsi"/>
          <w:sz w:val="22"/>
        </w:rPr>
        <w:t xml:space="preserve">follow-up of TB patients to identify relapse early and detection and management of post TB sequels explaining the role of health </w:t>
      </w:r>
      <w:r w:rsidR="009D73A5">
        <w:rPr>
          <w:rFonts w:asciiTheme="minorHAnsi" w:hAnsiTheme="minorHAnsi" w:cstheme="minorHAnsi"/>
          <w:sz w:val="22"/>
        </w:rPr>
        <w:t xml:space="preserve">care </w:t>
      </w:r>
      <w:r>
        <w:rPr>
          <w:rFonts w:asciiTheme="minorHAnsi" w:hAnsiTheme="minorHAnsi" w:cstheme="minorHAnsi"/>
          <w:sz w:val="22"/>
        </w:rPr>
        <w:t>workers at different levels and link</w:t>
      </w:r>
      <w:r w:rsidR="00890CB1">
        <w:rPr>
          <w:rFonts w:asciiTheme="minorHAnsi" w:hAnsiTheme="minorHAnsi" w:cstheme="minorHAnsi"/>
          <w:sz w:val="22"/>
        </w:rPr>
        <w:t>a</w:t>
      </w:r>
      <w:r>
        <w:rPr>
          <w:rFonts w:asciiTheme="minorHAnsi" w:hAnsiTheme="minorHAnsi" w:cstheme="minorHAnsi"/>
          <w:sz w:val="22"/>
        </w:rPr>
        <w:t>ges.</w:t>
      </w:r>
    </w:p>
    <w:p w14:paraId="7F444399" w14:textId="22FD8A00" w:rsidR="00F52C8A" w:rsidRPr="00DB4CE2" w:rsidRDefault="008D5BD5"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Pr>
          <w:rFonts w:asciiTheme="minorHAnsi" w:hAnsiTheme="minorHAnsi" w:cstheme="minorHAnsi"/>
          <w:sz w:val="22"/>
        </w:rPr>
        <w:t>Ensure</w:t>
      </w:r>
      <w:r w:rsidR="00F52C8A" w:rsidRPr="00DB4CE2">
        <w:rPr>
          <w:rFonts w:asciiTheme="minorHAnsi" w:hAnsiTheme="minorHAnsi" w:cstheme="minorHAnsi"/>
          <w:sz w:val="22"/>
        </w:rPr>
        <w:t xml:space="preserve"> linkages for management of co-morbid conditions</w:t>
      </w:r>
    </w:p>
    <w:p w14:paraId="78E24D19" w14:textId="01FFE2D3" w:rsidR="00F52C8A" w:rsidRPr="00DB4CE2" w:rsidRDefault="008D5BD5"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Pr>
          <w:rFonts w:asciiTheme="minorHAnsi" w:hAnsiTheme="minorHAnsi" w:cstheme="minorHAnsi"/>
          <w:sz w:val="22"/>
        </w:rPr>
        <w:t>Engage</w:t>
      </w:r>
      <w:r w:rsidR="00F52C8A" w:rsidRPr="00DB4CE2">
        <w:rPr>
          <w:rFonts w:asciiTheme="minorHAnsi" w:hAnsiTheme="minorHAnsi" w:cstheme="minorHAnsi"/>
          <w:sz w:val="22"/>
        </w:rPr>
        <w:t xml:space="preserve"> patient support system to improve patient compliance</w:t>
      </w:r>
    </w:p>
    <w:p w14:paraId="1CB4B67D" w14:textId="1B588552" w:rsidR="00F52C8A" w:rsidRPr="00DB4CE2" w:rsidRDefault="00F52C8A"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DB4CE2">
        <w:rPr>
          <w:rFonts w:asciiTheme="minorHAnsi" w:hAnsiTheme="minorHAnsi" w:cstheme="minorHAnsi"/>
          <w:sz w:val="22"/>
        </w:rPr>
        <w:t>Address issues of migration and patient transfer</w:t>
      </w:r>
      <w:r w:rsidR="00B356F5">
        <w:rPr>
          <w:rFonts w:asciiTheme="minorHAnsi" w:hAnsiTheme="minorHAnsi" w:cstheme="minorHAnsi"/>
          <w:sz w:val="22"/>
        </w:rPr>
        <w:t xml:space="preserve"> on real-time basis utilizing the NIKSHAY platform ensuring linkage for un-interrupted treatment for the patients.</w:t>
      </w:r>
    </w:p>
    <w:p w14:paraId="67990550" w14:textId="6C220CDF" w:rsidR="006E0FAE" w:rsidRPr="00DB4CE2" w:rsidRDefault="00F51523"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Pr>
          <w:rFonts w:asciiTheme="minorHAnsi" w:hAnsiTheme="minorHAnsi" w:cstheme="minorHAnsi"/>
          <w:sz w:val="22"/>
        </w:rPr>
        <w:t>a</w:t>
      </w:r>
      <w:r w:rsidRPr="00DB4CE2">
        <w:rPr>
          <w:rFonts w:asciiTheme="minorHAnsi" w:hAnsiTheme="minorHAnsi" w:cstheme="minorHAnsi"/>
          <w:sz w:val="22"/>
        </w:rPr>
        <w:t>DSM</w:t>
      </w:r>
      <w:r w:rsidR="00F52C8A" w:rsidRPr="00DB4CE2">
        <w:rPr>
          <w:rFonts w:asciiTheme="minorHAnsi" w:hAnsiTheme="minorHAnsi" w:cstheme="minorHAnsi"/>
          <w:sz w:val="22"/>
        </w:rPr>
        <w:t xml:space="preserve"> toolkit to be implemented to improve ADR management, timely reporting and monitoring through NIKSHAY.</w:t>
      </w:r>
      <w:r w:rsidR="006E0FAE" w:rsidRPr="00DB4CE2">
        <w:rPr>
          <w:rFonts w:asciiTheme="minorHAnsi" w:hAnsiTheme="minorHAnsi" w:cstheme="minorHAnsi"/>
          <w:sz w:val="22"/>
        </w:rPr>
        <w:t xml:space="preserve"> </w:t>
      </w:r>
    </w:p>
    <w:p w14:paraId="020161A6" w14:textId="27175FFA" w:rsidR="006E0FAE" w:rsidRPr="00DB4CE2" w:rsidRDefault="006E0FAE" w:rsidP="009136E5">
      <w:pPr>
        <w:pStyle w:val="ListParagraph"/>
        <w:numPr>
          <w:ilvl w:val="2"/>
          <w:numId w:val="75"/>
        </w:numPr>
        <w:tabs>
          <w:tab w:val="left" w:pos="630"/>
        </w:tabs>
        <w:spacing w:after="0"/>
        <w:ind w:left="504"/>
        <w:contextualSpacing w:val="0"/>
        <w:jc w:val="both"/>
        <w:rPr>
          <w:rFonts w:asciiTheme="minorHAnsi" w:hAnsiTheme="minorHAnsi" w:cstheme="minorHAnsi"/>
          <w:sz w:val="22"/>
        </w:rPr>
      </w:pPr>
      <w:r w:rsidRPr="00597CF1">
        <w:rPr>
          <w:rFonts w:asciiTheme="minorHAnsi" w:hAnsiTheme="minorHAnsi" w:cstheme="minorHAnsi"/>
          <w:b/>
          <w:sz w:val="22"/>
        </w:rPr>
        <w:t>Care cascade monitoring</w:t>
      </w:r>
      <w:r w:rsidR="00426B13" w:rsidRPr="00597CF1">
        <w:rPr>
          <w:rFonts w:asciiTheme="minorHAnsi" w:hAnsiTheme="minorHAnsi" w:cstheme="minorHAnsi"/>
          <w:b/>
          <w:sz w:val="22"/>
        </w:rPr>
        <w:t>:</w:t>
      </w:r>
      <w:r w:rsidR="00426B13" w:rsidRPr="00DB4CE2">
        <w:rPr>
          <w:rFonts w:asciiTheme="minorHAnsi" w:hAnsiTheme="minorHAnsi" w:cstheme="minorHAnsi"/>
          <w:sz w:val="22"/>
        </w:rPr>
        <w:t xml:space="preserve"> system issues in the care cascade of a TB patient need to be addressed through regular good-quality trainings</w:t>
      </w:r>
    </w:p>
    <w:p w14:paraId="4F9298F9" w14:textId="1491634D" w:rsidR="00426B13" w:rsidRPr="00DB4CE2" w:rsidRDefault="00426B13"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DB4CE2">
        <w:rPr>
          <w:rFonts w:asciiTheme="minorHAnsi" w:hAnsiTheme="minorHAnsi" w:cstheme="minorHAnsi"/>
          <w:sz w:val="22"/>
        </w:rPr>
        <w:t>Utilization of e-platforms such as ECHO, Swasthya Gurukul or e-samikhsha portal for conducting e-trainings to augment the efforts of modular trainings.</w:t>
      </w:r>
    </w:p>
    <w:p w14:paraId="294CDC9E" w14:textId="4D6DED47" w:rsidR="00426B13" w:rsidRPr="00DB4CE2" w:rsidRDefault="008D5BD5"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Pr>
          <w:rFonts w:asciiTheme="minorHAnsi" w:hAnsiTheme="minorHAnsi" w:cstheme="minorHAnsi"/>
          <w:sz w:val="22"/>
        </w:rPr>
        <w:t>Institute m</w:t>
      </w:r>
      <w:r w:rsidR="00426B13" w:rsidRPr="00DB4CE2">
        <w:rPr>
          <w:rFonts w:asciiTheme="minorHAnsi" w:hAnsiTheme="minorHAnsi" w:cstheme="minorHAnsi"/>
          <w:sz w:val="22"/>
        </w:rPr>
        <w:t>echanisms to measure the quality of trainings</w:t>
      </w:r>
      <w:r w:rsidR="000F3E6B">
        <w:rPr>
          <w:rFonts w:asciiTheme="minorHAnsi" w:hAnsiTheme="minorHAnsi" w:cstheme="minorHAnsi"/>
          <w:sz w:val="22"/>
        </w:rPr>
        <w:t>.</w:t>
      </w:r>
    </w:p>
    <w:p w14:paraId="3B7C55BC" w14:textId="0BB8510B" w:rsidR="006E0FAE" w:rsidRPr="00597CF1" w:rsidRDefault="006E0FAE" w:rsidP="009136E5">
      <w:pPr>
        <w:pStyle w:val="ListParagraph"/>
        <w:numPr>
          <w:ilvl w:val="2"/>
          <w:numId w:val="75"/>
        </w:numPr>
        <w:tabs>
          <w:tab w:val="left" w:pos="630"/>
        </w:tabs>
        <w:spacing w:after="0"/>
        <w:ind w:left="504"/>
        <w:contextualSpacing w:val="0"/>
        <w:jc w:val="both"/>
        <w:rPr>
          <w:rFonts w:asciiTheme="minorHAnsi" w:hAnsiTheme="minorHAnsi" w:cstheme="minorHAnsi"/>
          <w:b/>
          <w:sz w:val="22"/>
        </w:rPr>
      </w:pPr>
      <w:r w:rsidRPr="00597CF1">
        <w:rPr>
          <w:rFonts w:asciiTheme="minorHAnsi" w:hAnsiTheme="minorHAnsi" w:cstheme="minorHAnsi"/>
          <w:b/>
          <w:sz w:val="22"/>
        </w:rPr>
        <w:t>Expanding options for adherence monitoring and supervision</w:t>
      </w:r>
    </w:p>
    <w:p w14:paraId="506207A4" w14:textId="55312B6A" w:rsidR="006B1F2B" w:rsidRPr="000F3E6B" w:rsidRDefault="006E0FAE"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6B1F2B">
        <w:rPr>
          <w:rFonts w:asciiTheme="minorHAnsi" w:hAnsiTheme="minorHAnsi" w:cstheme="minorHAnsi"/>
          <w:sz w:val="22"/>
        </w:rPr>
        <w:t xml:space="preserve">Combination of DAT with traditional adherence support mechanisms </w:t>
      </w:r>
      <w:r w:rsidR="00426B13" w:rsidRPr="006B1F2B">
        <w:rPr>
          <w:rFonts w:asciiTheme="minorHAnsi" w:hAnsiTheme="minorHAnsi" w:cstheme="minorHAnsi"/>
          <w:sz w:val="22"/>
        </w:rPr>
        <w:t>will</w:t>
      </w:r>
      <w:r w:rsidRPr="006B1F2B">
        <w:rPr>
          <w:rFonts w:asciiTheme="minorHAnsi" w:hAnsiTheme="minorHAnsi" w:cstheme="minorHAnsi"/>
          <w:sz w:val="22"/>
        </w:rPr>
        <w:t xml:space="preserve"> be utilized as suited for individual patients.</w:t>
      </w:r>
      <w:r w:rsidR="00426B13" w:rsidRPr="006B1F2B">
        <w:rPr>
          <w:rFonts w:asciiTheme="minorHAnsi" w:hAnsiTheme="minorHAnsi" w:cstheme="minorHAnsi"/>
          <w:sz w:val="22"/>
        </w:rPr>
        <w:t xml:space="preserve"> This will include 1) Digital adherence technology (</w:t>
      </w:r>
      <w:r w:rsidR="00426B13" w:rsidRPr="000F3E6B">
        <w:rPr>
          <w:rFonts w:asciiTheme="minorHAnsi" w:hAnsiTheme="minorHAnsi" w:cstheme="minorHAnsi"/>
          <w:b/>
          <w:sz w:val="22"/>
        </w:rPr>
        <w:t xml:space="preserve">99DOTS for DSTB/ MERM for DRTB </w:t>
      </w:r>
      <w:r w:rsidR="00AF41B5" w:rsidRPr="000F3E6B">
        <w:rPr>
          <w:rFonts w:asciiTheme="minorHAnsi" w:hAnsiTheme="minorHAnsi" w:cstheme="minorHAnsi"/>
          <w:b/>
          <w:sz w:val="22"/>
        </w:rPr>
        <w:t>and</w:t>
      </w:r>
      <w:r w:rsidR="00426B13" w:rsidRPr="000F3E6B">
        <w:rPr>
          <w:rFonts w:asciiTheme="minorHAnsi" w:hAnsiTheme="minorHAnsi" w:cstheme="minorHAnsi"/>
          <w:b/>
          <w:sz w:val="22"/>
        </w:rPr>
        <w:t xml:space="preserve"> Paediatric TB</w:t>
      </w:r>
      <w:r w:rsidR="00426B13" w:rsidRPr="006B1F2B">
        <w:rPr>
          <w:rFonts w:asciiTheme="minorHAnsi" w:hAnsiTheme="minorHAnsi" w:cstheme="minorHAnsi"/>
          <w:sz w:val="22"/>
        </w:rPr>
        <w:t xml:space="preserve">) in addition to </w:t>
      </w:r>
      <w:r w:rsidR="00426B13" w:rsidRPr="000F3E6B">
        <w:rPr>
          <w:rFonts w:asciiTheme="minorHAnsi" w:hAnsiTheme="minorHAnsi" w:cstheme="minorHAnsi"/>
          <w:b/>
          <w:sz w:val="22"/>
        </w:rPr>
        <w:t>family members as treatment supporters</w:t>
      </w:r>
      <w:r w:rsidR="00426B13" w:rsidRPr="006B1F2B">
        <w:rPr>
          <w:rFonts w:asciiTheme="minorHAnsi" w:hAnsiTheme="minorHAnsi" w:cstheme="minorHAnsi"/>
          <w:sz w:val="22"/>
        </w:rPr>
        <w:t xml:space="preserve">; 2) Community based (involving </w:t>
      </w:r>
      <w:r w:rsidR="00426B13" w:rsidRPr="000F3E6B">
        <w:rPr>
          <w:rFonts w:asciiTheme="minorHAnsi" w:hAnsiTheme="minorHAnsi" w:cstheme="minorHAnsi"/>
          <w:b/>
          <w:sz w:val="22"/>
        </w:rPr>
        <w:t>ASHA or other community member)/Institutional treatment supporte</w:t>
      </w:r>
      <w:r w:rsidR="00426B13" w:rsidRPr="006B1F2B">
        <w:rPr>
          <w:rFonts w:asciiTheme="minorHAnsi" w:hAnsiTheme="minorHAnsi" w:cstheme="minorHAnsi"/>
          <w:sz w:val="22"/>
        </w:rPr>
        <w:t>r; 3) In cases like sick and bed ridden patients or children, a family member to be the treatment supporter</w:t>
      </w:r>
      <w:r w:rsidR="006B1F2B">
        <w:rPr>
          <w:rFonts w:asciiTheme="minorHAnsi" w:hAnsiTheme="minorHAnsi" w:cstheme="minorHAnsi"/>
          <w:sz w:val="22"/>
        </w:rPr>
        <w:t>;</w:t>
      </w:r>
      <w:r w:rsidR="006B1F2B" w:rsidRPr="006B1F2B">
        <w:rPr>
          <w:rFonts w:asciiTheme="minorHAnsi" w:hAnsiTheme="minorHAnsi" w:cstheme="minorHAnsi"/>
          <w:sz w:val="22"/>
        </w:rPr>
        <w:t xml:space="preserve"> and 4) </w:t>
      </w:r>
      <w:r w:rsidR="006B1F2B" w:rsidRPr="000F3E6B">
        <w:rPr>
          <w:rFonts w:asciiTheme="minorHAnsi" w:hAnsiTheme="minorHAnsi" w:cstheme="minorHAnsi"/>
          <w:b/>
          <w:sz w:val="22"/>
        </w:rPr>
        <w:t xml:space="preserve">Refill monitoring: </w:t>
      </w:r>
      <w:r w:rsidR="006B1F2B" w:rsidRPr="000F3E6B">
        <w:rPr>
          <w:rFonts w:asciiTheme="minorHAnsi" w:hAnsiTheme="minorHAnsi" w:cstheme="minorHAnsi"/>
          <w:sz w:val="22"/>
        </w:rPr>
        <w:t>Digitized prescription refill information in Nikshay will be used to estimate the number of days the patient missed doses based on subsequent refill dates, indicating a proxy for medication possession.</w:t>
      </w:r>
    </w:p>
    <w:p w14:paraId="7945C681" w14:textId="0D3489E6" w:rsidR="006E0FAE" w:rsidRPr="00DB4CE2" w:rsidRDefault="000F3E6B"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0F3E6B">
        <w:rPr>
          <w:rFonts w:asciiTheme="minorHAnsi" w:hAnsiTheme="minorHAnsi" w:cstheme="minorHAnsi"/>
          <w:b/>
          <w:sz w:val="22"/>
        </w:rPr>
        <w:t>A</w:t>
      </w:r>
      <w:r w:rsidR="006E0FAE" w:rsidRPr="000F3E6B">
        <w:rPr>
          <w:rFonts w:asciiTheme="minorHAnsi" w:hAnsiTheme="minorHAnsi" w:cstheme="minorHAnsi"/>
          <w:b/>
          <w:sz w:val="22"/>
        </w:rPr>
        <w:t>utomated reminders</w:t>
      </w:r>
      <w:r w:rsidR="006E0FAE" w:rsidRPr="00DB4CE2">
        <w:rPr>
          <w:rFonts w:asciiTheme="minorHAnsi" w:hAnsiTheme="minorHAnsi" w:cstheme="minorHAnsi"/>
          <w:sz w:val="22"/>
        </w:rPr>
        <w:t xml:space="preserve"> on treatment initiation, interruption and follow up</w:t>
      </w:r>
      <w:r>
        <w:rPr>
          <w:rFonts w:asciiTheme="minorHAnsi" w:hAnsiTheme="minorHAnsi" w:cstheme="minorHAnsi"/>
          <w:sz w:val="22"/>
        </w:rPr>
        <w:t xml:space="preserve"> t</w:t>
      </w:r>
      <w:r w:rsidRPr="00DB4CE2">
        <w:rPr>
          <w:rFonts w:asciiTheme="minorHAnsi" w:hAnsiTheme="minorHAnsi" w:cstheme="minorHAnsi"/>
          <w:sz w:val="22"/>
        </w:rPr>
        <w:t>hrough the Nikshay platform</w:t>
      </w:r>
      <w:r>
        <w:rPr>
          <w:rFonts w:asciiTheme="minorHAnsi" w:hAnsiTheme="minorHAnsi" w:cstheme="minorHAnsi"/>
          <w:sz w:val="22"/>
        </w:rPr>
        <w:t>.</w:t>
      </w:r>
    </w:p>
    <w:p w14:paraId="04DD4BC3" w14:textId="0CF02990" w:rsidR="006E0FAE" w:rsidRPr="00DB4CE2" w:rsidRDefault="006E0FAE"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0F3E6B">
        <w:rPr>
          <w:rFonts w:asciiTheme="minorHAnsi" w:hAnsiTheme="minorHAnsi" w:cstheme="minorHAnsi"/>
          <w:b/>
          <w:sz w:val="22"/>
        </w:rPr>
        <w:t>Offline app for patient education</w:t>
      </w:r>
      <w:r w:rsidRPr="00DB4CE2">
        <w:rPr>
          <w:rFonts w:asciiTheme="minorHAnsi" w:hAnsiTheme="minorHAnsi" w:cstheme="minorHAnsi"/>
          <w:sz w:val="22"/>
        </w:rPr>
        <w:t>. Information regarding TB diagnostic and treatment services, enablers, grievance through call center support will be linked on the app through e-Nikshay.</w:t>
      </w:r>
    </w:p>
    <w:p w14:paraId="38B025EC" w14:textId="339AEC83" w:rsidR="006E0FAE" w:rsidRPr="00DB4CE2" w:rsidRDefault="006E0FAE"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DB4CE2">
        <w:rPr>
          <w:rFonts w:asciiTheme="minorHAnsi" w:hAnsiTheme="minorHAnsi" w:cstheme="minorHAnsi"/>
          <w:sz w:val="22"/>
        </w:rPr>
        <w:t>NIKSHAY Aushadi and NIKSHAY will be placed on the same platform with direct bridge for understanding drug stock for notified TB patients, forecast of needed drugs and available stock out if any</w:t>
      </w:r>
      <w:r w:rsidR="000F3E6B">
        <w:rPr>
          <w:rFonts w:asciiTheme="minorHAnsi" w:hAnsiTheme="minorHAnsi" w:cstheme="minorHAnsi"/>
          <w:sz w:val="22"/>
        </w:rPr>
        <w:t>.</w:t>
      </w:r>
    </w:p>
    <w:p w14:paraId="186E1F77" w14:textId="2B95F1BF" w:rsidR="00050D57" w:rsidRPr="00597CF1" w:rsidRDefault="00050D57" w:rsidP="009136E5">
      <w:pPr>
        <w:pStyle w:val="ListParagraph"/>
        <w:numPr>
          <w:ilvl w:val="2"/>
          <w:numId w:val="75"/>
        </w:numPr>
        <w:tabs>
          <w:tab w:val="left" w:pos="630"/>
        </w:tabs>
        <w:spacing w:after="0"/>
        <w:ind w:left="504"/>
        <w:contextualSpacing w:val="0"/>
        <w:jc w:val="both"/>
        <w:rPr>
          <w:rFonts w:asciiTheme="minorHAnsi" w:hAnsiTheme="minorHAnsi" w:cstheme="minorHAnsi"/>
          <w:b/>
          <w:sz w:val="22"/>
        </w:rPr>
      </w:pPr>
      <w:r w:rsidRPr="00597CF1">
        <w:rPr>
          <w:rFonts w:asciiTheme="minorHAnsi" w:hAnsiTheme="minorHAnsi" w:cstheme="minorHAnsi"/>
          <w:b/>
          <w:sz w:val="22"/>
        </w:rPr>
        <w:t>Improving Clinical support</w:t>
      </w:r>
    </w:p>
    <w:p w14:paraId="53B9E3FB" w14:textId="41B3682F" w:rsidR="00050D57" w:rsidRPr="00DB4CE2" w:rsidRDefault="00050D57"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DB4CE2">
        <w:rPr>
          <w:rFonts w:asciiTheme="minorHAnsi" w:hAnsiTheme="minorHAnsi" w:cstheme="minorHAnsi"/>
          <w:sz w:val="22"/>
        </w:rPr>
        <w:t>Utilization of updated and appropriately located Ready Reckoners, pamphlets, job-aids for easy reference for all health care providers at all levels for prompt clinical decision</w:t>
      </w:r>
    </w:p>
    <w:p w14:paraId="1D6C0687" w14:textId="5712B9B8" w:rsidR="00050D57" w:rsidRPr="00DB4CE2" w:rsidRDefault="008D5BD5"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Pr>
          <w:rFonts w:asciiTheme="minorHAnsi" w:hAnsiTheme="minorHAnsi" w:cstheme="minorHAnsi"/>
          <w:sz w:val="22"/>
        </w:rPr>
        <w:t xml:space="preserve">Develop and incorporate </w:t>
      </w:r>
      <w:r w:rsidR="00050D57" w:rsidRPr="000F3E6B">
        <w:rPr>
          <w:rFonts w:asciiTheme="minorHAnsi" w:hAnsiTheme="minorHAnsi" w:cstheme="minorHAnsi"/>
          <w:b/>
          <w:sz w:val="22"/>
        </w:rPr>
        <w:t>‘Clinical Decision Support’ (CDS) Tool</w:t>
      </w:r>
      <w:r w:rsidR="00050D57" w:rsidRPr="00DB4CE2">
        <w:rPr>
          <w:rFonts w:asciiTheme="minorHAnsi" w:hAnsiTheme="minorHAnsi" w:cstheme="minorHAnsi"/>
          <w:sz w:val="22"/>
        </w:rPr>
        <w:t xml:space="preserve"> into Nikshay.</w:t>
      </w:r>
    </w:p>
    <w:p w14:paraId="54432390" w14:textId="0CCFF8B4" w:rsidR="00050D57" w:rsidRDefault="00050D57" w:rsidP="009136E5">
      <w:pPr>
        <w:pStyle w:val="ListParagraph"/>
        <w:numPr>
          <w:ilvl w:val="3"/>
          <w:numId w:val="75"/>
        </w:numPr>
        <w:tabs>
          <w:tab w:val="left" w:pos="630"/>
        </w:tabs>
        <w:spacing w:before="0" w:after="0"/>
        <w:ind w:left="1260" w:hanging="900"/>
        <w:jc w:val="both"/>
        <w:rPr>
          <w:rFonts w:asciiTheme="minorHAnsi" w:hAnsiTheme="minorHAnsi" w:cstheme="minorHAnsi"/>
          <w:sz w:val="22"/>
        </w:rPr>
      </w:pPr>
      <w:r w:rsidRPr="00DB4CE2">
        <w:rPr>
          <w:rFonts w:asciiTheme="minorHAnsi" w:hAnsiTheme="minorHAnsi" w:cstheme="minorHAnsi"/>
          <w:sz w:val="22"/>
        </w:rPr>
        <w:t xml:space="preserve">Establish a </w:t>
      </w:r>
      <w:r w:rsidRPr="000F3E6B">
        <w:rPr>
          <w:rFonts w:asciiTheme="minorHAnsi" w:hAnsiTheme="minorHAnsi" w:cstheme="minorHAnsi"/>
          <w:b/>
          <w:sz w:val="22"/>
        </w:rPr>
        <w:t>Tuberculosis Warm-Line</w:t>
      </w:r>
      <w:r w:rsidR="0083785B">
        <w:rPr>
          <w:rFonts w:asciiTheme="minorHAnsi" w:hAnsiTheme="minorHAnsi" w:cstheme="minorHAnsi"/>
          <w:sz w:val="22"/>
        </w:rPr>
        <w:t xml:space="preserve"> </w:t>
      </w:r>
      <w:r w:rsidR="00B356F5">
        <w:rPr>
          <w:rFonts w:asciiTheme="minorHAnsi" w:hAnsiTheme="minorHAnsi" w:cstheme="minorHAnsi"/>
          <w:sz w:val="22"/>
        </w:rPr>
        <w:t>through which Physicians, para-medical staffs and other health professionals dealing with TB patients can seek support and consultations from a group of dedicated teams of ex</w:t>
      </w:r>
      <w:r w:rsidR="00890CB1">
        <w:rPr>
          <w:rFonts w:asciiTheme="minorHAnsi" w:hAnsiTheme="minorHAnsi" w:cstheme="minorHAnsi"/>
          <w:sz w:val="22"/>
        </w:rPr>
        <w:t>p</w:t>
      </w:r>
      <w:r w:rsidR="00B356F5">
        <w:rPr>
          <w:rFonts w:asciiTheme="minorHAnsi" w:hAnsiTheme="minorHAnsi" w:cstheme="minorHAnsi"/>
          <w:sz w:val="22"/>
        </w:rPr>
        <w:t>erts consisting of physicians and para-medics.</w:t>
      </w:r>
    </w:p>
    <w:p w14:paraId="0F6CFD2B" w14:textId="303FC899" w:rsidR="0083785B" w:rsidRPr="00B356F5" w:rsidRDefault="0083785B" w:rsidP="009136E5">
      <w:pPr>
        <w:pStyle w:val="ListParagraph"/>
        <w:numPr>
          <w:ilvl w:val="2"/>
          <w:numId w:val="75"/>
        </w:numPr>
        <w:tabs>
          <w:tab w:val="left" w:pos="630"/>
        </w:tabs>
        <w:ind w:left="504"/>
        <w:contextualSpacing w:val="0"/>
        <w:jc w:val="both"/>
        <w:rPr>
          <w:rFonts w:asciiTheme="minorHAnsi" w:hAnsiTheme="minorHAnsi" w:cstheme="minorHAnsi"/>
          <w:sz w:val="22"/>
        </w:rPr>
      </w:pPr>
      <w:r w:rsidRPr="00B356F5">
        <w:rPr>
          <w:rFonts w:asciiTheme="minorHAnsi" w:hAnsiTheme="minorHAnsi" w:cstheme="minorHAnsi"/>
          <w:b/>
          <w:sz w:val="22"/>
        </w:rPr>
        <w:lastRenderedPageBreak/>
        <w:t>Enhanced Care:</w:t>
      </w:r>
      <w:r w:rsidRPr="00B356F5">
        <w:rPr>
          <w:rFonts w:asciiTheme="minorHAnsi" w:hAnsiTheme="minorHAnsi" w:cstheme="minorHAnsi"/>
          <w:sz w:val="22"/>
        </w:rPr>
        <w:t xml:space="preserve"> TB patients will be assessed on parameters like Body Mass Index (BMI), severity of illness, alcohol and substance abuse, depression, and stigma.  NTEP staff will screen for various risk criteria that meet a critical threshold for requiring “Enhanced Care” and link to appropriate care described in chapter 28 on Priority Populations.</w:t>
      </w:r>
    </w:p>
    <w:p w14:paraId="0008DB3F" w14:textId="77777777" w:rsidR="009D73A5" w:rsidRDefault="009D73A5">
      <w:pPr>
        <w:spacing w:before="0" w:after="0"/>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5849F287" w14:textId="77407D03" w:rsidR="00AE4638" w:rsidRDefault="00AE4638" w:rsidP="00AE4638">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D514CD">
        <w:rPr>
          <w:rFonts w:asciiTheme="minorHAnsi" w:hAnsiTheme="minorHAnsi" w:cstheme="minorHAnsi"/>
          <w:b/>
          <w:snapToGrid w:val="0"/>
          <w:color w:val="auto"/>
          <w:sz w:val="36"/>
        </w:rPr>
        <w:t>2</w:t>
      </w:r>
      <w:r w:rsidR="00BE594E">
        <w:rPr>
          <w:rFonts w:asciiTheme="minorHAnsi" w:hAnsiTheme="minorHAnsi" w:cstheme="minorHAnsi"/>
          <w:b/>
          <w:snapToGrid w:val="0"/>
          <w:color w:val="auto"/>
          <w:sz w:val="36"/>
        </w:rPr>
        <w:t>7</w:t>
      </w:r>
    </w:p>
    <w:p w14:paraId="684C8385" w14:textId="7640BBFA" w:rsidR="007B4AB3" w:rsidRPr="007B4AB3" w:rsidRDefault="007B4AB3" w:rsidP="007B4AB3">
      <w:pPr>
        <w:shd w:val="clear" w:color="auto" w:fill="17365D" w:themeFill="text2" w:themeFillShade="BF"/>
        <w:spacing w:before="0" w:after="0"/>
        <w:jc w:val="right"/>
        <w:rPr>
          <w:b/>
          <w:sz w:val="28"/>
        </w:rPr>
      </w:pPr>
      <w:r>
        <w:rPr>
          <w:b/>
          <w:sz w:val="28"/>
        </w:rPr>
        <w:t xml:space="preserve">NSP </w:t>
      </w:r>
      <w:r w:rsidRPr="006B7923">
        <w:rPr>
          <w:b/>
          <w:sz w:val="28"/>
        </w:rPr>
        <w:t xml:space="preserve">STRATEGIC AREA </w:t>
      </w:r>
      <w:r>
        <w:rPr>
          <w:b/>
          <w:sz w:val="28"/>
        </w:rPr>
        <w:t>4.2</w:t>
      </w:r>
    </w:p>
    <w:p w14:paraId="27EA09D3" w14:textId="660702BC" w:rsidR="00AE4638" w:rsidRDefault="00AE4638" w:rsidP="00AE4638">
      <w:pPr>
        <w:pStyle w:val="Heading1"/>
        <w:tabs>
          <w:tab w:val="num" w:pos="5670"/>
        </w:tabs>
        <w:rPr>
          <w:rFonts w:asciiTheme="minorHAnsi" w:hAnsiTheme="minorHAnsi" w:cstheme="minorHAnsi"/>
          <w:b/>
          <w:snapToGrid w:val="0"/>
          <w:color w:val="auto"/>
        </w:rPr>
      </w:pPr>
      <w:r>
        <w:rPr>
          <w:rFonts w:asciiTheme="minorHAnsi" w:hAnsiTheme="minorHAnsi" w:cstheme="minorHAnsi"/>
          <w:b/>
          <w:snapToGrid w:val="0"/>
          <w:color w:val="auto"/>
        </w:rPr>
        <w:t>TReatment of Drug resistant tb</w:t>
      </w:r>
    </w:p>
    <w:p w14:paraId="601A871A" w14:textId="77777777" w:rsidR="00AE4638" w:rsidRDefault="00AE4638" w:rsidP="00AE4638">
      <w:pPr>
        <w:spacing w:before="0" w:after="0"/>
        <w:jc w:val="both"/>
        <w:rPr>
          <w:rFonts w:asciiTheme="minorHAnsi" w:hAnsiTheme="minorHAnsi" w:cstheme="minorHAnsi"/>
          <w:sz w:val="22"/>
        </w:rPr>
      </w:pPr>
    </w:p>
    <w:p w14:paraId="6FCBE151" w14:textId="5C64E0C2" w:rsidR="00DD4576" w:rsidRPr="0030030B" w:rsidRDefault="00D756D3" w:rsidP="0030030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7</w:t>
      </w:r>
      <w:r>
        <w:rPr>
          <w:rFonts w:asciiTheme="minorHAnsi" w:hAnsiTheme="minorHAnsi" w:cstheme="minorHAnsi"/>
          <w:b/>
          <w:color w:val="C86A07" w:themeColor="accent2" w:themeShade="BF"/>
          <w:sz w:val="28"/>
          <w:lang w:val="en"/>
        </w:rPr>
        <w:t xml:space="preserve">.1 </w:t>
      </w:r>
      <w:r w:rsidR="00DD4576" w:rsidRPr="0030030B">
        <w:rPr>
          <w:rFonts w:asciiTheme="minorHAnsi" w:hAnsiTheme="minorHAnsi" w:cstheme="minorHAnsi"/>
          <w:b/>
          <w:color w:val="C86A07" w:themeColor="accent2" w:themeShade="BF"/>
          <w:sz w:val="28"/>
          <w:lang w:val="en"/>
        </w:rPr>
        <w:t>INTRODUCTION</w:t>
      </w:r>
    </w:p>
    <w:p w14:paraId="03E76DCF" w14:textId="59FB96DD" w:rsidR="00AE4638" w:rsidRDefault="0052316D" w:rsidP="003E5BD4">
      <w:pPr>
        <w:jc w:val="both"/>
        <w:rPr>
          <w:rFonts w:asciiTheme="minorHAnsi" w:hAnsiTheme="minorHAnsi" w:cstheme="minorHAnsi"/>
          <w:sz w:val="22"/>
        </w:rPr>
      </w:pPr>
      <w:r w:rsidRPr="0052316D">
        <w:rPr>
          <w:rFonts w:asciiTheme="minorHAnsi" w:hAnsiTheme="minorHAnsi" w:cstheme="minorHAnsi"/>
          <w:sz w:val="22"/>
        </w:rPr>
        <w:t>With the rapid expansion of mol</w:t>
      </w:r>
      <w:r w:rsidR="003E5BD4">
        <w:rPr>
          <w:rFonts w:asciiTheme="minorHAnsi" w:hAnsiTheme="minorHAnsi" w:cstheme="minorHAnsi"/>
          <w:sz w:val="22"/>
        </w:rPr>
        <w:t>ecular diagnostics in the last three</w:t>
      </w:r>
      <w:r w:rsidRPr="0052316D">
        <w:rPr>
          <w:rFonts w:asciiTheme="minorHAnsi" w:hAnsiTheme="minorHAnsi" w:cstheme="minorHAnsi"/>
          <w:sz w:val="22"/>
        </w:rPr>
        <w:t xml:space="preserve"> years, India now has each district offering molecular tests and subsequent linkage with CDST lab. The NSP 2017-25 achieved rapid decentralization of DRTB diagnosis and treatment centres and developed innovative models for treatment adherence monitoring </w:t>
      </w:r>
      <w:r w:rsidR="00F51523" w:rsidRPr="0052316D">
        <w:rPr>
          <w:rFonts w:asciiTheme="minorHAnsi" w:hAnsiTheme="minorHAnsi" w:cstheme="minorHAnsi"/>
          <w:sz w:val="22"/>
        </w:rPr>
        <w:t>e.g.</w:t>
      </w:r>
      <w:r w:rsidRPr="0052316D">
        <w:rPr>
          <w:rFonts w:asciiTheme="minorHAnsi" w:hAnsiTheme="minorHAnsi" w:cstheme="minorHAnsi"/>
          <w:sz w:val="22"/>
        </w:rPr>
        <w:t xml:space="preserve"> Integrated Digital Adherence Technology (IDAT)</w:t>
      </w:r>
      <w:r w:rsidR="00930B87">
        <w:rPr>
          <w:rFonts w:asciiTheme="minorHAnsi" w:hAnsiTheme="minorHAnsi" w:cstheme="minorHAnsi"/>
          <w:sz w:val="22"/>
        </w:rPr>
        <w:t xml:space="preserve">. The </w:t>
      </w:r>
      <w:r w:rsidRPr="0052316D">
        <w:rPr>
          <w:rFonts w:asciiTheme="minorHAnsi" w:hAnsiTheme="minorHAnsi" w:cstheme="minorHAnsi"/>
          <w:sz w:val="22"/>
        </w:rPr>
        <w:t>NTEP will further explore patient-friendly adherence monitoring mechanisms to improve success rates in line with WHO’s End TB Strategy.</w:t>
      </w:r>
      <w:r>
        <w:rPr>
          <w:rFonts w:asciiTheme="minorHAnsi" w:hAnsiTheme="minorHAnsi" w:cstheme="minorHAnsi"/>
          <w:sz w:val="22"/>
        </w:rPr>
        <w:t xml:space="preserve"> </w:t>
      </w:r>
    </w:p>
    <w:p w14:paraId="4C046D1B" w14:textId="58EF3A14" w:rsidR="003E5BD4" w:rsidRPr="0030030B" w:rsidRDefault="00D756D3" w:rsidP="003E5BD4">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7</w:t>
      </w:r>
      <w:r>
        <w:rPr>
          <w:rFonts w:asciiTheme="minorHAnsi" w:hAnsiTheme="minorHAnsi" w:cstheme="minorHAnsi"/>
          <w:b/>
          <w:color w:val="C86A07" w:themeColor="accent2" w:themeShade="BF"/>
          <w:sz w:val="28"/>
          <w:lang w:val="en"/>
        </w:rPr>
        <w:t xml:space="preserve">.2 </w:t>
      </w:r>
      <w:r w:rsidR="00694311" w:rsidRPr="0030030B">
        <w:rPr>
          <w:rFonts w:asciiTheme="minorHAnsi" w:hAnsiTheme="minorHAnsi" w:cstheme="minorHAnsi"/>
          <w:b/>
          <w:color w:val="C86A07" w:themeColor="accent2" w:themeShade="BF"/>
          <w:sz w:val="28"/>
          <w:lang w:val="en"/>
        </w:rPr>
        <w:t>THE PROGRESS SO FAR:</w:t>
      </w:r>
    </w:p>
    <w:p w14:paraId="0B3E2898" w14:textId="439A8ED3" w:rsidR="003E5BD4" w:rsidRPr="00930B87" w:rsidRDefault="00930B87" w:rsidP="00442A67">
      <w:pPr>
        <w:pStyle w:val="ListParagraph"/>
        <w:numPr>
          <w:ilvl w:val="0"/>
          <w:numId w:val="46"/>
        </w:numPr>
        <w:spacing w:before="0" w:after="0"/>
        <w:jc w:val="both"/>
        <w:rPr>
          <w:rFonts w:asciiTheme="minorHAnsi" w:hAnsiTheme="minorHAnsi" w:cstheme="minorHAnsi"/>
          <w:sz w:val="22"/>
        </w:rPr>
      </w:pPr>
      <w:r w:rsidRPr="00930B87">
        <w:rPr>
          <w:rFonts w:asciiTheme="minorHAnsi" w:hAnsiTheme="minorHAnsi" w:cstheme="minorHAnsi"/>
          <w:sz w:val="22"/>
        </w:rPr>
        <w:t>The NTEP has progressed</w:t>
      </w:r>
      <w:r w:rsidR="003E5BD4" w:rsidRPr="00930B87">
        <w:rPr>
          <w:rFonts w:asciiTheme="minorHAnsi" w:hAnsiTheme="minorHAnsi" w:cstheme="minorHAnsi"/>
          <w:sz w:val="22"/>
        </w:rPr>
        <w:t xml:space="preserve"> from establishment of </w:t>
      </w:r>
      <w:r w:rsidR="00A2260B" w:rsidRPr="00A2260B">
        <w:rPr>
          <w:rFonts w:asciiTheme="minorHAnsi" w:hAnsiTheme="minorHAnsi" w:cstheme="minorHAnsi"/>
          <w:sz w:val="22"/>
        </w:rPr>
        <w:t>TDCs</w:t>
      </w:r>
      <w:r w:rsidR="003E5BD4" w:rsidRPr="00A2260B">
        <w:rPr>
          <w:rFonts w:asciiTheme="minorHAnsi" w:hAnsiTheme="minorHAnsi" w:cstheme="minorHAnsi"/>
          <w:sz w:val="22"/>
        </w:rPr>
        <w:t xml:space="preserve"> a</w:t>
      </w:r>
      <w:r w:rsidR="003E5BD4" w:rsidRPr="00930B87">
        <w:rPr>
          <w:rFonts w:asciiTheme="minorHAnsi" w:hAnsiTheme="minorHAnsi" w:cstheme="minorHAnsi"/>
          <w:sz w:val="22"/>
        </w:rPr>
        <w:t>nd treatment support centres in medical college</w:t>
      </w:r>
      <w:r w:rsidRPr="00930B87">
        <w:rPr>
          <w:rFonts w:asciiTheme="minorHAnsi" w:hAnsiTheme="minorHAnsi" w:cstheme="minorHAnsi"/>
          <w:sz w:val="22"/>
        </w:rPr>
        <w:t xml:space="preserve"> to arriving at a </w:t>
      </w:r>
      <w:r w:rsidR="003E5BD4" w:rsidRPr="00930B87">
        <w:rPr>
          <w:rFonts w:asciiTheme="minorHAnsi" w:hAnsiTheme="minorHAnsi" w:cstheme="minorHAnsi"/>
          <w:sz w:val="22"/>
        </w:rPr>
        <w:t>policy decision to have Nodal DRTB ward in all medical coll</w:t>
      </w:r>
      <w:r w:rsidR="00F51523">
        <w:rPr>
          <w:rFonts w:asciiTheme="minorHAnsi" w:hAnsiTheme="minorHAnsi" w:cstheme="minorHAnsi"/>
          <w:sz w:val="22"/>
        </w:rPr>
        <w:t>eges along with Antiretroviral T</w:t>
      </w:r>
      <w:r w:rsidR="003E5BD4" w:rsidRPr="00930B87">
        <w:rPr>
          <w:rFonts w:asciiTheme="minorHAnsi" w:hAnsiTheme="minorHAnsi" w:cstheme="minorHAnsi"/>
          <w:sz w:val="22"/>
        </w:rPr>
        <w:t>herapy (ART) centre</w:t>
      </w:r>
      <w:r w:rsidRPr="00930B87">
        <w:rPr>
          <w:rFonts w:asciiTheme="minorHAnsi" w:hAnsiTheme="minorHAnsi" w:cstheme="minorHAnsi"/>
          <w:sz w:val="22"/>
        </w:rPr>
        <w:t xml:space="preserve">. This </w:t>
      </w:r>
      <w:r w:rsidR="003E5BD4" w:rsidRPr="00930B87">
        <w:rPr>
          <w:rFonts w:asciiTheme="minorHAnsi" w:hAnsiTheme="minorHAnsi" w:cstheme="minorHAnsi"/>
          <w:sz w:val="22"/>
        </w:rPr>
        <w:t>will strengthen the capacity of the country to fight DRTB epidemic as well as HIV TB epidemic</w:t>
      </w:r>
    </w:p>
    <w:p w14:paraId="451657C1" w14:textId="77777777" w:rsidR="00890CB1" w:rsidRPr="00890CB1" w:rsidRDefault="003E5BD4" w:rsidP="00890CB1">
      <w:pPr>
        <w:pStyle w:val="ListParagraph"/>
        <w:numPr>
          <w:ilvl w:val="0"/>
          <w:numId w:val="46"/>
        </w:numPr>
        <w:spacing w:before="0" w:after="0"/>
        <w:jc w:val="both"/>
        <w:rPr>
          <w:rFonts w:asciiTheme="minorHAnsi" w:hAnsiTheme="minorHAnsi" w:cstheme="minorHAnsi"/>
          <w:sz w:val="22"/>
        </w:rPr>
      </w:pPr>
      <w:r w:rsidRPr="00930B87">
        <w:rPr>
          <w:rFonts w:asciiTheme="minorHAnsi" w:hAnsiTheme="minorHAnsi" w:cstheme="minorHAnsi"/>
          <w:sz w:val="22"/>
        </w:rPr>
        <w:t xml:space="preserve">Based on WHOs recommendations, drug resistance TB guidelines have been modified and 10 states have launched all oral regimen in 2019. India in 2020 and onwards will implement all oral regimen for all DRTB patients to reduce loss to follow up and adverse drug reactions. </w:t>
      </w:r>
      <w:r w:rsidR="00890CB1" w:rsidRPr="00890CB1">
        <w:rPr>
          <w:rFonts w:asciiTheme="minorHAnsi" w:hAnsiTheme="minorHAnsi" w:cstheme="minorHAnsi"/>
          <w:sz w:val="22"/>
        </w:rPr>
        <w:t>Pan country roll-out of all oral longer regimen for DR TB patients’. Newer drugs like Bedaquiline and Delamanid are also introduced for drug resistant TB patients</w:t>
      </w:r>
    </w:p>
    <w:p w14:paraId="4A373B70" w14:textId="069E7D83" w:rsidR="003E5BD4" w:rsidRPr="00930B87" w:rsidRDefault="003E5BD4" w:rsidP="00442A67">
      <w:pPr>
        <w:pStyle w:val="ListParagraph"/>
        <w:numPr>
          <w:ilvl w:val="0"/>
          <w:numId w:val="46"/>
        </w:numPr>
        <w:spacing w:before="0" w:after="0"/>
        <w:jc w:val="both"/>
        <w:rPr>
          <w:rFonts w:asciiTheme="minorHAnsi" w:hAnsiTheme="minorHAnsi" w:cstheme="minorHAnsi"/>
          <w:sz w:val="22"/>
        </w:rPr>
      </w:pPr>
      <w:r w:rsidRPr="00930B87">
        <w:rPr>
          <w:rFonts w:asciiTheme="minorHAnsi" w:hAnsiTheme="minorHAnsi" w:cstheme="minorHAnsi"/>
          <w:sz w:val="22"/>
        </w:rPr>
        <w:t>NTEP will strive to keep national guidelines simplified for ease of understanding and implementation on the ground, achieving a higher treatment completion rate and ultimately &gt;90% success rates for all TB patients.</w:t>
      </w:r>
    </w:p>
    <w:p w14:paraId="43F02741" w14:textId="7632687A" w:rsidR="003E5BD4" w:rsidRPr="003E5BD4" w:rsidRDefault="003E5BD4" w:rsidP="00442A67">
      <w:pPr>
        <w:pStyle w:val="ListParagraph"/>
        <w:numPr>
          <w:ilvl w:val="0"/>
          <w:numId w:val="46"/>
        </w:numPr>
        <w:spacing w:before="0" w:after="0"/>
        <w:jc w:val="both"/>
        <w:rPr>
          <w:rFonts w:asciiTheme="minorHAnsi" w:hAnsiTheme="minorHAnsi" w:cstheme="minorHAnsi"/>
          <w:sz w:val="22"/>
        </w:rPr>
      </w:pPr>
      <w:r w:rsidRPr="003E5BD4">
        <w:rPr>
          <w:rFonts w:asciiTheme="minorHAnsi" w:hAnsiTheme="minorHAnsi" w:cstheme="minorHAnsi"/>
          <w:sz w:val="22"/>
        </w:rPr>
        <w:t xml:space="preserve">To address the menace of Drug Resistance TB and to substantially reduce the catastrophic cost to TB patient, program has not only initiated Universal Drug Susceptibility Testing (UDST) with expanded molecular diagnostics like CBNAAT (1180) </w:t>
      </w:r>
      <w:r w:rsidRPr="00F51523">
        <w:rPr>
          <w:rFonts w:asciiTheme="minorHAnsi" w:hAnsiTheme="minorHAnsi" w:cstheme="minorHAnsi"/>
          <w:sz w:val="22"/>
        </w:rPr>
        <w:t xml:space="preserve">and </w:t>
      </w:r>
      <w:r w:rsidR="00F51523" w:rsidRPr="00F51523">
        <w:rPr>
          <w:rFonts w:asciiTheme="minorHAnsi" w:hAnsiTheme="minorHAnsi" w:cstheme="minorHAnsi"/>
          <w:sz w:val="22"/>
        </w:rPr>
        <w:t>TrueNat</w:t>
      </w:r>
      <w:r w:rsidRPr="00F51523">
        <w:rPr>
          <w:rFonts w:asciiTheme="minorHAnsi" w:hAnsiTheme="minorHAnsi" w:cstheme="minorHAnsi"/>
          <w:sz w:val="22"/>
        </w:rPr>
        <w:t xml:space="preserve"> (350) </w:t>
      </w:r>
      <w:r w:rsidRPr="003E5BD4">
        <w:rPr>
          <w:rFonts w:asciiTheme="minorHAnsi" w:hAnsiTheme="minorHAnsi" w:cstheme="minorHAnsi"/>
          <w:sz w:val="22"/>
        </w:rPr>
        <w:t>but has also taken a decision to offer first line and second line probe assay for additional drug resistance detection (H</w:t>
      </w:r>
      <w:r w:rsidR="00F51523" w:rsidRPr="003E5BD4">
        <w:rPr>
          <w:rFonts w:asciiTheme="minorHAnsi" w:hAnsiTheme="minorHAnsi" w:cstheme="minorHAnsi"/>
          <w:sz w:val="22"/>
        </w:rPr>
        <w:t>, E, Z</w:t>
      </w:r>
      <w:r w:rsidRPr="003E5BD4">
        <w:rPr>
          <w:rFonts w:asciiTheme="minorHAnsi" w:hAnsiTheme="minorHAnsi" w:cstheme="minorHAnsi"/>
          <w:sz w:val="22"/>
        </w:rPr>
        <w:t>,</w:t>
      </w:r>
      <w:r w:rsidR="00930B87">
        <w:rPr>
          <w:rFonts w:asciiTheme="minorHAnsi" w:hAnsiTheme="minorHAnsi" w:cstheme="minorHAnsi"/>
          <w:sz w:val="22"/>
        </w:rPr>
        <w:t xml:space="preserve"> </w:t>
      </w:r>
      <w:r w:rsidRPr="003E5BD4">
        <w:rPr>
          <w:rFonts w:asciiTheme="minorHAnsi" w:hAnsiTheme="minorHAnsi" w:cstheme="minorHAnsi"/>
          <w:sz w:val="22"/>
        </w:rPr>
        <w:t>FQ and SLI)</w:t>
      </w:r>
      <w:r w:rsidR="00AF6BB9">
        <w:rPr>
          <w:rFonts w:asciiTheme="minorHAnsi" w:hAnsiTheme="minorHAnsi" w:cstheme="minorHAnsi"/>
          <w:sz w:val="22"/>
        </w:rPr>
        <w:t xml:space="preserve"> for all notified TB patients</w:t>
      </w:r>
      <w:r w:rsidRPr="003E5BD4">
        <w:rPr>
          <w:rFonts w:asciiTheme="minorHAnsi" w:hAnsiTheme="minorHAnsi" w:cstheme="minorHAnsi"/>
          <w:sz w:val="22"/>
        </w:rPr>
        <w:t xml:space="preserve">. </w:t>
      </w:r>
    </w:p>
    <w:p w14:paraId="6F1ED435" w14:textId="27ECB95E" w:rsidR="003E5BD4" w:rsidRPr="003E5BD4" w:rsidRDefault="003E5BD4" w:rsidP="00442A67">
      <w:pPr>
        <w:pStyle w:val="ListParagraph"/>
        <w:numPr>
          <w:ilvl w:val="0"/>
          <w:numId w:val="46"/>
        </w:numPr>
        <w:spacing w:before="0" w:after="0"/>
        <w:jc w:val="both"/>
        <w:rPr>
          <w:rFonts w:asciiTheme="minorHAnsi" w:hAnsiTheme="minorHAnsi" w:cstheme="minorHAnsi"/>
          <w:sz w:val="22"/>
        </w:rPr>
      </w:pPr>
      <w:r w:rsidRPr="003E5BD4">
        <w:rPr>
          <w:rFonts w:asciiTheme="minorHAnsi" w:hAnsiTheme="minorHAnsi" w:cstheme="minorHAnsi"/>
          <w:sz w:val="22"/>
        </w:rPr>
        <w:t xml:space="preserve">This NSP 2020-25 aims to offer </w:t>
      </w:r>
      <w:r w:rsidR="00ED786A">
        <w:rPr>
          <w:rFonts w:asciiTheme="minorHAnsi" w:hAnsiTheme="minorHAnsi" w:cstheme="minorHAnsi"/>
          <w:sz w:val="22"/>
        </w:rPr>
        <w:t>L</w:t>
      </w:r>
      <w:r w:rsidRPr="003E5BD4">
        <w:rPr>
          <w:rFonts w:asciiTheme="minorHAnsi" w:hAnsiTheme="minorHAnsi" w:cstheme="minorHAnsi"/>
          <w:sz w:val="22"/>
        </w:rPr>
        <w:t>inezolid, Bedaquiline</w:t>
      </w:r>
      <w:r w:rsidR="00ED786A">
        <w:rPr>
          <w:rFonts w:asciiTheme="minorHAnsi" w:hAnsiTheme="minorHAnsi" w:cstheme="minorHAnsi"/>
          <w:sz w:val="22"/>
        </w:rPr>
        <w:t>,</w:t>
      </w:r>
      <w:r w:rsidRPr="003E5BD4">
        <w:rPr>
          <w:rFonts w:asciiTheme="minorHAnsi" w:hAnsiTheme="minorHAnsi" w:cstheme="minorHAnsi"/>
          <w:sz w:val="22"/>
        </w:rPr>
        <w:t xml:space="preserve"> Delamanid</w:t>
      </w:r>
      <w:r w:rsidR="00ED786A">
        <w:rPr>
          <w:rFonts w:asciiTheme="minorHAnsi" w:hAnsiTheme="minorHAnsi" w:cstheme="minorHAnsi"/>
          <w:sz w:val="22"/>
        </w:rPr>
        <w:t xml:space="preserve"> and </w:t>
      </w:r>
      <w:r w:rsidR="00ED786A" w:rsidRPr="00890CB1">
        <w:rPr>
          <w:rFonts w:asciiTheme="minorHAnsi" w:hAnsiTheme="minorHAnsi" w:cstheme="minorHAnsi"/>
          <w:sz w:val="22"/>
        </w:rPr>
        <w:t>Pretomanid</w:t>
      </w:r>
      <w:r w:rsidRPr="003E5BD4">
        <w:rPr>
          <w:rFonts w:asciiTheme="minorHAnsi" w:hAnsiTheme="minorHAnsi" w:cstheme="minorHAnsi"/>
          <w:sz w:val="22"/>
        </w:rPr>
        <w:t xml:space="preserve"> drug susceptibility tests once endorsed by WHO so that all TB patients get appropriate DSTB and DRTB regimen based on their DST patterns which in turn will yield better success rates.</w:t>
      </w:r>
    </w:p>
    <w:p w14:paraId="0CBFEF2A" w14:textId="3DEB642F" w:rsidR="003E5BD4" w:rsidRPr="003E5BD4" w:rsidRDefault="003E5BD4" w:rsidP="00442A67">
      <w:pPr>
        <w:pStyle w:val="ListParagraph"/>
        <w:numPr>
          <w:ilvl w:val="0"/>
          <w:numId w:val="46"/>
        </w:numPr>
        <w:spacing w:before="0" w:after="0"/>
        <w:jc w:val="both"/>
        <w:rPr>
          <w:rFonts w:asciiTheme="minorHAnsi" w:hAnsiTheme="minorHAnsi" w:cstheme="minorHAnsi"/>
          <w:sz w:val="22"/>
        </w:rPr>
      </w:pPr>
      <w:r w:rsidRPr="003E5BD4">
        <w:rPr>
          <w:rFonts w:asciiTheme="minorHAnsi" w:hAnsiTheme="minorHAnsi" w:cstheme="minorHAnsi"/>
          <w:sz w:val="22"/>
        </w:rPr>
        <w:t xml:space="preserve">Apart from </w:t>
      </w:r>
      <w:r w:rsidR="00F52C8A">
        <w:rPr>
          <w:rFonts w:asciiTheme="minorHAnsi" w:hAnsiTheme="minorHAnsi" w:cstheme="minorHAnsi"/>
          <w:sz w:val="22"/>
        </w:rPr>
        <w:t>measurement</w:t>
      </w:r>
      <w:r w:rsidRPr="003E5BD4">
        <w:rPr>
          <w:rFonts w:asciiTheme="minorHAnsi" w:hAnsiTheme="minorHAnsi" w:cstheme="minorHAnsi"/>
          <w:sz w:val="22"/>
        </w:rPr>
        <w:t xml:space="preserve"> of weight for deciding the weight band criteria for first-line and second-line drugs, NTEP will incorporate Body Mass Index (BMI) calculation for all TB patients and will strategize for nutritional counseling and other social support schemes to address component of malnutrition apart from ongoing NIKSHAY Poshan Yojana (NPY)</w:t>
      </w:r>
    </w:p>
    <w:p w14:paraId="3A46E61D" w14:textId="05117BCE" w:rsidR="003E5BD4" w:rsidRPr="00930B87" w:rsidRDefault="003E5BD4" w:rsidP="00442A67">
      <w:pPr>
        <w:pStyle w:val="ListParagraph"/>
        <w:numPr>
          <w:ilvl w:val="0"/>
          <w:numId w:val="46"/>
        </w:numPr>
        <w:spacing w:before="0" w:after="0"/>
        <w:jc w:val="both"/>
        <w:rPr>
          <w:rFonts w:asciiTheme="minorHAnsi" w:hAnsiTheme="minorHAnsi" w:cstheme="minorHAnsi"/>
          <w:sz w:val="22"/>
        </w:rPr>
      </w:pPr>
      <w:r w:rsidRPr="00930B87">
        <w:rPr>
          <w:rFonts w:asciiTheme="minorHAnsi" w:hAnsiTheme="minorHAnsi" w:cstheme="minorHAnsi"/>
          <w:sz w:val="22"/>
        </w:rPr>
        <w:t xml:space="preserve">NIKSHAY and other IT-based analytics will boost the data compilation on a real-time basis and expedite the local level action for ensuring diagnosed </w:t>
      </w:r>
      <w:r w:rsidR="00890CB1">
        <w:rPr>
          <w:rFonts w:asciiTheme="minorHAnsi" w:hAnsiTheme="minorHAnsi" w:cstheme="minorHAnsi"/>
          <w:sz w:val="22"/>
        </w:rPr>
        <w:t>all TB</w:t>
      </w:r>
      <w:r w:rsidRPr="00930B87">
        <w:rPr>
          <w:rFonts w:asciiTheme="minorHAnsi" w:hAnsiTheme="minorHAnsi" w:cstheme="minorHAnsi"/>
          <w:sz w:val="22"/>
        </w:rPr>
        <w:t xml:space="preserve"> </w:t>
      </w:r>
      <w:r w:rsidR="00890CB1" w:rsidRPr="00930B87">
        <w:rPr>
          <w:rFonts w:asciiTheme="minorHAnsi" w:hAnsiTheme="minorHAnsi" w:cstheme="minorHAnsi"/>
          <w:sz w:val="22"/>
        </w:rPr>
        <w:t>patient’s</w:t>
      </w:r>
      <w:r w:rsidRPr="00930B87">
        <w:rPr>
          <w:rFonts w:asciiTheme="minorHAnsi" w:hAnsiTheme="minorHAnsi" w:cstheme="minorHAnsi"/>
          <w:sz w:val="22"/>
        </w:rPr>
        <w:t xml:space="preserve"> appropriate follow up till the end of TB treatment and thereafter using life cycle approach.</w:t>
      </w:r>
    </w:p>
    <w:p w14:paraId="4CF6C7CB" w14:textId="0681ED01" w:rsidR="003E5BD4" w:rsidRPr="00930B87" w:rsidRDefault="003E5BD4" w:rsidP="00442A67">
      <w:pPr>
        <w:pStyle w:val="ListParagraph"/>
        <w:numPr>
          <w:ilvl w:val="0"/>
          <w:numId w:val="46"/>
        </w:numPr>
        <w:spacing w:before="0" w:after="0"/>
        <w:jc w:val="both"/>
        <w:rPr>
          <w:rFonts w:asciiTheme="minorHAnsi" w:hAnsiTheme="minorHAnsi" w:cstheme="minorHAnsi"/>
          <w:sz w:val="22"/>
        </w:rPr>
      </w:pPr>
      <w:r w:rsidRPr="00930B87">
        <w:rPr>
          <w:rFonts w:asciiTheme="minorHAnsi" w:hAnsiTheme="minorHAnsi" w:cstheme="minorHAnsi"/>
          <w:sz w:val="22"/>
        </w:rPr>
        <w:t>NTEP will be open to new proven healthcare worker-friendly new diagnostic tests for early detection of TB and novel adherence mechanism for establishing more than 90% success rate for all TB patients.</w:t>
      </w:r>
    </w:p>
    <w:p w14:paraId="325B87BF" w14:textId="6E59E783" w:rsidR="003E5BD4" w:rsidRPr="003E5BD4" w:rsidRDefault="003E5BD4" w:rsidP="00442A67">
      <w:pPr>
        <w:pStyle w:val="ListParagraph"/>
        <w:numPr>
          <w:ilvl w:val="0"/>
          <w:numId w:val="46"/>
        </w:numPr>
        <w:spacing w:before="0" w:after="0"/>
        <w:jc w:val="both"/>
        <w:rPr>
          <w:rFonts w:asciiTheme="minorHAnsi" w:hAnsiTheme="minorHAnsi" w:cstheme="minorHAnsi"/>
          <w:sz w:val="22"/>
        </w:rPr>
      </w:pPr>
      <w:r w:rsidRPr="003E5BD4">
        <w:rPr>
          <w:rFonts w:asciiTheme="minorHAnsi" w:hAnsiTheme="minorHAnsi" w:cstheme="minorHAnsi"/>
          <w:sz w:val="22"/>
        </w:rPr>
        <w:lastRenderedPageBreak/>
        <w:t xml:space="preserve">The country now has nationwide coverage of the Bedaquiline based regimen and has also introduced Delamanid based regimen for improving the treatment outcome among DRTB patients. The utilization of these drugs is </w:t>
      </w:r>
      <w:r w:rsidR="00930B87" w:rsidRPr="003E5BD4">
        <w:rPr>
          <w:rFonts w:asciiTheme="minorHAnsi" w:hAnsiTheme="minorHAnsi" w:cstheme="minorHAnsi"/>
          <w:sz w:val="22"/>
        </w:rPr>
        <w:t>dependent</w:t>
      </w:r>
      <w:r w:rsidRPr="003E5BD4">
        <w:rPr>
          <w:rFonts w:asciiTheme="minorHAnsi" w:hAnsiTheme="minorHAnsi" w:cstheme="minorHAnsi"/>
          <w:sz w:val="22"/>
        </w:rPr>
        <w:t xml:space="preserve"> on the utilization of extended second-line DST services and can’t be improved rapidly without addressing the health system challenges, rapid laboratory expansion and shorter turnaround time using digital technology to expedite rational evidence-based decision making for regimen change or switching to a new drug regimen for the TB patient.</w:t>
      </w:r>
    </w:p>
    <w:p w14:paraId="089B8676" w14:textId="77777777" w:rsidR="00890CB1" w:rsidRPr="00371461" w:rsidRDefault="00890CB1" w:rsidP="00890CB1">
      <w:pPr>
        <w:pStyle w:val="ListParagraph"/>
        <w:numPr>
          <w:ilvl w:val="0"/>
          <w:numId w:val="46"/>
        </w:numPr>
        <w:spacing w:before="0"/>
        <w:jc w:val="both"/>
        <w:rPr>
          <w:rFonts w:asciiTheme="minorHAnsi" w:hAnsiTheme="minorHAnsi" w:cstheme="minorHAnsi"/>
          <w:sz w:val="22"/>
          <w:lang w:val="en-IN"/>
        </w:rPr>
      </w:pPr>
      <w:r w:rsidRPr="003E5BD4">
        <w:rPr>
          <w:rFonts w:asciiTheme="minorHAnsi" w:hAnsiTheme="minorHAnsi" w:cstheme="minorHAnsi"/>
          <w:sz w:val="22"/>
        </w:rPr>
        <w:t xml:space="preserve">People-centric planning, research framework for addressing challenges in uptake of DST as well as new drug regimen will be few of the priorities for program in period 2020-25 to </w:t>
      </w:r>
      <w:r>
        <w:rPr>
          <w:rFonts w:asciiTheme="minorHAnsi" w:hAnsiTheme="minorHAnsi" w:cstheme="minorHAnsi"/>
          <w:sz w:val="22"/>
        </w:rPr>
        <w:t xml:space="preserve">address the </w:t>
      </w:r>
      <w:r w:rsidRPr="003E5BD4">
        <w:rPr>
          <w:rFonts w:asciiTheme="minorHAnsi" w:hAnsiTheme="minorHAnsi" w:cstheme="minorHAnsi"/>
          <w:sz w:val="22"/>
        </w:rPr>
        <w:t xml:space="preserve"> missing </w:t>
      </w:r>
      <w:r>
        <w:rPr>
          <w:rFonts w:asciiTheme="minorHAnsi" w:hAnsiTheme="minorHAnsi" w:cstheme="minorHAnsi"/>
          <w:sz w:val="22"/>
        </w:rPr>
        <w:t>1/2</w:t>
      </w:r>
      <w:r w:rsidRPr="003E5BD4">
        <w:rPr>
          <w:rFonts w:asciiTheme="minorHAnsi" w:hAnsiTheme="minorHAnsi" w:cstheme="minorHAnsi"/>
          <w:sz w:val="22"/>
        </w:rPr>
        <w:t xml:space="preserve"> </w:t>
      </w:r>
      <w:r>
        <w:rPr>
          <w:rFonts w:asciiTheme="minorHAnsi" w:hAnsiTheme="minorHAnsi" w:cstheme="minorHAnsi"/>
          <w:sz w:val="22"/>
        </w:rPr>
        <w:t>M</w:t>
      </w:r>
      <w:r w:rsidRPr="003E5BD4">
        <w:rPr>
          <w:rFonts w:asciiTheme="minorHAnsi" w:hAnsiTheme="minorHAnsi" w:cstheme="minorHAnsi"/>
          <w:sz w:val="22"/>
        </w:rPr>
        <w:t xml:space="preserve">DRTB patients out of the estimated 130000 </w:t>
      </w:r>
      <w:r>
        <w:rPr>
          <w:rFonts w:asciiTheme="minorHAnsi" w:hAnsiTheme="minorHAnsi" w:cstheme="minorHAnsi"/>
          <w:sz w:val="22"/>
        </w:rPr>
        <w:t>M</w:t>
      </w:r>
      <w:r w:rsidRPr="003E5BD4">
        <w:rPr>
          <w:rFonts w:asciiTheme="minorHAnsi" w:hAnsiTheme="minorHAnsi" w:cstheme="minorHAnsi"/>
          <w:sz w:val="22"/>
        </w:rPr>
        <w:t>DRTB cases.</w:t>
      </w:r>
      <w:r w:rsidRPr="0010536B">
        <w:rPr>
          <w:rFonts w:asciiTheme="minorHAnsi" w:hAnsiTheme="minorHAnsi" w:cstheme="minorHAnsi"/>
          <w:sz w:val="22"/>
          <w:lang w:val="en-GB"/>
        </w:rPr>
        <w:t xml:space="preserve"> </w:t>
      </w:r>
      <w:r w:rsidRPr="00371461">
        <w:rPr>
          <w:rFonts w:asciiTheme="minorHAnsi" w:hAnsiTheme="minorHAnsi" w:cstheme="minorHAnsi"/>
          <w:sz w:val="22"/>
          <w:lang w:val="en-GB"/>
        </w:rPr>
        <w:t>Treatment success rate – MDR RR TB Shorter MDR TB – 5</w:t>
      </w:r>
      <w:r>
        <w:rPr>
          <w:rFonts w:asciiTheme="minorHAnsi" w:hAnsiTheme="minorHAnsi" w:cstheme="minorHAnsi"/>
          <w:sz w:val="22"/>
          <w:lang w:val="en-GB"/>
        </w:rPr>
        <w:t>9</w:t>
      </w:r>
      <w:r w:rsidRPr="00371461">
        <w:rPr>
          <w:rFonts w:asciiTheme="minorHAnsi" w:hAnsiTheme="minorHAnsi" w:cstheme="minorHAnsi"/>
          <w:sz w:val="22"/>
          <w:lang w:val="en-GB"/>
        </w:rPr>
        <w:t xml:space="preserve">%, </w:t>
      </w:r>
      <w:r>
        <w:rPr>
          <w:rFonts w:asciiTheme="minorHAnsi" w:hAnsiTheme="minorHAnsi" w:cstheme="minorHAnsi"/>
          <w:sz w:val="22"/>
          <w:lang w:val="en-GB"/>
        </w:rPr>
        <w:t xml:space="preserve">MDR RR TB </w:t>
      </w:r>
      <w:r w:rsidRPr="00371461">
        <w:rPr>
          <w:rFonts w:asciiTheme="minorHAnsi" w:hAnsiTheme="minorHAnsi" w:cstheme="minorHAnsi"/>
          <w:sz w:val="22"/>
          <w:lang w:val="en-GB"/>
        </w:rPr>
        <w:t>longer regimen 48%, H mono/poly regimen – 75%</w:t>
      </w:r>
    </w:p>
    <w:p w14:paraId="72ED018C" w14:textId="7207FFB6" w:rsidR="003E5BD4" w:rsidRPr="003E5BD4" w:rsidRDefault="003E5BD4" w:rsidP="00442A67">
      <w:pPr>
        <w:pStyle w:val="ListParagraph"/>
        <w:numPr>
          <w:ilvl w:val="0"/>
          <w:numId w:val="46"/>
        </w:numPr>
        <w:spacing w:before="0" w:after="0"/>
        <w:jc w:val="both"/>
        <w:rPr>
          <w:rFonts w:asciiTheme="minorHAnsi" w:hAnsiTheme="minorHAnsi" w:cstheme="minorHAnsi"/>
          <w:sz w:val="22"/>
        </w:rPr>
      </w:pPr>
      <w:r w:rsidRPr="003E5BD4">
        <w:rPr>
          <w:rFonts w:asciiTheme="minorHAnsi" w:hAnsiTheme="minorHAnsi" w:cstheme="minorHAnsi"/>
          <w:sz w:val="22"/>
        </w:rPr>
        <w:t>Private sector TB patients can be linked to NTEP new drug regimen post notification in NIKSHAY system free of cost but operational challenges, barriers to access of new drugs from NTP by private-sector TB patients and concrete evidence-based solutions are yet to yield results in the form of rapid improvement in private sector</w:t>
      </w:r>
      <w:r w:rsidR="00F52C8A">
        <w:rPr>
          <w:rFonts w:asciiTheme="minorHAnsi" w:hAnsiTheme="minorHAnsi" w:cstheme="minorHAnsi"/>
          <w:sz w:val="22"/>
        </w:rPr>
        <w:t xml:space="preserve"> DRTB patient treatment linkage</w:t>
      </w:r>
      <w:r w:rsidRPr="003E5BD4">
        <w:rPr>
          <w:rFonts w:asciiTheme="minorHAnsi" w:hAnsiTheme="minorHAnsi" w:cstheme="minorHAnsi"/>
          <w:sz w:val="22"/>
        </w:rPr>
        <w:t>.</w:t>
      </w:r>
    </w:p>
    <w:p w14:paraId="4F32040D" w14:textId="4B31A4CA" w:rsidR="00890CB1" w:rsidRPr="003E5BD4" w:rsidRDefault="00890CB1" w:rsidP="00890CB1">
      <w:pPr>
        <w:pStyle w:val="ListParagraph"/>
        <w:numPr>
          <w:ilvl w:val="0"/>
          <w:numId w:val="46"/>
        </w:numPr>
        <w:spacing w:before="0" w:after="0"/>
        <w:jc w:val="both"/>
        <w:rPr>
          <w:rFonts w:asciiTheme="minorHAnsi" w:hAnsiTheme="minorHAnsi" w:cstheme="minorHAnsi"/>
          <w:sz w:val="22"/>
        </w:rPr>
      </w:pPr>
      <w:bookmarkStart w:id="67" w:name="_Hlk43548605"/>
      <w:r w:rsidRPr="003E5BD4">
        <w:rPr>
          <w:rFonts w:asciiTheme="minorHAnsi" w:hAnsiTheme="minorHAnsi" w:cstheme="minorHAnsi"/>
          <w:sz w:val="22"/>
        </w:rPr>
        <w:t xml:space="preserve">With current efforts, the country could detect </w:t>
      </w:r>
      <w:r>
        <w:rPr>
          <w:rFonts w:asciiTheme="minorHAnsi" w:hAnsiTheme="minorHAnsi" w:cstheme="minorHAnsi"/>
          <w:sz w:val="22"/>
        </w:rPr>
        <w:t>66255</w:t>
      </w:r>
      <w:r w:rsidRPr="003E5BD4">
        <w:rPr>
          <w:rFonts w:asciiTheme="minorHAnsi" w:hAnsiTheme="minorHAnsi" w:cstheme="minorHAnsi"/>
          <w:sz w:val="22"/>
        </w:rPr>
        <w:t>(</w:t>
      </w:r>
      <w:r>
        <w:rPr>
          <w:rFonts w:asciiTheme="minorHAnsi" w:hAnsiTheme="minorHAnsi" w:cstheme="minorHAnsi"/>
          <w:sz w:val="22"/>
        </w:rPr>
        <w:t>51</w:t>
      </w:r>
      <w:r w:rsidRPr="003E5BD4">
        <w:rPr>
          <w:rFonts w:asciiTheme="minorHAnsi" w:hAnsiTheme="minorHAnsi" w:cstheme="minorHAnsi"/>
          <w:sz w:val="22"/>
        </w:rPr>
        <w:t xml:space="preserve">%) MDRTB </w:t>
      </w:r>
      <w:r w:rsidRPr="00B95341">
        <w:rPr>
          <w:rFonts w:asciiTheme="minorHAnsi" w:hAnsiTheme="minorHAnsi" w:cstheme="minorHAnsi"/>
          <w:sz w:val="22"/>
        </w:rPr>
        <w:t>patients (2019</w:t>
      </w:r>
      <w:r w:rsidR="00F51523" w:rsidRPr="00B95341">
        <w:rPr>
          <w:rFonts w:asciiTheme="minorHAnsi" w:hAnsiTheme="minorHAnsi" w:cstheme="minorHAnsi"/>
          <w:sz w:val="22"/>
        </w:rPr>
        <w:t>) and</w:t>
      </w:r>
      <w:r w:rsidRPr="00B95341">
        <w:rPr>
          <w:rFonts w:asciiTheme="minorHAnsi" w:hAnsiTheme="minorHAnsi" w:cstheme="minorHAnsi"/>
          <w:sz w:val="22"/>
        </w:rPr>
        <w:t xml:space="preserve"> 49% of estimated 130000 MDRTB patients are yet to be reached out for appropriate TB treatment </w:t>
      </w:r>
      <w:r w:rsidRPr="003E5BD4">
        <w:rPr>
          <w:rFonts w:asciiTheme="minorHAnsi" w:hAnsiTheme="minorHAnsi" w:cstheme="minorHAnsi"/>
          <w:sz w:val="22"/>
        </w:rPr>
        <w:t>linkage.</w:t>
      </w:r>
    </w:p>
    <w:p w14:paraId="33787855" w14:textId="4FEEDE2F" w:rsidR="0052316D" w:rsidRPr="00B95341" w:rsidRDefault="00815A7B" w:rsidP="00442A67">
      <w:pPr>
        <w:pStyle w:val="ListParagraph"/>
        <w:numPr>
          <w:ilvl w:val="0"/>
          <w:numId w:val="46"/>
        </w:numPr>
        <w:spacing w:before="0" w:after="0"/>
        <w:jc w:val="both"/>
        <w:rPr>
          <w:rFonts w:asciiTheme="minorHAnsi" w:hAnsiTheme="minorHAnsi" w:cstheme="minorHAnsi"/>
          <w:sz w:val="22"/>
        </w:rPr>
      </w:pPr>
      <w:r>
        <w:rPr>
          <w:rFonts w:asciiTheme="minorHAnsi" w:hAnsiTheme="minorHAnsi" w:cstheme="minorHAnsi"/>
          <w:sz w:val="22"/>
        </w:rPr>
        <w:t>5</w:t>
      </w:r>
      <w:r w:rsidR="003E5BD4" w:rsidRPr="00B95341">
        <w:rPr>
          <w:rFonts w:asciiTheme="minorHAnsi" w:hAnsiTheme="minorHAnsi" w:cstheme="minorHAnsi"/>
          <w:sz w:val="22"/>
        </w:rPr>
        <w:t xml:space="preserve">4 Districts in the country without district DRTB treatment center out of which </w:t>
      </w:r>
      <w:r>
        <w:rPr>
          <w:rFonts w:asciiTheme="minorHAnsi" w:hAnsiTheme="minorHAnsi" w:cstheme="minorHAnsi"/>
          <w:sz w:val="22"/>
        </w:rPr>
        <w:t>2</w:t>
      </w:r>
      <w:r w:rsidR="003E5BD4" w:rsidRPr="00B95341">
        <w:rPr>
          <w:rFonts w:asciiTheme="minorHAnsi" w:hAnsiTheme="minorHAnsi" w:cstheme="minorHAnsi"/>
          <w:sz w:val="22"/>
        </w:rPr>
        <w:t xml:space="preserve"> districts are among the </w:t>
      </w:r>
      <w:r w:rsidR="00ED786A" w:rsidRPr="00B95341">
        <w:rPr>
          <w:rFonts w:asciiTheme="minorHAnsi" w:hAnsiTheme="minorHAnsi" w:cstheme="minorHAnsi"/>
          <w:sz w:val="22"/>
        </w:rPr>
        <w:t>aspirational</w:t>
      </w:r>
      <w:r w:rsidR="003E5BD4" w:rsidRPr="00B95341">
        <w:rPr>
          <w:rFonts w:asciiTheme="minorHAnsi" w:hAnsiTheme="minorHAnsi" w:cstheme="minorHAnsi"/>
          <w:sz w:val="22"/>
        </w:rPr>
        <w:t xml:space="preserve"> districts and offer challenging conditions with inadequate health infrastructure and accessibility issues.</w:t>
      </w:r>
      <w:r w:rsidR="009D73A5" w:rsidRPr="00B95341">
        <w:rPr>
          <w:rFonts w:asciiTheme="minorHAnsi" w:hAnsiTheme="minorHAnsi" w:cstheme="minorHAnsi"/>
          <w:sz w:val="22"/>
        </w:rPr>
        <w:t xml:space="preserve"> </w:t>
      </w:r>
    </w:p>
    <w:bookmarkEnd w:id="67"/>
    <w:p w14:paraId="328AF82A" w14:textId="7ECF3EC9" w:rsidR="009D73A5" w:rsidRPr="005B12AA" w:rsidRDefault="00304121" w:rsidP="005B12AA">
      <w:pPr>
        <w:pStyle w:val="ListParagraph"/>
        <w:numPr>
          <w:ilvl w:val="0"/>
          <w:numId w:val="46"/>
        </w:numPr>
        <w:spacing w:before="0" w:after="0"/>
        <w:jc w:val="both"/>
        <w:rPr>
          <w:rFonts w:asciiTheme="minorHAnsi" w:hAnsiTheme="minorHAnsi" w:cstheme="minorHAnsi"/>
          <w:sz w:val="22"/>
        </w:rPr>
      </w:pPr>
      <w:r>
        <w:rPr>
          <w:rFonts w:asciiTheme="minorHAnsi" w:hAnsiTheme="minorHAnsi" w:cstheme="minorHAnsi"/>
          <w:sz w:val="22"/>
        </w:rPr>
        <w:t>A smart DR-TB Medication Event Reminder Monitor (MERM) which organizes a patient’s medication, provides dosing instructions, and monitors medication adherence has been developed and preliminarily evaluated by India’s NIRT Chennai for patient and provider acceptability.</w:t>
      </w:r>
    </w:p>
    <w:p w14:paraId="17379347" w14:textId="00EBC547" w:rsidR="00D83E1E" w:rsidRPr="0030030B" w:rsidRDefault="00D756D3" w:rsidP="00D83E1E">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7</w:t>
      </w:r>
      <w:r>
        <w:rPr>
          <w:rFonts w:asciiTheme="minorHAnsi" w:hAnsiTheme="minorHAnsi" w:cstheme="minorHAnsi"/>
          <w:b/>
          <w:color w:val="C86A07" w:themeColor="accent2" w:themeShade="BF"/>
          <w:sz w:val="28"/>
          <w:lang w:val="en"/>
        </w:rPr>
        <w:t xml:space="preserve">.3 </w:t>
      </w:r>
      <w:r w:rsidR="00D83E1E" w:rsidRPr="0030030B">
        <w:rPr>
          <w:rFonts w:asciiTheme="minorHAnsi" w:hAnsiTheme="minorHAnsi" w:cstheme="minorHAnsi"/>
          <w:b/>
          <w:color w:val="C86A07" w:themeColor="accent2" w:themeShade="BF"/>
          <w:sz w:val="28"/>
          <w:lang w:val="en"/>
        </w:rPr>
        <w:t>CHALLENGES REMAIN</w:t>
      </w:r>
    </w:p>
    <w:p w14:paraId="4C6B5919" w14:textId="38415083" w:rsidR="00D83E1E" w:rsidRPr="00D83E1E" w:rsidRDefault="00D83E1E" w:rsidP="00442A67">
      <w:pPr>
        <w:pStyle w:val="ListParagraph"/>
        <w:numPr>
          <w:ilvl w:val="0"/>
          <w:numId w:val="45"/>
        </w:numPr>
        <w:spacing w:before="0" w:after="0"/>
        <w:jc w:val="both"/>
        <w:rPr>
          <w:rFonts w:asciiTheme="minorHAnsi" w:hAnsiTheme="minorHAnsi" w:cstheme="minorHAnsi"/>
          <w:sz w:val="22"/>
        </w:rPr>
      </w:pPr>
      <w:r>
        <w:rPr>
          <w:rFonts w:asciiTheme="minorHAnsi" w:hAnsiTheme="minorHAnsi" w:cstheme="minorHAnsi"/>
          <w:sz w:val="22"/>
        </w:rPr>
        <w:t>T</w:t>
      </w:r>
      <w:r w:rsidRPr="00D83E1E">
        <w:rPr>
          <w:rFonts w:asciiTheme="minorHAnsi" w:hAnsiTheme="minorHAnsi" w:cstheme="minorHAnsi"/>
          <w:sz w:val="22"/>
        </w:rPr>
        <w:t>here has been frequent updates in the</w:t>
      </w:r>
      <w:r>
        <w:rPr>
          <w:rFonts w:asciiTheme="minorHAnsi" w:hAnsiTheme="minorHAnsi" w:cstheme="minorHAnsi"/>
          <w:sz w:val="22"/>
        </w:rPr>
        <w:t xml:space="preserve"> </w:t>
      </w:r>
      <w:r w:rsidRPr="00D83E1E">
        <w:rPr>
          <w:rFonts w:asciiTheme="minorHAnsi" w:hAnsiTheme="minorHAnsi" w:cstheme="minorHAnsi"/>
          <w:sz w:val="22"/>
        </w:rPr>
        <w:t>WHO guidelines</w:t>
      </w:r>
      <w:r>
        <w:rPr>
          <w:rFonts w:asciiTheme="minorHAnsi" w:hAnsiTheme="minorHAnsi" w:cstheme="minorHAnsi"/>
          <w:sz w:val="22"/>
        </w:rPr>
        <w:t xml:space="preserve"> which </w:t>
      </w:r>
      <w:r w:rsidRPr="00D83E1E">
        <w:rPr>
          <w:rFonts w:asciiTheme="minorHAnsi" w:hAnsiTheme="minorHAnsi" w:cstheme="minorHAnsi"/>
          <w:sz w:val="22"/>
        </w:rPr>
        <w:t>mak</w:t>
      </w:r>
      <w:r>
        <w:rPr>
          <w:rFonts w:asciiTheme="minorHAnsi" w:hAnsiTheme="minorHAnsi" w:cstheme="minorHAnsi"/>
          <w:sz w:val="22"/>
        </w:rPr>
        <w:t>es</w:t>
      </w:r>
      <w:r w:rsidRPr="00D83E1E">
        <w:rPr>
          <w:rFonts w:asciiTheme="minorHAnsi" w:hAnsiTheme="minorHAnsi" w:cstheme="minorHAnsi"/>
          <w:sz w:val="22"/>
        </w:rPr>
        <w:t xml:space="preserve"> it challenging for programme staffs to adapt</w:t>
      </w:r>
    </w:p>
    <w:p w14:paraId="0E1E8FE9" w14:textId="64D81227" w:rsidR="00D83E1E" w:rsidRPr="00D83E1E" w:rsidRDefault="00D83E1E" w:rsidP="00442A67">
      <w:pPr>
        <w:pStyle w:val="ListParagraph"/>
        <w:numPr>
          <w:ilvl w:val="0"/>
          <w:numId w:val="45"/>
        </w:numPr>
        <w:spacing w:before="0" w:after="0"/>
        <w:jc w:val="both"/>
        <w:rPr>
          <w:rFonts w:asciiTheme="minorHAnsi" w:hAnsiTheme="minorHAnsi" w:cstheme="minorHAnsi"/>
          <w:sz w:val="22"/>
        </w:rPr>
      </w:pPr>
      <w:r w:rsidRPr="00D83E1E">
        <w:rPr>
          <w:rFonts w:asciiTheme="minorHAnsi" w:hAnsiTheme="minorHAnsi" w:cstheme="minorHAnsi"/>
          <w:sz w:val="22"/>
        </w:rPr>
        <w:t xml:space="preserve">Quality issues such as delay in obtaining laboratory results and consequent delay in initiation of treatment. </w:t>
      </w:r>
    </w:p>
    <w:p w14:paraId="45839983" w14:textId="2783D05A" w:rsidR="00D83E1E" w:rsidRPr="00D83E1E" w:rsidRDefault="00D83E1E" w:rsidP="00442A67">
      <w:pPr>
        <w:pStyle w:val="ListParagraph"/>
        <w:numPr>
          <w:ilvl w:val="0"/>
          <w:numId w:val="45"/>
        </w:numPr>
        <w:spacing w:before="0" w:after="0"/>
        <w:jc w:val="both"/>
        <w:rPr>
          <w:rFonts w:asciiTheme="minorHAnsi" w:hAnsiTheme="minorHAnsi" w:cstheme="minorHAnsi"/>
          <w:sz w:val="22"/>
        </w:rPr>
      </w:pPr>
      <w:r w:rsidRPr="00D83E1E">
        <w:rPr>
          <w:rFonts w:asciiTheme="minorHAnsi" w:hAnsiTheme="minorHAnsi" w:cstheme="minorHAnsi"/>
          <w:sz w:val="22"/>
        </w:rPr>
        <w:t>Currently multiple regimen</w:t>
      </w:r>
      <w:r w:rsidR="001D67B7">
        <w:rPr>
          <w:rFonts w:asciiTheme="minorHAnsi" w:hAnsiTheme="minorHAnsi" w:cstheme="minorHAnsi"/>
          <w:sz w:val="22"/>
        </w:rPr>
        <w:t>s</w:t>
      </w:r>
      <w:r w:rsidRPr="00D83E1E">
        <w:rPr>
          <w:rFonts w:asciiTheme="minorHAnsi" w:hAnsiTheme="minorHAnsi" w:cstheme="minorHAnsi"/>
          <w:sz w:val="22"/>
        </w:rPr>
        <w:t xml:space="preserve"> for DRTB makes it challenging for uptake of these regimens.</w:t>
      </w:r>
    </w:p>
    <w:p w14:paraId="64A51572" w14:textId="1F4FE492" w:rsidR="00D83E1E" w:rsidRPr="00D83E1E" w:rsidRDefault="00D83E1E" w:rsidP="00442A67">
      <w:pPr>
        <w:pStyle w:val="ListParagraph"/>
        <w:numPr>
          <w:ilvl w:val="0"/>
          <w:numId w:val="45"/>
        </w:numPr>
        <w:spacing w:before="0" w:after="0"/>
        <w:jc w:val="both"/>
        <w:rPr>
          <w:rFonts w:asciiTheme="minorHAnsi" w:hAnsiTheme="minorHAnsi" w:cstheme="minorHAnsi"/>
          <w:sz w:val="22"/>
        </w:rPr>
      </w:pPr>
      <w:r w:rsidRPr="00D83E1E">
        <w:rPr>
          <w:rFonts w:asciiTheme="minorHAnsi" w:hAnsiTheme="minorHAnsi" w:cstheme="minorHAnsi"/>
          <w:sz w:val="22"/>
        </w:rPr>
        <w:t>Uptake of these Digital Adherence Technologies (DAT) for adherence monitoring is insufficient and is not being uniformly implemented in all the states.</w:t>
      </w:r>
    </w:p>
    <w:p w14:paraId="2C34B4F8" w14:textId="48B19543" w:rsidR="00D83E1E" w:rsidRPr="00D83E1E" w:rsidRDefault="00D83E1E" w:rsidP="00442A67">
      <w:pPr>
        <w:pStyle w:val="ListParagraph"/>
        <w:numPr>
          <w:ilvl w:val="0"/>
          <w:numId w:val="45"/>
        </w:numPr>
        <w:spacing w:before="0" w:after="0"/>
        <w:jc w:val="both"/>
        <w:rPr>
          <w:rFonts w:asciiTheme="minorHAnsi" w:hAnsiTheme="minorHAnsi" w:cstheme="minorHAnsi"/>
          <w:sz w:val="22"/>
        </w:rPr>
      </w:pPr>
      <w:r w:rsidRPr="00D83E1E">
        <w:rPr>
          <w:rFonts w:asciiTheme="minorHAnsi" w:hAnsiTheme="minorHAnsi" w:cstheme="minorHAnsi"/>
          <w:sz w:val="22"/>
        </w:rPr>
        <w:t>Lack of information on the long-term outcomes of treatments which makes it difficult to establish efficacy on long term follow-up as envisaged in the previous NSP.</w:t>
      </w:r>
    </w:p>
    <w:p w14:paraId="7D0F5FE9" w14:textId="1787079B" w:rsidR="00D83E1E" w:rsidRPr="00D83E1E" w:rsidRDefault="00D83E1E" w:rsidP="00442A67">
      <w:pPr>
        <w:pStyle w:val="ListParagraph"/>
        <w:numPr>
          <w:ilvl w:val="0"/>
          <w:numId w:val="45"/>
        </w:numPr>
        <w:spacing w:before="0" w:after="0"/>
        <w:jc w:val="both"/>
        <w:rPr>
          <w:rFonts w:asciiTheme="minorHAnsi" w:hAnsiTheme="minorHAnsi" w:cstheme="minorHAnsi"/>
          <w:sz w:val="22"/>
        </w:rPr>
      </w:pPr>
      <w:r w:rsidRPr="00D83E1E">
        <w:rPr>
          <w:rFonts w:asciiTheme="minorHAnsi" w:hAnsiTheme="minorHAnsi" w:cstheme="minorHAnsi"/>
          <w:sz w:val="22"/>
        </w:rPr>
        <w:t xml:space="preserve">Sub-optimal implementation </w:t>
      </w:r>
      <w:r w:rsidR="001D67B7">
        <w:rPr>
          <w:rFonts w:asciiTheme="minorHAnsi" w:hAnsiTheme="minorHAnsi" w:cstheme="minorHAnsi"/>
          <w:sz w:val="22"/>
        </w:rPr>
        <w:t xml:space="preserve">of </w:t>
      </w:r>
      <w:r w:rsidRPr="00D83E1E">
        <w:rPr>
          <w:rFonts w:asciiTheme="minorHAnsi" w:hAnsiTheme="minorHAnsi" w:cstheme="minorHAnsi"/>
          <w:sz w:val="22"/>
        </w:rPr>
        <w:t>ADR management and</w:t>
      </w:r>
      <w:r w:rsidR="001D67B7">
        <w:rPr>
          <w:rFonts w:asciiTheme="minorHAnsi" w:hAnsiTheme="minorHAnsi" w:cstheme="minorHAnsi"/>
          <w:sz w:val="22"/>
        </w:rPr>
        <w:t xml:space="preserve"> </w:t>
      </w:r>
      <w:r w:rsidR="001D67B7" w:rsidRPr="0010536B">
        <w:rPr>
          <w:rFonts w:asciiTheme="minorHAnsi" w:hAnsiTheme="minorHAnsi" w:cstheme="minorHAnsi"/>
          <w:sz w:val="22"/>
        </w:rPr>
        <w:t>Active Drug Safety Monitoring (aDSM)</w:t>
      </w:r>
      <w:r w:rsidR="001D67B7" w:rsidRPr="00D83E1E">
        <w:rPr>
          <w:rFonts w:asciiTheme="minorHAnsi" w:hAnsiTheme="minorHAnsi" w:cstheme="minorHAnsi"/>
          <w:sz w:val="22"/>
        </w:rPr>
        <w:t>.</w:t>
      </w:r>
      <w:r w:rsidRPr="00D83E1E">
        <w:rPr>
          <w:rFonts w:asciiTheme="minorHAnsi" w:hAnsiTheme="minorHAnsi" w:cstheme="minorHAnsi"/>
          <w:sz w:val="22"/>
        </w:rPr>
        <w:t xml:space="preserve"> </w:t>
      </w:r>
    </w:p>
    <w:p w14:paraId="51DF7B55" w14:textId="0227DE9A" w:rsidR="00D83E1E" w:rsidRPr="00D83E1E" w:rsidRDefault="00D83E1E" w:rsidP="00442A67">
      <w:pPr>
        <w:pStyle w:val="ListParagraph"/>
        <w:numPr>
          <w:ilvl w:val="0"/>
          <w:numId w:val="45"/>
        </w:numPr>
        <w:spacing w:before="0" w:after="0"/>
        <w:jc w:val="both"/>
        <w:rPr>
          <w:rFonts w:asciiTheme="minorHAnsi" w:hAnsiTheme="minorHAnsi" w:cstheme="minorHAnsi"/>
          <w:sz w:val="22"/>
        </w:rPr>
      </w:pPr>
      <w:r w:rsidRPr="00D83E1E">
        <w:rPr>
          <w:rFonts w:asciiTheme="minorHAnsi" w:hAnsiTheme="minorHAnsi" w:cstheme="minorHAnsi"/>
          <w:sz w:val="22"/>
        </w:rPr>
        <w:t>DST services in many states is sub-optimal leading to compromise in initiating the patients on appropriate treatment regimen.</w:t>
      </w:r>
    </w:p>
    <w:p w14:paraId="058B584E" w14:textId="6165F20E" w:rsidR="00D83E1E" w:rsidRPr="00D83E1E" w:rsidRDefault="00D83E1E" w:rsidP="00442A67">
      <w:pPr>
        <w:pStyle w:val="ListParagraph"/>
        <w:numPr>
          <w:ilvl w:val="0"/>
          <w:numId w:val="45"/>
        </w:numPr>
        <w:spacing w:before="0" w:after="0"/>
        <w:jc w:val="both"/>
        <w:rPr>
          <w:rFonts w:asciiTheme="minorHAnsi" w:hAnsiTheme="minorHAnsi" w:cstheme="minorHAnsi"/>
          <w:sz w:val="22"/>
        </w:rPr>
      </w:pPr>
      <w:r w:rsidRPr="00D83E1E">
        <w:rPr>
          <w:rFonts w:asciiTheme="minorHAnsi" w:hAnsiTheme="minorHAnsi" w:cstheme="minorHAnsi"/>
          <w:sz w:val="22"/>
        </w:rPr>
        <w:t>Measuring the quality of care in private sector is a challenge as PPs have no means to ensure treatment adherence/compliance.</w:t>
      </w:r>
    </w:p>
    <w:p w14:paraId="4299819F" w14:textId="627F993D" w:rsidR="00D83E1E" w:rsidRPr="00D83E1E" w:rsidRDefault="00D83E1E" w:rsidP="00442A67">
      <w:pPr>
        <w:pStyle w:val="ListParagraph"/>
        <w:numPr>
          <w:ilvl w:val="0"/>
          <w:numId w:val="45"/>
        </w:numPr>
        <w:spacing w:before="0" w:after="0"/>
        <w:jc w:val="both"/>
        <w:rPr>
          <w:rFonts w:asciiTheme="minorHAnsi" w:hAnsiTheme="minorHAnsi" w:cstheme="minorHAnsi"/>
          <w:sz w:val="22"/>
        </w:rPr>
      </w:pPr>
      <w:r w:rsidRPr="00D83E1E">
        <w:rPr>
          <w:rFonts w:asciiTheme="minorHAnsi" w:hAnsiTheme="minorHAnsi" w:cstheme="minorHAnsi"/>
          <w:sz w:val="22"/>
        </w:rPr>
        <w:t>Inadequate provision of palliative care and rehabilitation services for the difficult to manage cases</w:t>
      </w:r>
    </w:p>
    <w:p w14:paraId="2B7036C8" w14:textId="2FBF5D15" w:rsidR="00E9388C" w:rsidRPr="0030030B" w:rsidRDefault="00D756D3" w:rsidP="00E9388C">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BE594E">
        <w:rPr>
          <w:rFonts w:asciiTheme="minorHAnsi" w:hAnsiTheme="minorHAnsi" w:cstheme="minorHAnsi"/>
          <w:b/>
          <w:color w:val="C86A07" w:themeColor="accent2" w:themeShade="BF"/>
          <w:sz w:val="28"/>
          <w:lang w:val="en"/>
        </w:rPr>
        <w:t>7</w:t>
      </w:r>
      <w:r>
        <w:rPr>
          <w:rFonts w:asciiTheme="minorHAnsi" w:hAnsiTheme="minorHAnsi" w:cstheme="minorHAnsi"/>
          <w:b/>
          <w:color w:val="C86A07" w:themeColor="accent2" w:themeShade="BF"/>
          <w:sz w:val="28"/>
          <w:lang w:val="en"/>
        </w:rPr>
        <w:t xml:space="preserve">.4 </w:t>
      </w:r>
      <w:r w:rsidR="001000A2" w:rsidRPr="0030030B">
        <w:rPr>
          <w:rFonts w:asciiTheme="minorHAnsi" w:hAnsiTheme="minorHAnsi" w:cstheme="minorHAnsi"/>
          <w:b/>
          <w:color w:val="C86A07" w:themeColor="accent2" w:themeShade="BF"/>
          <w:sz w:val="28"/>
          <w:lang w:val="en"/>
        </w:rPr>
        <w:t>THE WAY FORWARD</w:t>
      </w:r>
      <w:r w:rsidR="00E9388C" w:rsidRPr="0030030B">
        <w:rPr>
          <w:rFonts w:asciiTheme="minorHAnsi" w:hAnsiTheme="minorHAnsi" w:cstheme="minorHAnsi"/>
          <w:b/>
          <w:color w:val="C86A07" w:themeColor="accent2" w:themeShade="BF"/>
          <w:sz w:val="28"/>
          <w:lang w:val="en"/>
        </w:rPr>
        <w:t xml:space="preserve"> </w:t>
      </w:r>
    </w:p>
    <w:p w14:paraId="5348A3B0" w14:textId="0588D5F9" w:rsidR="00E9388C" w:rsidRDefault="00E9388C" w:rsidP="00E9388C">
      <w:pPr>
        <w:spacing w:after="0"/>
        <w:jc w:val="both"/>
        <w:rPr>
          <w:rFonts w:ascii="Calibri" w:hAnsi="Calibri" w:cs="Calibri"/>
          <w:b/>
          <w:sz w:val="22"/>
          <w:shd w:val="clear" w:color="auto" w:fill="FFFFFF"/>
        </w:rPr>
      </w:pPr>
      <w:r w:rsidRPr="00555624">
        <w:rPr>
          <w:rFonts w:ascii="Calibri" w:hAnsi="Calibri" w:cs="Calibri"/>
          <w:b/>
          <w:sz w:val="22"/>
          <w:shd w:val="clear" w:color="auto" w:fill="FFFFFF"/>
        </w:rPr>
        <w:t>4.2.</w:t>
      </w:r>
      <w:r w:rsidR="004628FF">
        <w:rPr>
          <w:rFonts w:ascii="Calibri" w:hAnsi="Calibri" w:cs="Calibri"/>
          <w:b/>
          <w:sz w:val="22"/>
          <w:shd w:val="clear" w:color="auto" w:fill="FFFFFF"/>
        </w:rPr>
        <w:t>1</w:t>
      </w:r>
      <w:r w:rsidRPr="00555624">
        <w:rPr>
          <w:rFonts w:ascii="Calibri" w:hAnsi="Calibri" w:cs="Calibri"/>
          <w:b/>
          <w:sz w:val="22"/>
          <w:shd w:val="clear" w:color="auto" w:fill="FFFFFF"/>
        </w:rPr>
        <w:t xml:space="preserve"> Introduction of effective regimens with </w:t>
      </w:r>
      <w:r w:rsidR="00597CF1">
        <w:rPr>
          <w:rFonts w:ascii="Calibri" w:hAnsi="Calibri" w:cs="Calibri"/>
          <w:b/>
          <w:sz w:val="22"/>
          <w:shd w:val="clear" w:color="auto" w:fill="FFFFFF"/>
        </w:rPr>
        <w:t>shorter</w:t>
      </w:r>
      <w:r w:rsidRPr="00555624">
        <w:rPr>
          <w:rFonts w:ascii="Calibri" w:hAnsi="Calibri" w:cs="Calibri"/>
          <w:b/>
          <w:sz w:val="22"/>
          <w:shd w:val="clear" w:color="auto" w:fill="FFFFFF"/>
        </w:rPr>
        <w:t xml:space="preserve"> duration</w:t>
      </w:r>
      <w:r w:rsidR="004628FF">
        <w:rPr>
          <w:rFonts w:ascii="Calibri" w:hAnsi="Calibri" w:cs="Calibri"/>
          <w:b/>
          <w:sz w:val="22"/>
          <w:shd w:val="clear" w:color="auto" w:fill="FFFFFF"/>
        </w:rPr>
        <w:t xml:space="preserve"> </w:t>
      </w:r>
      <w:r w:rsidR="000212F5">
        <w:rPr>
          <w:rFonts w:ascii="Calibri" w:hAnsi="Calibri" w:cs="Calibri"/>
          <w:b/>
          <w:sz w:val="22"/>
          <w:shd w:val="clear" w:color="auto" w:fill="FFFFFF"/>
        </w:rPr>
        <w:t>for both adults and paediatric patients</w:t>
      </w:r>
    </w:p>
    <w:p w14:paraId="6A3A0CAB" w14:textId="54619BB9" w:rsidR="004628FF" w:rsidRPr="004628FF" w:rsidRDefault="004628FF" w:rsidP="004628FF">
      <w:pPr>
        <w:spacing w:before="0" w:after="0"/>
        <w:jc w:val="both"/>
        <w:rPr>
          <w:rFonts w:ascii="Calibri" w:hAnsi="Calibri" w:cs="Calibri"/>
          <w:sz w:val="22"/>
          <w:lang w:val="en-IN"/>
        </w:rPr>
      </w:pPr>
      <w:r>
        <w:rPr>
          <w:rFonts w:ascii="Calibri" w:hAnsi="Calibri" w:cs="Calibri"/>
          <w:sz w:val="22"/>
        </w:rPr>
        <w:t xml:space="preserve">4.2.1.1 </w:t>
      </w:r>
      <w:r w:rsidRPr="004628FF">
        <w:rPr>
          <w:rFonts w:ascii="Calibri" w:hAnsi="Calibri" w:cs="Calibri"/>
          <w:sz w:val="22"/>
        </w:rPr>
        <w:t>Rapid approval of national technical expert committee; simultaneously, procurement of required drugs based on the forecasting and quantification</w:t>
      </w:r>
    </w:p>
    <w:p w14:paraId="5004E65E" w14:textId="040201FB" w:rsidR="004628FF" w:rsidRPr="004628FF" w:rsidRDefault="004628FF" w:rsidP="004628FF">
      <w:pPr>
        <w:spacing w:before="0" w:after="0"/>
        <w:jc w:val="both"/>
        <w:rPr>
          <w:rFonts w:ascii="Calibri" w:hAnsi="Calibri" w:cs="Calibri"/>
          <w:sz w:val="22"/>
          <w:lang w:val="en-IN"/>
        </w:rPr>
      </w:pPr>
      <w:r>
        <w:rPr>
          <w:rFonts w:ascii="Calibri" w:hAnsi="Calibri" w:cs="Calibri"/>
          <w:sz w:val="22"/>
        </w:rPr>
        <w:lastRenderedPageBreak/>
        <w:t xml:space="preserve">4.2.1.2 </w:t>
      </w:r>
      <w:r w:rsidR="008E4376">
        <w:rPr>
          <w:rFonts w:ascii="Calibri" w:hAnsi="Calibri" w:cs="Calibri"/>
          <w:sz w:val="22"/>
        </w:rPr>
        <w:t xml:space="preserve">Conduct </w:t>
      </w:r>
      <w:r w:rsidRPr="004628FF">
        <w:rPr>
          <w:rFonts w:ascii="Calibri" w:hAnsi="Calibri" w:cs="Calibri"/>
          <w:sz w:val="22"/>
        </w:rPr>
        <w:t>trainings starting from National, state, district level including private sectors within public health system with the support of partners wherever required.</w:t>
      </w:r>
    </w:p>
    <w:p w14:paraId="670693B7" w14:textId="1C2394F6" w:rsidR="004628FF" w:rsidRPr="004628FF" w:rsidRDefault="004628FF" w:rsidP="004628FF">
      <w:pPr>
        <w:spacing w:before="0" w:after="0"/>
        <w:jc w:val="both"/>
        <w:rPr>
          <w:rFonts w:ascii="Calibri" w:hAnsi="Calibri" w:cs="Calibri"/>
          <w:sz w:val="22"/>
          <w:lang w:val="en-IN"/>
        </w:rPr>
      </w:pPr>
      <w:r>
        <w:rPr>
          <w:rFonts w:ascii="Calibri" w:hAnsi="Calibri" w:cs="Calibri"/>
          <w:sz w:val="22"/>
        </w:rPr>
        <w:t xml:space="preserve">4.2.1.3 </w:t>
      </w:r>
      <w:r w:rsidRPr="004628FF">
        <w:rPr>
          <w:rFonts w:ascii="Calibri" w:hAnsi="Calibri" w:cs="Calibri"/>
          <w:sz w:val="22"/>
        </w:rPr>
        <w:t xml:space="preserve">Implementation and intensive monitoring till the achievement of nationwide coverage of </w:t>
      </w:r>
      <w:r w:rsidR="00AF6BB9">
        <w:rPr>
          <w:rFonts w:ascii="Calibri" w:hAnsi="Calibri" w:cs="Calibri"/>
          <w:sz w:val="22"/>
        </w:rPr>
        <w:t xml:space="preserve">all oral </w:t>
      </w:r>
      <w:r w:rsidR="00AF6BB9" w:rsidRPr="004628FF">
        <w:rPr>
          <w:rFonts w:ascii="Calibri" w:hAnsi="Calibri" w:cs="Calibri"/>
          <w:sz w:val="22"/>
        </w:rPr>
        <w:t>injection free shorter MDR regimen</w:t>
      </w:r>
      <w:r w:rsidR="00AF6BB9">
        <w:rPr>
          <w:rFonts w:ascii="Calibri" w:hAnsi="Calibri" w:cs="Calibri"/>
          <w:sz w:val="22"/>
        </w:rPr>
        <w:t xml:space="preserve"> and also new regimens that may keep emerging (</w:t>
      </w:r>
      <w:r w:rsidR="00F51523">
        <w:rPr>
          <w:rFonts w:ascii="Calibri" w:hAnsi="Calibri" w:cs="Calibri"/>
          <w:sz w:val="22"/>
        </w:rPr>
        <w:t>E.g.</w:t>
      </w:r>
      <w:r w:rsidR="00AF6BB9">
        <w:rPr>
          <w:rFonts w:ascii="Calibri" w:hAnsi="Calibri" w:cs="Calibri"/>
          <w:sz w:val="22"/>
        </w:rPr>
        <w:t>: BPaL)</w:t>
      </w:r>
    </w:p>
    <w:p w14:paraId="025DBF15" w14:textId="401505A7" w:rsidR="004628FF" w:rsidRPr="004628FF" w:rsidRDefault="004628FF" w:rsidP="004628FF">
      <w:pPr>
        <w:spacing w:before="0" w:after="0"/>
        <w:jc w:val="both"/>
        <w:rPr>
          <w:rFonts w:ascii="Calibri" w:hAnsi="Calibri" w:cs="Calibri"/>
          <w:sz w:val="22"/>
          <w:lang w:val="en-IN"/>
        </w:rPr>
      </w:pPr>
      <w:r>
        <w:rPr>
          <w:rFonts w:ascii="Calibri" w:hAnsi="Calibri" w:cs="Calibri"/>
          <w:sz w:val="22"/>
        </w:rPr>
        <w:t xml:space="preserve">4.2.1.4 </w:t>
      </w:r>
      <w:r w:rsidRPr="004628FF">
        <w:rPr>
          <w:rFonts w:ascii="Calibri" w:hAnsi="Calibri" w:cs="Calibri"/>
          <w:sz w:val="22"/>
        </w:rPr>
        <w:t xml:space="preserve">Introduction of supportive system of e-trainings, Decision Support System, ADR management tool, </w:t>
      </w:r>
      <w:r w:rsidR="00F51523" w:rsidRPr="004628FF">
        <w:rPr>
          <w:rFonts w:ascii="Calibri" w:hAnsi="Calibri" w:cs="Calibri"/>
          <w:sz w:val="22"/>
        </w:rPr>
        <w:t>etc.</w:t>
      </w:r>
    </w:p>
    <w:p w14:paraId="617835CF" w14:textId="3170CFE2" w:rsidR="004628FF" w:rsidRPr="004628FF" w:rsidRDefault="004628FF" w:rsidP="004628FF">
      <w:pPr>
        <w:spacing w:before="0" w:after="0"/>
        <w:jc w:val="both"/>
        <w:rPr>
          <w:rFonts w:ascii="Calibri" w:hAnsi="Calibri" w:cs="Calibri"/>
          <w:sz w:val="22"/>
          <w:lang w:val="en-IN"/>
        </w:rPr>
      </w:pPr>
      <w:r>
        <w:rPr>
          <w:rFonts w:ascii="Calibri" w:hAnsi="Calibri" w:cs="Calibri"/>
          <w:sz w:val="22"/>
        </w:rPr>
        <w:t xml:space="preserve">4.2.1.5 </w:t>
      </w:r>
      <w:r w:rsidRPr="004628FF">
        <w:rPr>
          <w:rFonts w:ascii="Calibri" w:hAnsi="Calibri" w:cs="Calibri"/>
          <w:sz w:val="22"/>
        </w:rPr>
        <w:t>Tracking timely follow up of all patient initiated on treatment</w:t>
      </w:r>
    </w:p>
    <w:p w14:paraId="5BB53458" w14:textId="3DD78DBE" w:rsidR="004628FF" w:rsidRDefault="004628FF" w:rsidP="004628FF">
      <w:pPr>
        <w:spacing w:before="0" w:after="0"/>
        <w:jc w:val="both"/>
        <w:rPr>
          <w:rFonts w:ascii="Calibri" w:hAnsi="Calibri" w:cs="Calibri"/>
          <w:sz w:val="22"/>
        </w:rPr>
      </w:pPr>
      <w:r w:rsidRPr="004628FF">
        <w:rPr>
          <w:rFonts w:ascii="Calibri" w:hAnsi="Calibri" w:cs="Calibri"/>
          <w:sz w:val="22"/>
        </w:rPr>
        <w:t>Extensive monitoring at state and district level through monthly/quarterly coordination meetings among NAAT sites and N/DDR TBC</w:t>
      </w:r>
      <w:r w:rsidR="005D0075">
        <w:rPr>
          <w:rFonts w:ascii="Calibri" w:hAnsi="Calibri" w:cs="Calibri"/>
          <w:sz w:val="22"/>
        </w:rPr>
        <w:t xml:space="preserve"> </w:t>
      </w:r>
    </w:p>
    <w:p w14:paraId="02DA21BF" w14:textId="77777777" w:rsidR="005D0075" w:rsidRPr="005D0075" w:rsidRDefault="005D0075" w:rsidP="005D0075">
      <w:pPr>
        <w:spacing w:before="0" w:after="0"/>
        <w:jc w:val="both"/>
        <w:rPr>
          <w:rFonts w:ascii="Calibri" w:hAnsi="Calibri" w:cs="Calibri"/>
          <w:sz w:val="22"/>
        </w:rPr>
      </w:pPr>
      <w:r w:rsidRPr="005D0075">
        <w:rPr>
          <w:rFonts w:ascii="Calibri" w:hAnsi="Calibri" w:cs="Calibri"/>
          <w:sz w:val="22"/>
        </w:rPr>
        <w:t>4.2.1.6 Introduction of child friendly formulations for DR-TB.</w:t>
      </w:r>
    </w:p>
    <w:p w14:paraId="054D60BA" w14:textId="6FC00CD9" w:rsidR="005D0075" w:rsidRPr="005D0075" w:rsidRDefault="005D0075" w:rsidP="005D0075">
      <w:pPr>
        <w:spacing w:before="0" w:after="0"/>
        <w:jc w:val="both"/>
        <w:rPr>
          <w:rFonts w:ascii="Calibri" w:hAnsi="Calibri" w:cs="Calibri"/>
          <w:sz w:val="22"/>
        </w:rPr>
      </w:pPr>
      <w:r w:rsidRPr="005D0075">
        <w:rPr>
          <w:rFonts w:ascii="Calibri" w:hAnsi="Calibri" w:cs="Calibri"/>
          <w:sz w:val="22"/>
        </w:rPr>
        <w:t xml:space="preserve">4.2.1.6 Strengthen the network of specimen collection centers for paediatric TB and EPTB.   </w:t>
      </w:r>
    </w:p>
    <w:p w14:paraId="07875710" w14:textId="77777777" w:rsidR="004628FF" w:rsidRPr="00555624" w:rsidRDefault="004628FF" w:rsidP="00597CF1">
      <w:pPr>
        <w:spacing w:before="0" w:after="0"/>
        <w:jc w:val="both"/>
        <w:rPr>
          <w:rFonts w:ascii="Calibri" w:hAnsi="Calibri" w:cs="Calibri"/>
          <w:b/>
          <w:sz w:val="22"/>
        </w:rPr>
      </w:pPr>
    </w:p>
    <w:p w14:paraId="6DC082A2" w14:textId="6C32CE24" w:rsidR="00E9388C" w:rsidRPr="00555624" w:rsidRDefault="00597CF1" w:rsidP="00555624">
      <w:pPr>
        <w:pStyle w:val="m-7769361439298232180m-7252191122409359175gmail-msolistparagraph"/>
        <w:spacing w:before="0" w:beforeAutospacing="0" w:after="0" w:afterAutospacing="0"/>
        <w:jc w:val="both"/>
        <w:rPr>
          <w:rFonts w:ascii="Calibri" w:hAnsi="Calibri" w:cs="Calibri"/>
          <w:b/>
          <w:sz w:val="22"/>
          <w:szCs w:val="22"/>
          <w:shd w:val="clear" w:color="auto" w:fill="FFFFFF"/>
        </w:rPr>
      </w:pPr>
      <w:r>
        <w:rPr>
          <w:rFonts w:ascii="Calibri" w:hAnsi="Calibri" w:cs="Calibri"/>
          <w:b/>
          <w:sz w:val="22"/>
          <w:szCs w:val="22"/>
          <w:shd w:val="clear" w:color="auto" w:fill="FFFFFF"/>
          <w:lang w:val="en-US"/>
        </w:rPr>
        <w:t>4.2.2</w:t>
      </w:r>
      <w:r w:rsidR="00555624">
        <w:rPr>
          <w:rFonts w:ascii="Calibri" w:hAnsi="Calibri" w:cs="Calibri"/>
          <w:b/>
          <w:sz w:val="22"/>
          <w:szCs w:val="22"/>
          <w:shd w:val="clear" w:color="auto" w:fill="FFFFFF"/>
          <w:lang w:val="en-US"/>
        </w:rPr>
        <w:t xml:space="preserve"> </w:t>
      </w:r>
      <w:r w:rsidR="008B1F93">
        <w:rPr>
          <w:rFonts w:ascii="Calibri" w:hAnsi="Calibri" w:cs="Calibri"/>
          <w:b/>
          <w:sz w:val="22"/>
          <w:szCs w:val="22"/>
          <w:shd w:val="clear" w:color="auto" w:fill="FFFFFF"/>
          <w:lang w:val="en-US"/>
        </w:rPr>
        <w:t xml:space="preserve">Estimate the burden of </w:t>
      </w:r>
      <w:r w:rsidR="00E9388C" w:rsidRPr="00555624">
        <w:rPr>
          <w:rFonts w:ascii="Calibri" w:hAnsi="Calibri" w:cs="Calibri"/>
          <w:b/>
          <w:sz w:val="22"/>
          <w:szCs w:val="22"/>
          <w:shd w:val="clear" w:color="auto" w:fill="FFFFFF"/>
          <w:lang w:val="en-US"/>
        </w:rPr>
        <w:t>Non-</w:t>
      </w:r>
      <w:r w:rsidR="008B1F93">
        <w:rPr>
          <w:rFonts w:ascii="Calibri" w:hAnsi="Calibri" w:cs="Calibri"/>
          <w:b/>
          <w:sz w:val="22"/>
          <w:szCs w:val="22"/>
          <w:shd w:val="clear" w:color="auto" w:fill="FFFFFF"/>
          <w:lang w:val="en-US"/>
        </w:rPr>
        <w:t>tuberculous Mycobacteria (NTM) and establish a protocol to address the problem</w:t>
      </w:r>
    </w:p>
    <w:p w14:paraId="0D607179" w14:textId="77777777" w:rsidR="00E9388C" w:rsidRDefault="00E9388C" w:rsidP="00DA207D">
      <w:pPr>
        <w:pStyle w:val="m-7769361439298232180m-7252191122409359175gmail-msolistparagraph"/>
        <w:shd w:val="clear" w:color="auto" w:fill="FFFFFF"/>
        <w:spacing w:before="0" w:beforeAutospacing="0" w:after="0" w:afterAutospacing="0"/>
        <w:jc w:val="both"/>
        <w:rPr>
          <w:rFonts w:ascii="Calibri" w:hAnsi="Calibri" w:cs="Calibri"/>
          <w:sz w:val="22"/>
          <w:szCs w:val="22"/>
        </w:rPr>
      </w:pPr>
      <w:r w:rsidRPr="00E9388C">
        <w:rPr>
          <w:rFonts w:ascii="Calibri" w:hAnsi="Calibri" w:cs="Calibri"/>
          <w:sz w:val="22"/>
          <w:szCs w:val="22"/>
        </w:rPr>
        <w:t>Nontuberculous mycobacterial (NTM) compared to TB is more challenging to manage, beginning with diagnosis and extending through treatment. Factors peculiar to NTM disease such as extensive microbial resistance mechanisms and difficult to interpret, in vitro drug susceptibility patterns are common clinical management challenges. Because the prevalence of NTM is rising, it is increasingly necessary to understand those unique aspects of NTM lung disease diagnosis and treatment that differ from tuberculosis and there is a need to incorporate the protocol to understand the NTM situation in India.</w:t>
      </w:r>
    </w:p>
    <w:p w14:paraId="00324576" w14:textId="503D3341" w:rsidR="00DD4E49" w:rsidRDefault="00DA207D" w:rsidP="00DD4E49">
      <w:pPr>
        <w:pStyle w:val="m-7769361439298232180m-7252191122409359175gmail-msolistparagraph"/>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4.2.</w:t>
      </w:r>
      <w:r w:rsidR="00597CF1">
        <w:rPr>
          <w:rFonts w:ascii="Calibri" w:hAnsi="Calibri" w:cs="Calibri"/>
          <w:sz w:val="22"/>
          <w:szCs w:val="22"/>
        </w:rPr>
        <w:t>2</w:t>
      </w:r>
      <w:r>
        <w:rPr>
          <w:rFonts w:ascii="Calibri" w:hAnsi="Calibri" w:cs="Calibri"/>
          <w:sz w:val="22"/>
          <w:szCs w:val="22"/>
        </w:rPr>
        <w:t>.1</w:t>
      </w:r>
      <w:r w:rsidR="004628FF">
        <w:rPr>
          <w:rFonts w:ascii="Calibri" w:hAnsi="Calibri" w:cs="Calibri"/>
          <w:sz w:val="22"/>
          <w:szCs w:val="22"/>
        </w:rPr>
        <w:t xml:space="preserve"> Develop</w:t>
      </w:r>
      <w:r w:rsidR="004628FF" w:rsidRPr="004628FF">
        <w:rPr>
          <w:rFonts w:ascii="Calibri" w:hAnsi="Calibri" w:cs="Calibri"/>
          <w:sz w:val="22"/>
          <w:szCs w:val="22"/>
        </w:rPr>
        <w:t xml:space="preserve"> protocol for diagnosis and management of NTM under programmatic condition</w:t>
      </w:r>
    </w:p>
    <w:p w14:paraId="09F6EEB5" w14:textId="06A52E82" w:rsidR="00DA207D" w:rsidRDefault="00597CF1" w:rsidP="00DD4E49">
      <w:pPr>
        <w:pStyle w:val="m-7769361439298232180m-7252191122409359175gmail-msolistparagraph"/>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4.2.2</w:t>
      </w:r>
      <w:r w:rsidR="00DD4E49">
        <w:rPr>
          <w:rFonts w:ascii="Calibri" w:hAnsi="Calibri" w:cs="Calibri"/>
          <w:sz w:val="22"/>
          <w:szCs w:val="22"/>
        </w:rPr>
        <w:t xml:space="preserve">.2 </w:t>
      </w:r>
      <w:r w:rsidR="004628FF" w:rsidRPr="004628FF">
        <w:rPr>
          <w:rFonts w:ascii="Calibri" w:hAnsi="Calibri" w:cs="Calibri"/>
          <w:sz w:val="22"/>
          <w:szCs w:val="22"/>
        </w:rPr>
        <w:t>Upgradation of laboratory network to improve the access to diagnosis of NTM</w:t>
      </w:r>
    </w:p>
    <w:p w14:paraId="2E218655" w14:textId="3A56536C" w:rsidR="004628FF" w:rsidRPr="004628FF" w:rsidRDefault="00597CF1" w:rsidP="004628FF">
      <w:pPr>
        <w:pStyle w:val="m-7769361439298232180m-7252191122409359175gmail-msolistparagraph"/>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4.2.2</w:t>
      </w:r>
      <w:r w:rsidR="00DD4E49">
        <w:rPr>
          <w:rFonts w:ascii="Calibri" w:hAnsi="Calibri" w:cs="Calibri"/>
          <w:sz w:val="22"/>
          <w:szCs w:val="22"/>
        </w:rPr>
        <w:t xml:space="preserve">.3 </w:t>
      </w:r>
      <w:r w:rsidR="004628FF" w:rsidRPr="004628FF">
        <w:rPr>
          <w:rFonts w:ascii="Calibri" w:hAnsi="Calibri" w:cs="Calibri"/>
          <w:sz w:val="22"/>
          <w:szCs w:val="22"/>
        </w:rPr>
        <w:t>Phase wise implementation of services under programmatic condition Ensuring availability of drugs and establishment of treatment initiating facility</w:t>
      </w:r>
    </w:p>
    <w:p w14:paraId="572B3954" w14:textId="3BD7855E" w:rsidR="004628FF" w:rsidRDefault="00597CF1" w:rsidP="000F6D1D">
      <w:pPr>
        <w:pStyle w:val="m-7769361439298232180m-7252191122409359175gmail-msolistparagraph"/>
        <w:shd w:val="clear" w:color="auto" w:fill="FFFFFF"/>
        <w:spacing w:before="0" w:beforeAutospacing="0" w:after="120" w:afterAutospacing="0"/>
        <w:jc w:val="both"/>
        <w:rPr>
          <w:rFonts w:ascii="Calibri" w:hAnsi="Calibri" w:cs="Calibri"/>
          <w:sz w:val="22"/>
          <w:szCs w:val="22"/>
        </w:rPr>
      </w:pPr>
      <w:r>
        <w:rPr>
          <w:rFonts w:ascii="Calibri" w:hAnsi="Calibri" w:cs="Calibri"/>
          <w:sz w:val="22"/>
          <w:szCs w:val="22"/>
        </w:rPr>
        <w:t>4.2.2</w:t>
      </w:r>
      <w:r w:rsidR="004628FF">
        <w:rPr>
          <w:rFonts w:ascii="Calibri" w:hAnsi="Calibri" w:cs="Calibri"/>
          <w:sz w:val="22"/>
          <w:szCs w:val="22"/>
        </w:rPr>
        <w:t xml:space="preserve">.4 </w:t>
      </w:r>
      <w:r w:rsidR="004628FF" w:rsidRPr="004628FF">
        <w:rPr>
          <w:rFonts w:ascii="Calibri" w:hAnsi="Calibri" w:cs="Calibri"/>
          <w:sz w:val="22"/>
          <w:szCs w:val="22"/>
        </w:rPr>
        <w:t>Promote research to generate evidences for effective diagnostic tool, treatment regimens and other supportive mechanism to improve the outcome.</w:t>
      </w:r>
    </w:p>
    <w:p w14:paraId="47EDE2BB" w14:textId="4440653A" w:rsidR="00E9388C" w:rsidRPr="00555624" w:rsidRDefault="00555624" w:rsidP="00555624">
      <w:pPr>
        <w:pStyle w:val="m-7769361439298232180m-7252191122409359175gmail-msolistparagraph"/>
        <w:spacing w:before="0" w:beforeAutospacing="0" w:after="0" w:afterAutospacing="0"/>
        <w:jc w:val="both"/>
        <w:rPr>
          <w:rFonts w:ascii="Calibri" w:hAnsi="Calibri" w:cs="Calibri"/>
          <w:b/>
          <w:sz w:val="22"/>
          <w:szCs w:val="22"/>
          <w:shd w:val="clear" w:color="auto" w:fill="FFFFFF"/>
        </w:rPr>
      </w:pPr>
      <w:r>
        <w:rPr>
          <w:rFonts w:ascii="Calibri" w:hAnsi="Calibri" w:cs="Calibri"/>
          <w:b/>
          <w:sz w:val="22"/>
          <w:szCs w:val="22"/>
          <w:shd w:val="clear" w:color="auto" w:fill="FFFFFF"/>
          <w:lang w:val="en-US"/>
        </w:rPr>
        <w:t>4.2.</w:t>
      </w:r>
      <w:r w:rsidR="00597CF1">
        <w:rPr>
          <w:rFonts w:ascii="Calibri" w:hAnsi="Calibri" w:cs="Calibri"/>
          <w:b/>
          <w:sz w:val="22"/>
          <w:szCs w:val="22"/>
          <w:shd w:val="clear" w:color="auto" w:fill="FFFFFF"/>
          <w:lang w:val="en-US"/>
        </w:rPr>
        <w:t>3</w:t>
      </w:r>
      <w:r>
        <w:rPr>
          <w:rFonts w:ascii="Calibri" w:hAnsi="Calibri" w:cs="Calibri"/>
          <w:b/>
          <w:sz w:val="22"/>
          <w:szCs w:val="22"/>
          <w:shd w:val="clear" w:color="auto" w:fill="FFFFFF"/>
          <w:lang w:val="en-US"/>
        </w:rPr>
        <w:t xml:space="preserve"> </w:t>
      </w:r>
      <w:r w:rsidR="00E9388C" w:rsidRPr="00555624">
        <w:rPr>
          <w:rFonts w:ascii="Calibri" w:hAnsi="Calibri" w:cs="Calibri"/>
          <w:b/>
          <w:sz w:val="22"/>
          <w:szCs w:val="22"/>
          <w:shd w:val="clear" w:color="auto" w:fill="FFFFFF"/>
          <w:lang w:val="en-US"/>
        </w:rPr>
        <w:t>Surgical, Palliative care and rehabilitation: Build capacity and linkages to existing programs for palliative care and rehabilitation.</w:t>
      </w:r>
    </w:p>
    <w:p w14:paraId="559F5850" w14:textId="579A56A2" w:rsidR="00B97068" w:rsidRPr="007B135B" w:rsidRDefault="00E9388C" w:rsidP="00B97068">
      <w:pPr>
        <w:pStyle w:val="m-7769361439298232180m-7252191122409359175gmail-msolistparagraph"/>
        <w:shd w:val="clear" w:color="auto" w:fill="FFFFFF"/>
        <w:spacing w:before="0" w:beforeAutospacing="0" w:after="0" w:afterAutospacing="0"/>
        <w:jc w:val="both"/>
        <w:rPr>
          <w:rFonts w:ascii="Calibri" w:hAnsi="Calibri" w:cs="Calibri"/>
          <w:color w:val="FF0000"/>
          <w:sz w:val="22"/>
          <w:szCs w:val="22"/>
        </w:rPr>
      </w:pPr>
      <w:r w:rsidRPr="00E9388C">
        <w:rPr>
          <w:rFonts w:ascii="Calibri" w:hAnsi="Calibri" w:cs="Calibri"/>
          <w:sz w:val="22"/>
          <w:szCs w:val="22"/>
          <w:shd w:val="clear" w:color="auto" w:fill="FFFFFF"/>
        </w:rPr>
        <w:t> </w:t>
      </w:r>
      <w:r w:rsidRPr="00E9388C">
        <w:rPr>
          <w:rFonts w:ascii="Calibri" w:hAnsi="Calibri" w:cs="Calibri"/>
          <w:sz w:val="22"/>
          <w:szCs w:val="22"/>
        </w:rPr>
        <w:t>Even though surgical option is rarely offered along with treatment of DS TB, it can be an important intervention</w:t>
      </w:r>
      <w:r w:rsidR="007B135B">
        <w:rPr>
          <w:rFonts w:ascii="Calibri" w:hAnsi="Calibri" w:cs="Calibri"/>
          <w:sz w:val="22"/>
          <w:szCs w:val="22"/>
        </w:rPr>
        <w:t xml:space="preserve">. </w:t>
      </w:r>
      <w:r w:rsidRPr="00E9388C">
        <w:rPr>
          <w:rFonts w:ascii="Calibri" w:hAnsi="Calibri" w:cs="Calibri"/>
          <w:sz w:val="22"/>
          <w:szCs w:val="22"/>
        </w:rPr>
        <w:t xml:space="preserve">Selection of ideal patient for surgical intervention and linking the patient to quality surgical services is essential to obtain the benefit of surgical intervention. </w:t>
      </w:r>
      <w:r w:rsidR="00B97068">
        <w:rPr>
          <w:rFonts w:ascii="Calibri" w:hAnsi="Calibri" w:cs="Calibri"/>
          <w:sz w:val="22"/>
          <w:szCs w:val="22"/>
        </w:rPr>
        <w:t xml:space="preserve">A </w:t>
      </w:r>
      <w:r w:rsidR="00BC6999">
        <w:rPr>
          <w:rFonts w:ascii="Calibri" w:hAnsi="Calibri" w:cs="Calibri"/>
          <w:sz w:val="22"/>
          <w:szCs w:val="22"/>
        </w:rPr>
        <w:t>very small</w:t>
      </w:r>
      <w:r w:rsidR="00B97068" w:rsidRPr="00E9388C">
        <w:rPr>
          <w:rFonts w:ascii="Calibri" w:hAnsi="Calibri" w:cs="Calibri"/>
          <w:sz w:val="22"/>
          <w:szCs w:val="22"/>
        </w:rPr>
        <w:t xml:space="preserve"> proportion of patient may require hospitalization during initial or terminal stage. Model of care </w:t>
      </w:r>
      <w:r w:rsidR="00D66B88">
        <w:rPr>
          <w:rFonts w:ascii="Calibri" w:hAnsi="Calibri" w:cs="Calibri"/>
          <w:sz w:val="22"/>
          <w:szCs w:val="22"/>
        </w:rPr>
        <w:t>will</w:t>
      </w:r>
      <w:r w:rsidR="00B97068" w:rsidRPr="00E9388C">
        <w:rPr>
          <w:rFonts w:ascii="Calibri" w:hAnsi="Calibri" w:cs="Calibri"/>
          <w:sz w:val="22"/>
          <w:szCs w:val="22"/>
        </w:rPr>
        <w:t xml:space="preserve"> be established to provide end-of-life care and proper TB infection control to patients who have no effective treatment alternatives.   </w:t>
      </w:r>
    </w:p>
    <w:p w14:paraId="68BC50FD" w14:textId="1E324741" w:rsidR="00B97068" w:rsidRPr="00B97068" w:rsidRDefault="00597CF1" w:rsidP="00B97068">
      <w:pPr>
        <w:pStyle w:val="m-7769361439298232180m-7252191122409359175gmail-msolistparagraph"/>
        <w:spacing w:before="0" w:beforeAutospacing="0" w:after="0" w:afterAutospacing="0"/>
        <w:jc w:val="both"/>
        <w:rPr>
          <w:rFonts w:ascii="Calibri" w:hAnsi="Calibri" w:cs="Calibri"/>
          <w:sz w:val="22"/>
          <w:szCs w:val="22"/>
        </w:rPr>
      </w:pPr>
      <w:r>
        <w:rPr>
          <w:rFonts w:ascii="Calibri" w:hAnsi="Calibri" w:cs="Calibri"/>
          <w:b/>
          <w:sz w:val="22"/>
          <w:szCs w:val="22"/>
        </w:rPr>
        <w:t>4.2.3</w:t>
      </w:r>
      <w:r w:rsidR="007B135B" w:rsidRPr="007B135B">
        <w:rPr>
          <w:rFonts w:ascii="Calibri" w:hAnsi="Calibri" w:cs="Calibri"/>
          <w:b/>
          <w:sz w:val="22"/>
          <w:szCs w:val="22"/>
        </w:rPr>
        <w:t>.1</w:t>
      </w:r>
      <w:r w:rsidR="007B135B">
        <w:rPr>
          <w:rFonts w:ascii="Calibri" w:hAnsi="Calibri" w:cs="Calibri"/>
          <w:sz w:val="22"/>
          <w:szCs w:val="22"/>
        </w:rPr>
        <w:t xml:space="preserve"> </w:t>
      </w:r>
      <w:r w:rsidR="00B97068" w:rsidRPr="00B97068">
        <w:rPr>
          <w:rFonts w:ascii="Calibri" w:hAnsi="Calibri" w:cs="Calibri"/>
          <w:sz w:val="22"/>
          <w:szCs w:val="22"/>
        </w:rPr>
        <w:t>Country wide mapping of availability of services including private/ NGO/other sectors.</w:t>
      </w:r>
    </w:p>
    <w:p w14:paraId="1B7BD780" w14:textId="78786863" w:rsidR="00B97068" w:rsidRPr="00B97068" w:rsidRDefault="00B97068" w:rsidP="00B97068">
      <w:pPr>
        <w:pStyle w:val="m-7769361439298232180m-7252191122409359175gmail-msolistparagraph"/>
        <w:spacing w:before="0" w:beforeAutospacing="0" w:after="0" w:afterAutospacing="0"/>
        <w:jc w:val="both"/>
        <w:rPr>
          <w:rFonts w:ascii="Calibri" w:hAnsi="Calibri" w:cs="Calibri"/>
          <w:sz w:val="22"/>
          <w:szCs w:val="22"/>
        </w:rPr>
      </w:pPr>
      <w:r w:rsidRPr="00B97068">
        <w:rPr>
          <w:rFonts w:ascii="Calibri" w:hAnsi="Calibri" w:cs="Calibri"/>
          <w:sz w:val="22"/>
          <w:szCs w:val="22"/>
        </w:rPr>
        <w:t>Development of patient selection protocol and escalation protocol for appropriate referral of patients; capacity building of field staff and medical officer</w:t>
      </w:r>
    </w:p>
    <w:p w14:paraId="7906F7F4" w14:textId="15018319" w:rsidR="00B97068" w:rsidRPr="00B97068" w:rsidRDefault="00597CF1" w:rsidP="00B97068">
      <w:pPr>
        <w:pStyle w:val="m-7769361439298232180m-7252191122409359175gmail-msolistparagraph"/>
        <w:spacing w:before="0" w:beforeAutospacing="0" w:after="0" w:afterAutospacing="0"/>
        <w:jc w:val="both"/>
        <w:rPr>
          <w:rFonts w:ascii="Calibri" w:hAnsi="Calibri" w:cs="Calibri"/>
          <w:sz w:val="22"/>
          <w:szCs w:val="22"/>
        </w:rPr>
      </w:pPr>
      <w:r>
        <w:rPr>
          <w:rFonts w:ascii="Calibri" w:hAnsi="Calibri" w:cs="Calibri"/>
          <w:b/>
          <w:sz w:val="22"/>
          <w:szCs w:val="22"/>
        </w:rPr>
        <w:t>4.2.3</w:t>
      </w:r>
      <w:r w:rsidR="00B97068">
        <w:rPr>
          <w:rFonts w:ascii="Calibri" w:hAnsi="Calibri" w:cs="Calibri"/>
          <w:b/>
          <w:sz w:val="22"/>
          <w:szCs w:val="22"/>
        </w:rPr>
        <w:t xml:space="preserve">.2 </w:t>
      </w:r>
      <w:r w:rsidR="00B97068" w:rsidRPr="00B97068">
        <w:rPr>
          <w:rFonts w:ascii="Calibri" w:hAnsi="Calibri" w:cs="Calibri"/>
          <w:sz w:val="22"/>
          <w:szCs w:val="22"/>
        </w:rPr>
        <w:t>Establishment of geographical linkages between institutions and coverage areas.</w:t>
      </w:r>
    </w:p>
    <w:p w14:paraId="1B633D29" w14:textId="3B58B454" w:rsidR="00B97068" w:rsidRPr="00B97068" w:rsidRDefault="00597CF1" w:rsidP="00B97068">
      <w:pPr>
        <w:pStyle w:val="m-7769361439298232180m-7252191122409359175gmail-msolistparagraph"/>
        <w:spacing w:before="0" w:beforeAutospacing="0" w:after="0" w:afterAutospacing="0"/>
        <w:jc w:val="both"/>
        <w:rPr>
          <w:rFonts w:ascii="Calibri" w:hAnsi="Calibri" w:cs="Calibri"/>
          <w:sz w:val="22"/>
          <w:szCs w:val="22"/>
        </w:rPr>
      </w:pPr>
      <w:r>
        <w:rPr>
          <w:rFonts w:ascii="Calibri" w:hAnsi="Calibri" w:cs="Calibri"/>
          <w:b/>
          <w:sz w:val="22"/>
          <w:szCs w:val="22"/>
        </w:rPr>
        <w:t>4.2.3</w:t>
      </w:r>
      <w:r w:rsidR="00B97068">
        <w:rPr>
          <w:rFonts w:ascii="Calibri" w:hAnsi="Calibri" w:cs="Calibri"/>
          <w:b/>
          <w:sz w:val="22"/>
          <w:szCs w:val="22"/>
        </w:rPr>
        <w:t>.3</w:t>
      </w:r>
      <w:r w:rsidR="00B97068" w:rsidRPr="00B97068">
        <w:rPr>
          <w:rFonts w:ascii="Calibri" w:hAnsi="Calibri" w:cs="Calibri"/>
          <w:sz w:val="22"/>
          <w:szCs w:val="22"/>
        </w:rPr>
        <w:tab/>
        <w:t>Resource allocation and capacity building of health institutes to enhance coverage and type of surgical services provided.</w:t>
      </w:r>
    </w:p>
    <w:p w14:paraId="492E0890" w14:textId="185C9CF2" w:rsidR="00B97068" w:rsidRPr="00B97068" w:rsidRDefault="00597CF1" w:rsidP="00B97068">
      <w:pPr>
        <w:pStyle w:val="m-7769361439298232180m-7252191122409359175gmail-msolistparagraph"/>
        <w:spacing w:before="0" w:beforeAutospacing="0" w:after="0" w:afterAutospacing="0"/>
        <w:jc w:val="both"/>
        <w:rPr>
          <w:rFonts w:ascii="Calibri" w:hAnsi="Calibri" w:cs="Calibri"/>
          <w:sz w:val="22"/>
          <w:szCs w:val="22"/>
        </w:rPr>
      </w:pPr>
      <w:r>
        <w:rPr>
          <w:rFonts w:ascii="Calibri" w:hAnsi="Calibri" w:cs="Calibri"/>
          <w:b/>
          <w:sz w:val="22"/>
          <w:szCs w:val="22"/>
        </w:rPr>
        <w:t>4.2.3</w:t>
      </w:r>
      <w:r w:rsidR="00B97068">
        <w:rPr>
          <w:rFonts w:ascii="Calibri" w:hAnsi="Calibri" w:cs="Calibri"/>
          <w:b/>
          <w:sz w:val="22"/>
          <w:szCs w:val="22"/>
        </w:rPr>
        <w:t>.4</w:t>
      </w:r>
      <w:r w:rsidR="00B97068" w:rsidRPr="00B97068">
        <w:rPr>
          <w:rFonts w:ascii="Calibri" w:hAnsi="Calibri" w:cs="Calibri"/>
          <w:sz w:val="22"/>
          <w:szCs w:val="22"/>
        </w:rPr>
        <w:tab/>
        <w:t>Initial pilot in selected health facilities followed by evidence based expansion of services through various modalities including partnership options.</w:t>
      </w:r>
    </w:p>
    <w:p w14:paraId="7967A093" w14:textId="24D3C09B" w:rsidR="00E9388C" w:rsidRPr="00E9388C" w:rsidRDefault="00597CF1" w:rsidP="00B97068">
      <w:pPr>
        <w:pStyle w:val="m-7769361439298232180m-7252191122409359175gmail-msolistparagraph"/>
        <w:spacing w:before="0" w:beforeAutospacing="0" w:after="0" w:afterAutospacing="0"/>
        <w:jc w:val="both"/>
        <w:rPr>
          <w:rFonts w:ascii="Calibri" w:hAnsi="Calibri" w:cs="Calibri"/>
          <w:sz w:val="22"/>
          <w:szCs w:val="22"/>
        </w:rPr>
      </w:pPr>
      <w:r>
        <w:rPr>
          <w:rFonts w:ascii="Calibri" w:hAnsi="Calibri" w:cs="Calibri"/>
          <w:b/>
          <w:sz w:val="22"/>
          <w:szCs w:val="22"/>
        </w:rPr>
        <w:t>4.2.3</w:t>
      </w:r>
      <w:r w:rsidR="00B97068">
        <w:rPr>
          <w:rFonts w:ascii="Calibri" w:hAnsi="Calibri" w:cs="Calibri"/>
          <w:b/>
          <w:sz w:val="22"/>
          <w:szCs w:val="22"/>
        </w:rPr>
        <w:t>.5</w:t>
      </w:r>
      <w:r w:rsidR="00B97068" w:rsidRPr="00B97068">
        <w:rPr>
          <w:rFonts w:ascii="Calibri" w:hAnsi="Calibri" w:cs="Calibri"/>
          <w:sz w:val="22"/>
          <w:szCs w:val="22"/>
        </w:rPr>
        <w:tab/>
        <w:t>Operational research to understand the cost effectiveness and cost-benefit analysis of palliative and rehabilitation services.</w:t>
      </w:r>
    </w:p>
    <w:p w14:paraId="1B093075" w14:textId="4D563372" w:rsidR="007B135B" w:rsidRPr="007B135B" w:rsidRDefault="00597CF1" w:rsidP="00E9388C">
      <w:pPr>
        <w:pStyle w:val="m-7769361439298232180m-7252191122409359175gmail-msolistparagraph"/>
        <w:shd w:val="clear" w:color="auto" w:fill="FFFFFF"/>
        <w:spacing w:before="0" w:beforeAutospacing="0" w:after="0" w:afterAutospacing="0"/>
        <w:jc w:val="both"/>
        <w:rPr>
          <w:rFonts w:ascii="Calibri" w:hAnsi="Calibri" w:cs="Calibri"/>
          <w:b/>
          <w:sz w:val="22"/>
          <w:szCs w:val="22"/>
        </w:rPr>
      </w:pPr>
      <w:r>
        <w:rPr>
          <w:rFonts w:ascii="Calibri" w:hAnsi="Calibri" w:cs="Calibri"/>
          <w:b/>
          <w:sz w:val="22"/>
          <w:szCs w:val="22"/>
        </w:rPr>
        <w:t>4.2.3</w:t>
      </w:r>
      <w:r w:rsidR="00406924">
        <w:rPr>
          <w:rFonts w:ascii="Calibri" w:hAnsi="Calibri" w:cs="Calibri"/>
          <w:b/>
          <w:sz w:val="22"/>
          <w:szCs w:val="22"/>
        </w:rPr>
        <w:t>.6</w:t>
      </w:r>
      <w:r w:rsidR="007B135B">
        <w:rPr>
          <w:rFonts w:ascii="Calibri" w:hAnsi="Calibri" w:cs="Calibri"/>
          <w:b/>
          <w:sz w:val="22"/>
          <w:szCs w:val="22"/>
        </w:rPr>
        <w:t xml:space="preserve"> </w:t>
      </w:r>
      <w:r w:rsidR="007B135B" w:rsidRPr="007B135B">
        <w:rPr>
          <w:rFonts w:ascii="Calibri" w:hAnsi="Calibri" w:cs="Calibri"/>
          <w:b/>
          <w:sz w:val="22"/>
          <w:szCs w:val="22"/>
        </w:rPr>
        <w:t>Put in place</w:t>
      </w:r>
      <w:r w:rsidR="00E9388C" w:rsidRPr="007B135B">
        <w:rPr>
          <w:rFonts w:ascii="Calibri" w:hAnsi="Calibri" w:cs="Calibri"/>
          <w:b/>
          <w:sz w:val="22"/>
          <w:szCs w:val="22"/>
        </w:rPr>
        <w:t xml:space="preserve"> robust systems for post-treatment rehabilitation</w:t>
      </w:r>
      <w:r w:rsidR="007B135B" w:rsidRPr="007B135B">
        <w:rPr>
          <w:rFonts w:ascii="Calibri" w:hAnsi="Calibri" w:cs="Calibri"/>
          <w:b/>
          <w:sz w:val="22"/>
          <w:szCs w:val="22"/>
        </w:rPr>
        <w:t xml:space="preserve">: </w:t>
      </w:r>
    </w:p>
    <w:p w14:paraId="33852A8B" w14:textId="52A33E71" w:rsidR="007B135B" w:rsidRDefault="00E9388C" w:rsidP="009136E5">
      <w:pPr>
        <w:pStyle w:val="m-7769361439298232180m-7252191122409359175gmail-msolistparagraph"/>
        <w:numPr>
          <w:ilvl w:val="0"/>
          <w:numId w:val="53"/>
        </w:numPr>
        <w:shd w:val="clear" w:color="auto" w:fill="FFFFFF"/>
        <w:spacing w:before="0" w:beforeAutospacing="0" w:after="0" w:afterAutospacing="0"/>
        <w:jc w:val="both"/>
        <w:rPr>
          <w:rFonts w:ascii="Calibri" w:hAnsi="Calibri" w:cs="Calibri"/>
          <w:sz w:val="22"/>
          <w:szCs w:val="22"/>
        </w:rPr>
      </w:pPr>
      <w:r w:rsidRPr="00E9388C">
        <w:rPr>
          <w:rFonts w:ascii="Calibri" w:hAnsi="Calibri" w:cs="Calibri"/>
          <w:sz w:val="22"/>
          <w:szCs w:val="22"/>
        </w:rPr>
        <w:t xml:space="preserve">Peer to peer counselling can be a low-cost high-impact strategy to address some of these issues. Institutional provisions, must be put in place if individuals are to successfully complete treatment, and return to their normal lives. </w:t>
      </w:r>
    </w:p>
    <w:p w14:paraId="0C390D44" w14:textId="37CD0709" w:rsidR="007B135B" w:rsidRDefault="00DD4E49" w:rsidP="009136E5">
      <w:pPr>
        <w:pStyle w:val="m-7769361439298232180m-7252191122409359175gmail-msolistparagraph"/>
        <w:numPr>
          <w:ilvl w:val="0"/>
          <w:numId w:val="53"/>
        </w:numPr>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lastRenderedPageBreak/>
        <w:t>W</w:t>
      </w:r>
      <w:r w:rsidR="007B135B">
        <w:rPr>
          <w:rFonts w:ascii="Calibri" w:hAnsi="Calibri" w:cs="Calibri"/>
          <w:sz w:val="22"/>
          <w:szCs w:val="22"/>
        </w:rPr>
        <w:t>ork out</w:t>
      </w:r>
      <w:r>
        <w:rPr>
          <w:rFonts w:ascii="Calibri" w:hAnsi="Calibri" w:cs="Calibri"/>
          <w:sz w:val="22"/>
          <w:szCs w:val="22"/>
        </w:rPr>
        <w:t xml:space="preserve"> mechanisms</w:t>
      </w:r>
      <w:r w:rsidR="007B135B">
        <w:rPr>
          <w:rFonts w:ascii="Calibri" w:hAnsi="Calibri" w:cs="Calibri"/>
          <w:sz w:val="22"/>
          <w:szCs w:val="22"/>
        </w:rPr>
        <w:t xml:space="preserve"> to address “r</w:t>
      </w:r>
      <w:r w:rsidR="00E9388C" w:rsidRPr="00E9388C">
        <w:rPr>
          <w:rFonts w:ascii="Calibri" w:hAnsi="Calibri" w:cs="Calibri"/>
          <w:sz w:val="22"/>
          <w:szCs w:val="22"/>
        </w:rPr>
        <w:t>eturning to jobs</w:t>
      </w:r>
      <w:r w:rsidR="00A26440">
        <w:rPr>
          <w:rFonts w:ascii="Calibri" w:hAnsi="Calibri" w:cs="Calibri"/>
          <w:sz w:val="22"/>
          <w:szCs w:val="22"/>
        </w:rPr>
        <w:t>”</w:t>
      </w:r>
      <w:r w:rsidR="00E9388C" w:rsidRPr="00E9388C">
        <w:rPr>
          <w:rFonts w:ascii="Calibri" w:hAnsi="Calibri" w:cs="Calibri"/>
          <w:sz w:val="22"/>
          <w:szCs w:val="22"/>
        </w:rPr>
        <w:t xml:space="preserve"> or to their education</w:t>
      </w:r>
      <w:r w:rsidR="00A26440">
        <w:rPr>
          <w:rFonts w:ascii="Calibri" w:hAnsi="Calibri" w:cs="Calibri"/>
          <w:sz w:val="22"/>
          <w:szCs w:val="22"/>
        </w:rPr>
        <w:t xml:space="preserve">, </w:t>
      </w:r>
      <w:r w:rsidR="00E9388C" w:rsidRPr="00E9388C">
        <w:rPr>
          <w:rFonts w:ascii="Calibri" w:hAnsi="Calibri" w:cs="Calibri"/>
          <w:sz w:val="22"/>
          <w:szCs w:val="22"/>
        </w:rPr>
        <w:t>as many workplaces and educational institutions do not provide leave for extended periods. Moreover, physiological challenges like constant stigma and discrimination that individuals face from friends, family and even healthcare workers</w:t>
      </w:r>
      <w:r w:rsidR="00A26440">
        <w:rPr>
          <w:rFonts w:ascii="Calibri" w:hAnsi="Calibri" w:cs="Calibri"/>
          <w:sz w:val="22"/>
          <w:szCs w:val="22"/>
        </w:rPr>
        <w:t xml:space="preserve"> will be addressed in the strategy</w:t>
      </w:r>
      <w:r w:rsidR="00E9388C" w:rsidRPr="00E9388C">
        <w:rPr>
          <w:rFonts w:ascii="Calibri" w:hAnsi="Calibri" w:cs="Calibri"/>
          <w:sz w:val="22"/>
          <w:szCs w:val="22"/>
        </w:rPr>
        <w:t xml:space="preserve">. </w:t>
      </w:r>
    </w:p>
    <w:p w14:paraId="7E093592" w14:textId="73729C29" w:rsidR="00E9388C" w:rsidRDefault="00A26440" w:rsidP="009136E5">
      <w:pPr>
        <w:pStyle w:val="m-7769361439298232180m-7252191122409359175gmail-msolistparagraph"/>
        <w:numPr>
          <w:ilvl w:val="0"/>
          <w:numId w:val="53"/>
        </w:numPr>
        <w:shd w:val="clear" w:color="auto" w:fill="FFFFFF"/>
        <w:spacing w:before="0" w:beforeAutospacing="0" w:after="240" w:afterAutospacing="0"/>
        <w:jc w:val="both"/>
        <w:rPr>
          <w:rFonts w:ascii="Calibri" w:hAnsi="Calibri" w:cs="Calibri"/>
          <w:sz w:val="22"/>
          <w:szCs w:val="22"/>
        </w:rPr>
      </w:pPr>
      <w:r>
        <w:rPr>
          <w:rFonts w:ascii="Calibri" w:hAnsi="Calibri" w:cs="Calibri"/>
          <w:sz w:val="22"/>
          <w:szCs w:val="22"/>
        </w:rPr>
        <w:t>Provide n</w:t>
      </w:r>
      <w:r w:rsidR="00E9388C" w:rsidRPr="00E9388C">
        <w:rPr>
          <w:rFonts w:ascii="Calibri" w:hAnsi="Calibri" w:cs="Calibri"/>
          <w:sz w:val="22"/>
          <w:szCs w:val="22"/>
        </w:rPr>
        <w:t xml:space="preserve">utritional support </w:t>
      </w:r>
      <w:r>
        <w:rPr>
          <w:rFonts w:ascii="Calibri" w:hAnsi="Calibri" w:cs="Calibri"/>
          <w:sz w:val="22"/>
          <w:szCs w:val="22"/>
        </w:rPr>
        <w:t>in the</w:t>
      </w:r>
      <w:r w:rsidR="00E9388C" w:rsidRPr="00E9388C">
        <w:rPr>
          <w:rFonts w:ascii="Calibri" w:hAnsi="Calibri" w:cs="Calibri"/>
          <w:sz w:val="22"/>
          <w:szCs w:val="22"/>
        </w:rPr>
        <w:t xml:space="preserve"> post treatment period.</w:t>
      </w:r>
      <w:r w:rsidR="00A75913">
        <w:rPr>
          <w:rFonts w:ascii="Calibri" w:hAnsi="Calibri" w:cs="Calibri"/>
          <w:sz w:val="22"/>
          <w:szCs w:val="22"/>
        </w:rPr>
        <w:t xml:space="preserve"> </w:t>
      </w:r>
    </w:p>
    <w:p w14:paraId="310E0855" w14:textId="6F3F5014" w:rsidR="00AF6BB9" w:rsidRPr="00AF6BB9" w:rsidRDefault="00AF6BB9" w:rsidP="000F432A">
      <w:pPr>
        <w:pStyle w:val="m-7769361439298232180m-7252191122409359175gmail-msolistparagraph"/>
        <w:shd w:val="clear" w:color="auto" w:fill="FFFFFF"/>
        <w:spacing w:before="0" w:beforeAutospacing="0" w:after="0" w:afterAutospacing="0"/>
        <w:jc w:val="both"/>
        <w:rPr>
          <w:rFonts w:ascii="Calibri" w:hAnsi="Calibri" w:cs="Calibri"/>
          <w:b/>
          <w:sz w:val="22"/>
          <w:szCs w:val="22"/>
          <w:shd w:val="clear" w:color="auto" w:fill="FFFFFF"/>
          <w:lang w:val="en-US"/>
        </w:rPr>
      </w:pPr>
      <w:r>
        <w:rPr>
          <w:rFonts w:ascii="Calibri" w:hAnsi="Calibri" w:cs="Calibri"/>
          <w:b/>
          <w:sz w:val="22"/>
          <w:szCs w:val="22"/>
          <w:shd w:val="clear" w:color="auto" w:fill="FFFFFF"/>
          <w:lang w:val="en-US"/>
        </w:rPr>
        <w:t xml:space="preserve">4.2.4 </w:t>
      </w:r>
      <w:r w:rsidR="006C0970" w:rsidRPr="006C0970">
        <w:rPr>
          <w:rFonts w:ascii="Calibri" w:hAnsi="Calibri" w:cs="Calibri"/>
          <w:b/>
          <w:sz w:val="22"/>
          <w:szCs w:val="22"/>
          <w:shd w:val="clear" w:color="auto" w:fill="FFFFFF"/>
          <w:lang w:val="en-US"/>
        </w:rPr>
        <w:t>aDSM</w:t>
      </w:r>
      <w:r w:rsidR="006C0970" w:rsidRPr="006C0970" w:rsidDel="0010536B">
        <w:rPr>
          <w:rFonts w:ascii="Calibri" w:hAnsi="Calibri" w:cs="Calibri"/>
          <w:b/>
          <w:sz w:val="22"/>
          <w:szCs w:val="22"/>
          <w:shd w:val="clear" w:color="auto" w:fill="FFFFFF"/>
          <w:lang w:val="en-US"/>
        </w:rPr>
        <w:t xml:space="preserve"> </w:t>
      </w:r>
      <w:r w:rsidR="006C0970" w:rsidRPr="006C0970">
        <w:rPr>
          <w:rFonts w:ascii="Calibri" w:hAnsi="Calibri" w:cs="Calibri"/>
          <w:b/>
          <w:bCs/>
          <w:sz w:val="22"/>
          <w:szCs w:val="22"/>
          <w:shd w:val="clear" w:color="auto" w:fill="FFFFFF"/>
          <w:lang w:val="en-US"/>
        </w:rPr>
        <w:t>(Adverse Drug Safety Monitoring)</w:t>
      </w:r>
      <w:r w:rsidR="006C0970" w:rsidRPr="006C0970">
        <w:rPr>
          <w:rFonts w:ascii="Calibri" w:hAnsi="Calibri" w:cs="Calibri"/>
          <w:b/>
          <w:sz w:val="22"/>
          <w:szCs w:val="22"/>
          <w:shd w:val="clear" w:color="auto" w:fill="FFFFFF"/>
          <w:lang w:val="en-US"/>
        </w:rPr>
        <w:t>:</w:t>
      </w:r>
    </w:p>
    <w:p w14:paraId="026277E7" w14:textId="13A4B587" w:rsidR="00AF6BB9" w:rsidRPr="00AF6BB9" w:rsidRDefault="00AF6BB9" w:rsidP="000F432A">
      <w:pPr>
        <w:pStyle w:val="m-7769361439298232180m-7252191122409359175gmail-msolistparagraph"/>
        <w:shd w:val="clear" w:color="auto" w:fill="FFFFFF"/>
        <w:spacing w:before="0" w:beforeAutospacing="0" w:after="0" w:afterAutospacing="0"/>
        <w:jc w:val="both"/>
        <w:rPr>
          <w:rFonts w:ascii="Calibri" w:hAnsi="Calibri" w:cs="Calibri"/>
          <w:sz w:val="22"/>
          <w:szCs w:val="22"/>
          <w:shd w:val="clear" w:color="auto" w:fill="FFFFFF"/>
          <w:lang w:val="en-US"/>
        </w:rPr>
      </w:pPr>
      <w:r w:rsidRPr="000F432A">
        <w:rPr>
          <w:rFonts w:ascii="Calibri" w:hAnsi="Calibri" w:cs="Calibri"/>
          <w:b/>
          <w:sz w:val="22"/>
          <w:szCs w:val="22"/>
          <w:shd w:val="clear" w:color="auto" w:fill="FFFFFF"/>
          <w:lang w:val="en-US"/>
        </w:rPr>
        <w:t>4.2.4.1</w:t>
      </w:r>
      <w:r>
        <w:rPr>
          <w:rFonts w:ascii="Calibri" w:hAnsi="Calibri" w:cs="Calibri"/>
          <w:sz w:val="22"/>
          <w:szCs w:val="22"/>
          <w:shd w:val="clear" w:color="auto" w:fill="FFFFFF"/>
          <w:lang w:val="en-US"/>
        </w:rPr>
        <w:t xml:space="preserve"> </w:t>
      </w:r>
      <w:r w:rsidRPr="00AF6BB9">
        <w:rPr>
          <w:rFonts w:ascii="Calibri" w:hAnsi="Calibri" w:cs="Calibri"/>
          <w:sz w:val="22"/>
          <w:szCs w:val="22"/>
          <w:shd w:val="clear" w:color="auto" w:fill="FFFFFF"/>
          <w:lang w:val="en-US"/>
        </w:rPr>
        <w:t>aDSM toolkit to be implemented to improve ADR management, timely reporting and monitoring through NIKSHAY which becomes more relevant considering the use of new drugs and regimens for DR-TB patients.</w:t>
      </w:r>
    </w:p>
    <w:p w14:paraId="5DFFF058" w14:textId="700B70CC" w:rsidR="00A75913" w:rsidRDefault="00AF6BB9" w:rsidP="008E4376">
      <w:pPr>
        <w:pStyle w:val="m-7769361439298232180m-7252191122409359175gmail-msolistparagraph"/>
        <w:shd w:val="clear" w:color="auto" w:fill="FFFFFF"/>
        <w:spacing w:before="0" w:beforeAutospacing="0" w:after="240" w:afterAutospacing="0"/>
        <w:jc w:val="both"/>
        <w:rPr>
          <w:rFonts w:ascii="Calibri" w:hAnsi="Calibri" w:cs="Calibri"/>
          <w:sz w:val="22"/>
          <w:szCs w:val="22"/>
          <w:shd w:val="clear" w:color="auto" w:fill="FFFFFF"/>
          <w:lang w:val="en-US"/>
        </w:rPr>
      </w:pPr>
      <w:r w:rsidRPr="000F432A">
        <w:rPr>
          <w:rFonts w:ascii="Calibri" w:hAnsi="Calibri" w:cs="Calibri"/>
          <w:b/>
          <w:sz w:val="22"/>
          <w:szCs w:val="22"/>
          <w:shd w:val="clear" w:color="auto" w:fill="FFFFFF"/>
          <w:lang w:val="en-US"/>
        </w:rPr>
        <w:t>4.2.4.2</w:t>
      </w:r>
      <w:r>
        <w:rPr>
          <w:rFonts w:ascii="Calibri" w:hAnsi="Calibri" w:cs="Calibri"/>
          <w:sz w:val="22"/>
          <w:szCs w:val="22"/>
          <w:shd w:val="clear" w:color="auto" w:fill="FFFFFF"/>
          <w:lang w:val="en-US"/>
        </w:rPr>
        <w:t xml:space="preserve"> </w:t>
      </w:r>
      <w:r w:rsidRPr="00AF6BB9">
        <w:rPr>
          <w:rFonts w:ascii="Calibri" w:hAnsi="Calibri" w:cs="Calibri"/>
          <w:sz w:val="22"/>
          <w:szCs w:val="22"/>
          <w:shd w:val="clear" w:color="auto" w:fill="FFFFFF"/>
          <w:lang w:val="en-US"/>
        </w:rPr>
        <w:t>Develop and incorporate the “Clinical Decision Tool (CDS)” into NIKSHAY</w:t>
      </w:r>
      <w:r w:rsidR="00460897">
        <w:rPr>
          <w:rFonts w:ascii="Calibri" w:hAnsi="Calibri" w:cs="Calibri"/>
          <w:sz w:val="22"/>
          <w:szCs w:val="22"/>
          <w:shd w:val="clear" w:color="auto" w:fill="FFFFFF"/>
          <w:lang w:val="en-US"/>
        </w:rPr>
        <w:t xml:space="preserve"> </w:t>
      </w:r>
    </w:p>
    <w:p w14:paraId="47C13BD5" w14:textId="221F8E10" w:rsidR="00460897" w:rsidRPr="00460897" w:rsidRDefault="00460897" w:rsidP="00460897">
      <w:pPr>
        <w:shd w:val="clear" w:color="auto" w:fill="FFFFFF"/>
        <w:spacing w:before="0" w:after="0"/>
        <w:rPr>
          <w:rFonts w:ascii="Calibri" w:eastAsia="Times New Roman" w:hAnsi="Calibri" w:cs="Calibri"/>
          <w:b/>
          <w:color w:val="222222"/>
          <w:sz w:val="24"/>
          <w:szCs w:val="24"/>
          <w:lang w:val="en-IN" w:eastAsia="en-IN"/>
        </w:rPr>
      </w:pPr>
      <w:r w:rsidRPr="00460897">
        <w:rPr>
          <w:rFonts w:ascii="Calibri" w:eastAsia="Times New Roman" w:hAnsi="Calibri" w:cs="Calibri"/>
          <w:b/>
          <w:color w:val="222222"/>
          <w:sz w:val="24"/>
          <w:szCs w:val="24"/>
          <w:lang w:val="en-IN" w:eastAsia="en-IN"/>
        </w:rPr>
        <w:t xml:space="preserve">4.2.5 Establish a Centre of Excellence for DRTB </w:t>
      </w:r>
    </w:p>
    <w:p w14:paraId="4CAAC833" w14:textId="5B21289A" w:rsidR="00460897" w:rsidRPr="00460897" w:rsidRDefault="00460897" w:rsidP="00460897">
      <w:pPr>
        <w:shd w:val="clear" w:color="auto" w:fill="FFFFFF"/>
        <w:spacing w:before="0" w:after="0"/>
        <w:jc w:val="both"/>
        <w:rPr>
          <w:rFonts w:ascii="Arial" w:eastAsia="Times New Roman" w:hAnsi="Arial" w:cs="Arial"/>
          <w:color w:val="222222"/>
          <w:sz w:val="24"/>
          <w:szCs w:val="24"/>
          <w:lang w:val="en-IN" w:eastAsia="en-IN"/>
        </w:rPr>
      </w:pPr>
      <w:r w:rsidRPr="00460897">
        <w:rPr>
          <w:rFonts w:ascii="Calibri" w:eastAsia="Times New Roman" w:hAnsi="Calibri" w:cs="Calibri"/>
          <w:color w:val="222222"/>
          <w:sz w:val="24"/>
          <w:szCs w:val="24"/>
          <w:lang w:val="en-IN" w:eastAsia="en-IN"/>
        </w:rPr>
        <w:t xml:space="preserve">The </w:t>
      </w:r>
      <w:r w:rsidRPr="00460897">
        <w:rPr>
          <w:rFonts w:ascii="Calibri" w:eastAsia="Times New Roman" w:hAnsi="Calibri" w:cs="Calibri"/>
          <w:bCs/>
          <w:color w:val="222222"/>
          <w:sz w:val="24"/>
          <w:szCs w:val="24"/>
          <w:lang w:val="en-IN" w:eastAsia="en-IN"/>
        </w:rPr>
        <w:t>National TB Elimination Programme (NTEP)</w:t>
      </w:r>
      <w:r w:rsidRPr="00460897">
        <w:rPr>
          <w:rFonts w:ascii="Calibri" w:eastAsia="Times New Roman" w:hAnsi="Calibri" w:cs="Calibri"/>
          <w:color w:val="222222"/>
          <w:sz w:val="24"/>
          <w:szCs w:val="24"/>
          <w:lang w:val="en-IN" w:eastAsia="en-IN"/>
        </w:rPr>
        <w:t xml:space="preserve"> is implementing a decentralized model of care for universal access to quality DR TB services. Nucleic Acid Amplification Test (NAAT) has been adopted as the first-choice diagnostic to diagnose DR TB. The country has introduced new drugs i.e., Bedaquiline and Delamanid, shorter treatment regimen (STR) and DST guided treatment regimen. Decentralised C&amp;DST laboratory network and two-tier treatment network comprising both nodal and District DR TBC have been established in the country for DR TB diagnostic and follow up services. The institutional linkages for the referral, treatment, reporting, mentoring and monitoring in DRTB space need to be effectuated as those within the tiered diagnostic network. Therefore, NTEP is putting a lot of efforts towards </w:t>
      </w:r>
      <w:r w:rsidRPr="00460897">
        <w:rPr>
          <w:rFonts w:ascii="Calibri" w:eastAsia="Times New Roman" w:hAnsi="Calibri" w:cs="Calibri"/>
          <w:b/>
          <w:bCs/>
          <w:color w:val="222222"/>
          <w:sz w:val="24"/>
          <w:szCs w:val="24"/>
          <w:lang w:val="en-IN" w:eastAsia="en-IN"/>
        </w:rPr>
        <w:t>institutional strengthening</w:t>
      </w:r>
      <w:r w:rsidRPr="00460897">
        <w:rPr>
          <w:rFonts w:ascii="Calibri" w:eastAsia="Times New Roman" w:hAnsi="Calibri" w:cs="Calibri"/>
          <w:color w:val="222222"/>
          <w:sz w:val="24"/>
          <w:szCs w:val="24"/>
          <w:lang w:val="en-IN" w:eastAsia="en-IN"/>
        </w:rPr>
        <w:t xml:space="preserve"> to ensure high quality patient centric DRTB services across all institutions and states and further improve detection and treatment outcomes of DRTB patients.</w:t>
      </w:r>
    </w:p>
    <w:p w14:paraId="4ECF343A" w14:textId="6AF00580" w:rsidR="00460897" w:rsidRPr="00460897" w:rsidRDefault="00460897" w:rsidP="00460897">
      <w:pPr>
        <w:shd w:val="clear" w:color="auto" w:fill="FFFFFF"/>
        <w:spacing w:before="0" w:after="0"/>
        <w:jc w:val="both"/>
        <w:rPr>
          <w:rFonts w:ascii="Arial" w:eastAsia="Times New Roman" w:hAnsi="Arial" w:cs="Arial"/>
          <w:color w:val="222222"/>
          <w:sz w:val="24"/>
          <w:szCs w:val="24"/>
          <w:lang w:val="en-IN" w:eastAsia="en-IN"/>
        </w:rPr>
      </w:pPr>
      <w:r w:rsidRPr="00460897">
        <w:rPr>
          <w:rFonts w:ascii="Calibri" w:eastAsia="Times New Roman" w:hAnsi="Calibri" w:cs="Calibri"/>
          <w:bCs/>
          <w:color w:val="222222"/>
          <w:sz w:val="24"/>
          <w:szCs w:val="24"/>
          <w:lang w:val="en-IN" w:eastAsia="en-IN"/>
        </w:rPr>
        <w:t xml:space="preserve"> The NSP for TB Elimination 202</w:t>
      </w:r>
      <w:r>
        <w:rPr>
          <w:rFonts w:ascii="Calibri" w:eastAsia="Times New Roman" w:hAnsi="Calibri" w:cs="Calibri"/>
          <w:bCs/>
          <w:color w:val="222222"/>
          <w:sz w:val="24"/>
          <w:szCs w:val="24"/>
          <w:lang w:val="en-IN" w:eastAsia="en-IN"/>
        </w:rPr>
        <w:t>0</w:t>
      </w:r>
      <w:r w:rsidRPr="00460897">
        <w:rPr>
          <w:rFonts w:ascii="Calibri" w:eastAsia="Times New Roman" w:hAnsi="Calibri" w:cs="Calibri"/>
          <w:bCs/>
          <w:color w:val="222222"/>
          <w:sz w:val="24"/>
          <w:szCs w:val="24"/>
          <w:lang w:val="en-IN" w:eastAsia="en-IN"/>
        </w:rPr>
        <w:t>-2025</w:t>
      </w:r>
      <w:r w:rsidRPr="00460897">
        <w:rPr>
          <w:rFonts w:ascii="Calibri" w:eastAsia="Times New Roman" w:hAnsi="Calibri" w:cs="Calibri"/>
          <w:color w:val="222222"/>
          <w:sz w:val="24"/>
          <w:szCs w:val="24"/>
          <w:lang w:val="en-IN" w:eastAsia="en-IN"/>
        </w:rPr>
        <w:t>, envisages expanded scope of activities of medical colleges with increasing diagnostic and treatment services in newer areas of TB control efforts. This will include establishing Centres of excellence (COEs) as a mechanism for institutional strengthening for DR-TB care. Plans are underway to establish at least five CoE in different regions of India. </w:t>
      </w:r>
    </w:p>
    <w:p w14:paraId="7E137DE4" w14:textId="41325B21" w:rsidR="00460897" w:rsidRPr="00460897" w:rsidRDefault="00460897" w:rsidP="00460897">
      <w:pPr>
        <w:shd w:val="clear" w:color="auto" w:fill="FFFFFF"/>
        <w:spacing w:before="0" w:after="60"/>
        <w:jc w:val="both"/>
        <w:rPr>
          <w:rFonts w:ascii="Arial" w:eastAsia="Times New Roman" w:hAnsi="Arial" w:cs="Arial"/>
          <w:color w:val="222222"/>
          <w:sz w:val="24"/>
          <w:szCs w:val="24"/>
          <w:lang w:val="en-IN" w:eastAsia="en-IN"/>
        </w:rPr>
      </w:pPr>
      <w:r w:rsidRPr="00460897">
        <w:rPr>
          <w:rFonts w:ascii="Calibri" w:eastAsia="Times New Roman" w:hAnsi="Calibri" w:cs="Calibri"/>
          <w:color w:val="222222"/>
          <w:sz w:val="24"/>
          <w:szCs w:val="24"/>
          <w:lang w:val="en-IN" w:eastAsia="en-IN"/>
        </w:rPr>
        <w:t xml:space="preserve">Developing </w:t>
      </w:r>
      <w:r w:rsidRPr="00460897">
        <w:rPr>
          <w:rFonts w:ascii="Calibri" w:eastAsia="Times New Roman" w:hAnsi="Calibri" w:cs="Calibri"/>
          <w:b/>
          <w:bCs/>
          <w:color w:val="222222"/>
          <w:sz w:val="24"/>
          <w:szCs w:val="24"/>
          <w:lang w:val="en-IN" w:eastAsia="en-IN"/>
        </w:rPr>
        <w:t>Centres of excellence (CoEs)</w:t>
      </w:r>
      <w:r w:rsidRPr="00460897">
        <w:rPr>
          <w:rFonts w:ascii="Calibri" w:eastAsia="Times New Roman" w:hAnsi="Calibri" w:cs="Calibri"/>
          <w:color w:val="222222"/>
          <w:sz w:val="24"/>
          <w:szCs w:val="24"/>
          <w:lang w:val="en-IN" w:eastAsia="en-IN"/>
        </w:rPr>
        <w:t xml:space="preserve"> for innovating, executing, and establishing excellence in DR-TB care and building the capacities of other institution that provide TB services will help in improving case detection and treatment success rate among DR-TB patients. CoEs will play a critical role in diffusing skills and expertise across the public and private healthcare facilities, to increase efficiencies across clinics, hospitals, laboratories and pharmacies, and enable successful treatment outcomes. The CoEs can work on a Hub and Spoke model to allow for the rapid spread of state-of-the-art tools and evidence, while simultaneously providing guidance and mentoring to spoke institution to offer standards of excellence across every state. The concept of centre of excellence may be priorities for specialized clinical services like ADR management, </w:t>
      </w:r>
      <w:r w:rsidR="00F51523" w:rsidRPr="00460897">
        <w:rPr>
          <w:rFonts w:ascii="Calibri" w:eastAsia="Times New Roman" w:hAnsi="Calibri" w:cs="Calibri"/>
          <w:color w:val="222222"/>
          <w:sz w:val="24"/>
          <w:szCs w:val="24"/>
          <w:lang w:val="en-IN" w:eastAsia="en-IN"/>
        </w:rPr>
        <w:t>surgical</w:t>
      </w:r>
      <w:r w:rsidRPr="00460897">
        <w:rPr>
          <w:rFonts w:ascii="Calibri" w:eastAsia="Times New Roman" w:hAnsi="Calibri" w:cs="Calibri"/>
          <w:color w:val="222222"/>
          <w:sz w:val="24"/>
          <w:szCs w:val="24"/>
          <w:lang w:val="en-IN" w:eastAsia="en-IN"/>
        </w:rPr>
        <w:t xml:space="preserve"> interventions, Palliative care, Pulmonary Rehabilitation etc., As well as for the programmatic components like Monitoring and evaluation, Analytical excellence, social determinants, advocacy strategies etc.</w:t>
      </w:r>
    </w:p>
    <w:p w14:paraId="34F9D920" w14:textId="77777777" w:rsidR="00460897" w:rsidRPr="00AF6BB9" w:rsidRDefault="00460897" w:rsidP="00AF6BB9">
      <w:pPr>
        <w:pStyle w:val="m-7769361439298232180m-7252191122409359175gmail-msolistparagraph"/>
        <w:shd w:val="clear" w:color="auto" w:fill="FFFFFF"/>
        <w:spacing w:before="0" w:beforeAutospacing="0" w:after="0" w:afterAutospacing="0"/>
        <w:jc w:val="both"/>
        <w:rPr>
          <w:rFonts w:ascii="Calibri" w:hAnsi="Calibri" w:cs="Calibri"/>
          <w:sz w:val="22"/>
          <w:szCs w:val="22"/>
        </w:rPr>
      </w:pPr>
    </w:p>
    <w:p w14:paraId="688F337C" w14:textId="77777777" w:rsidR="00460897" w:rsidRDefault="00460897">
      <w:pPr>
        <w:spacing w:before="0" w:after="0"/>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229E1DF7" w14:textId="01F32997" w:rsidR="007B4AB3" w:rsidRDefault="00AE4638" w:rsidP="00AE4638">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E85991">
        <w:rPr>
          <w:rFonts w:asciiTheme="minorHAnsi" w:hAnsiTheme="minorHAnsi" w:cstheme="minorHAnsi"/>
          <w:b/>
          <w:snapToGrid w:val="0"/>
          <w:color w:val="auto"/>
          <w:sz w:val="36"/>
        </w:rPr>
        <w:t>28</w:t>
      </w:r>
    </w:p>
    <w:p w14:paraId="3553498A" w14:textId="03089A36" w:rsidR="00AE4638" w:rsidRPr="007B4AB3" w:rsidRDefault="007B4AB3" w:rsidP="007B4AB3">
      <w:pPr>
        <w:shd w:val="clear" w:color="auto" w:fill="17365D" w:themeFill="text2" w:themeFillShade="BF"/>
        <w:spacing w:before="0" w:after="0"/>
        <w:jc w:val="right"/>
        <w:rPr>
          <w:b/>
          <w:sz w:val="28"/>
        </w:rPr>
      </w:pPr>
      <w:r>
        <w:rPr>
          <w:b/>
          <w:sz w:val="28"/>
        </w:rPr>
        <w:t xml:space="preserve">NSP </w:t>
      </w:r>
      <w:r w:rsidRPr="006B7923">
        <w:rPr>
          <w:b/>
          <w:sz w:val="28"/>
        </w:rPr>
        <w:t xml:space="preserve">STRATEGIC AREA </w:t>
      </w:r>
      <w:r>
        <w:rPr>
          <w:b/>
          <w:sz w:val="28"/>
        </w:rPr>
        <w:t>4.3</w:t>
      </w:r>
    </w:p>
    <w:p w14:paraId="57390554" w14:textId="572016DD" w:rsidR="00AE4638" w:rsidRDefault="008C5EBB" w:rsidP="00AE4638">
      <w:pPr>
        <w:pStyle w:val="Heading1"/>
        <w:tabs>
          <w:tab w:val="num" w:pos="5670"/>
        </w:tabs>
        <w:rPr>
          <w:rFonts w:asciiTheme="minorHAnsi" w:hAnsiTheme="minorHAnsi" w:cstheme="minorHAnsi"/>
          <w:b/>
          <w:snapToGrid w:val="0"/>
          <w:color w:val="auto"/>
        </w:rPr>
      </w:pPr>
      <w:r>
        <w:rPr>
          <w:rFonts w:asciiTheme="minorHAnsi" w:hAnsiTheme="minorHAnsi" w:cstheme="minorHAnsi"/>
          <w:b/>
          <w:snapToGrid w:val="0"/>
          <w:color w:val="auto"/>
        </w:rPr>
        <w:t>Addressing TB in priority populations</w:t>
      </w:r>
    </w:p>
    <w:p w14:paraId="1679044A" w14:textId="53E722A2" w:rsidR="008858C9" w:rsidRPr="00C0403B" w:rsidRDefault="00D756D3" w:rsidP="00777BD4">
      <w:pPr>
        <w:jc w:val="both"/>
        <w:rPr>
          <w:rFonts w:asciiTheme="minorHAnsi" w:hAnsiTheme="minorHAnsi" w:cstheme="minorHAnsi"/>
          <w:b/>
          <w:color w:val="C86A07" w:themeColor="accent2" w:themeShade="BF"/>
          <w:sz w:val="28"/>
          <w:lang w:val="en"/>
        </w:rPr>
      </w:pPr>
      <w:bookmarkStart w:id="68" w:name="_se4z5vg1fsyg" w:colFirst="0" w:colLast="0"/>
      <w:bookmarkStart w:id="69" w:name="_fo02dnub15rt" w:colFirst="0" w:colLast="0"/>
      <w:bookmarkStart w:id="70" w:name="_lej9ekfpyje7" w:colFirst="0" w:colLast="0"/>
      <w:bookmarkEnd w:id="68"/>
      <w:bookmarkEnd w:id="69"/>
      <w:bookmarkEnd w:id="70"/>
      <w:r>
        <w:rPr>
          <w:rFonts w:asciiTheme="minorHAnsi" w:hAnsiTheme="minorHAnsi" w:cstheme="minorHAnsi"/>
          <w:b/>
          <w:color w:val="C86A07" w:themeColor="accent2" w:themeShade="BF"/>
          <w:sz w:val="28"/>
          <w:lang w:val="en"/>
        </w:rPr>
        <w:t>2</w:t>
      </w:r>
      <w:r w:rsidR="00E85991">
        <w:rPr>
          <w:rFonts w:asciiTheme="minorHAnsi" w:hAnsiTheme="minorHAnsi" w:cstheme="minorHAnsi"/>
          <w:b/>
          <w:color w:val="C86A07" w:themeColor="accent2" w:themeShade="BF"/>
          <w:sz w:val="28"/>
          <w:lang w:val="en"/>
        </w:rPr>
        <w:t>8</w:t>
      </w:r>
      <w:r>
        <w:rPr>
          <w:rFonts w:asciiTheme="minorHAnsi" w:hAnsiTheme="minorHAnsi" w:cstheme="minorHAnsi"/>
          <w:b/>
          <w:color w:val="C86A07" w:themeColor="accent2" w:themeShade="BF"/>
          <w:sz w:val="28"/>
          <w:lang w:val="en"/>
        </w:rPr>
        <w:t xml:space="preserve">.1 </w:t>
      </w:r>
      <w:r w:rsidR="00777BD4" w:rsidRPr="00C0403B">
        <w:rPr>
          <w:rFonts w:asciiTheme="minorHAnsi" w:hAnsiTheme="minorHAnsi" w:cstheme="minorHAnsi"/>
          <w:b/>
          <w:color w:val="C86A07" w:themeColor="accent2" w:themeShade="BF"/>
          <w:sz w:val="28"/>
          <w:lang w:val="en"/>
        </w:rPr>
        <w:t>INTRODUCTION</w:t>
      </w:r>
    </w:p>
    <w:p w14:paraId="778A34DC" w14:textId="101D25A5" w:rsidR="008858C9" w:rsidRPr="008858C9" w:rsidRDefault="008858C9" w:rsidP="008858C9">
      <w:pPr>
        <w:spacing w:before="0" w:after="0"/>
        <w:jc w:val="both"/>
        <w:rPr>
          <w:rFonts w:asciiTheme="minorHAnsi" w:hAnsiTheme="minorHAnsi" w:cstheme="minorHAnsi"/>
          <w:sz w:val="22"/>
        </w:rPr>
      </w:pPr>
      <w:r w:rsidRPr="008858C9">
        <w:rPr>
          <w:rFonts w:asciiTheme="minorHAnsi" w:hAnsiTheme="minorHAnsi" w:cstheme="minorHAnsi"/>
          <w:sz w:val="22"/>
        </w:rPr>
        <w:t xml:space="preserve">The National Strategic Plan (2017-25) identified “Priority populations” as a disadvantaged group of people as compared to others, due to their reduced access to </w:t>
      </w:r>
      <w:r w:rsidR="009A5F79">
        <w:rPr>
          <w:rFonts w:asciiTheme="minorHAnsi" w:hAnsiTheme="minorHAnsi" w:cstheme="minorHAnsi"/>
          <w:sz w:val="22"/>
        </w:rPr>
        <w:t>health</w:t>
      </w:r>
      <w:r w:rsidRPr="008858C9">
        <w:rPr>
          <w:rFonts w:asciiTheme="minorHAnsi" w:hAnsiTheme="minorHAnsi" w:cstheme="minorHAnsi"/>
          <w:sz w:val="22"/>
        </w:rPr>
        <w:t xml:space="preserve"> services and the underlying determinants of health, posing challenges for TB control. With a higher disease burden than the general population, it is pertinent that TB burden in these special populations is adequately addressed and appropriate linkages to TB services to End TB.</w:t>
      </w:r>
      <w:r>
        <w:rPr>
          <w:rFonts w:asciiTheme="minorHAnsi" w:hAnsiTheme="minorHAnsi" w:cstheme="minorHAnsi"/>
          <w:sz w:val="22"/>
        </w:rPr>
        <w:t xml:space="preserve"> The current updated NSP </w:t>
      </w:r>
      <w:r w:rsidR="00E20F7B">
        <w:rPr>
          <w:rFonts w:asciiTheme="minorHAnsi" w:hAnsiTheme="minorHAnsi" w:cstheme="minorHAnsi"/>
          <w:sz w:val="22"/>
        </w:rPr>
        <w:t xml:space="preserve">2020-25   </w:t>
      </w:r>
      <w:r>
        <w:rPr>
          <w:rFonts w:asciiTheme="minorHAnsi" w:hAnsiTheme="minorHAnsi" w:cstheme="minorHAnsi"/>
          <w:sz w:val="22"/>
        </w:rPr>
        <w:t xml:space="preserve"> continues with the same classification.</w:t>
      </w:r>
    </w:p>
    <w:p w14:paraId="7EEB78D1" w14:textId="77D8C2B8" w:rsidR="008858C9" w:rsidRPr="008858C9" w:rsidRDefault="00694311" w:rsidP="008858C9">
      <w:pPr>
        <w:spacing w:before="0" w:after="0"/>
        <w:rPr>
          <w:rFonts w:asciiTheme="minorHAnsi" w:hAnsiTheme="minorHAnsi" w:cstheme="minorHAnsi"/>
          <w:sz w:val="22"/>
        </w:rPr>
      </w:pPr>
      <w:r w:rsidRPr="00734B6A">
        <w:rPr>
          <w:rFonts w:asciiTheme="minorHAnsi" w:hAnsiTheme="minorHAnsi" w:cstheme="minorHAnsi"/>
          <w:noProof/>
          <w:sz w:val="22"/>
          <w:lang w:val="en-IN" w:eastAsia="en-IN"/>
        </w:rPr>
        <w:drawing>
          <wp:inline distT="0" distB="0" distL="0" distR="0" wp14:anchorId="51B31789" wp14:editId="158FB444">
            <wp:extent cx="5725160" cy="1965278"/>
            <wp:effectExtent l="19050" t="38100" r="46990" b="5461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117B0C39" w14:textId="714FB74D" w:rsidR="008858C9" w:rsidRDefault="008858C9" w:rsidP="008858C9">
      <w:pPr>
        <w:spacing w:before="0" w:after="0"/>
        <w:rPr>
          <w:rFonts w:asciiTheme="minorHAnsi" w:hAnsiTheme="minorHAnsi" w:cstheme="minorHAnsi"/>
          <w:b/>
          <w:sz w:val="18"/>
          <w:szCs w:val="18"/>
        </w:rPr>
      </w:pPr>
      <w:r w:rsidRPr="00694311">
        <w:rPr>
          <w:rFonts w:asciiTheme="minorHAnsi" w:hAnsiTheme="minorHAnsi" w:cstheme="minorHAnsi"/>
          <w:b/>
          <w:sz w:val="18"/>
          <w:szCs w:val="18"/>
        </w:rPr>
        <w:t xml:space="preserve">Source: Stop TB Partnership, Global Plan to End TB – Paradigm Shift, 2015. </w:t>
      </w:r>
      <w:r w:rsidR="00E02ED3">
        <w:rPr>
          <w:rFonts w:asciiTheme="minorHAnsi" w:hAnsiTheme="minorHAnsi" w:cstheme="minorHAnsi"/>
          <w:b/>
          <w:sz w:val="18"/>
          <w:szCs w:val="18"/>
        </w:rPr>
        <w:t xml:space="preserve">Some </w:t>
      </w:r>
      <w:r w:rsidRPr="00694311">
        <w:rPr>
          <w:rFonts w:asciiTheme="minorHAnsi" w:hAnsiTheme="minorHAnsi" w:cstheme="minorHAnsi"/>
          <w:b/>
          <w:sz w:val="18"/>
          <w:szCs w:val="18"/>
        </w:rPr>
        <w:t>groups added to match the Indian</w:t>
      </w:r>
      <w:r w:rsidR="00E02ED3">
        <w:rPr>
          <w:rFonts w:asciiTheme="minorHAnsi" w:hAnsiTheme="minorHAnsi" w:cstheme="minorHAnsi"/>
          <w:b/>
          <w:sz w:val="18"/>
          <w:szCs w:val="18"/>
        </w:rPr>
        <w:t xml:space="preserve"> context</w:t>
      </w:r>
      <w:r w:rsidRPr="00694311">
        <w:rPr>
          <w:rFonts w:asciiTheme="minorHAnsi" w:hAnsiTheme="minorHAnsi" w:cstheme="minorHAnsi"/>
          <w:b/>
          <w:sz w:val="18"/>
          <w:szCs w:val="18"/>
        </w:rPr>
        <w:t xml:space="preserve"> </w:t>
      </w:r>
    </w:p>
    <w:p w14:paraId="040239FC" w14:textId="5E3C7B5B" w:rsidR="00694311" w:rsidRPr="00C0403B" w:rsidRDefault="00D756D3" w:rsidP="00694311">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E85991">
        <w:rPr>
          <w:rFonts w:asciiTheme="minorHAnsi" w:hAnsiTheme="minorHAnsi" w:cstheme="minorHAnsi"/>
          <w:b/>
          <w:color w:val="C86A07" w:themeColor="accent2" w:themeShade="BF"/>
          <w:sz w:val="28"/>
          <w:lang w:val="en"/>
        </w:rPr>
        <w:t>8</w:t>
      </w:r>
      <w:r>
        <w:rPr>
          <w:rFonts w:asciiTheme="minorHAnsi" w:hAnsiTheme="minorHAnsi" w:cstheme="minorHAnsi"/>
          <w:b/>
          <w:color w:val="C86A07" w:themeColor="accent2" w:themeShade="BF"/>
          <w:sz w:val="28"/>
          <w:lang w:val="en"/>
        </w:rPr>
        <w:t xml:space="preserve">.2 </w:t>
      </w:r>
      <w:r w:rsidR="00694311" w:rsidRPr="00C0403B">
        <w:rPr>
          <w:rFonts w:asciiTheme="minorHAnsi" w:hAnsiTheme="minorHAnsi" w:cstheme="minorHAnsi"/>
          <w:b/>
          <w:color w:val="C86A07" w:themeColor="accent2" w:themeShade="BF"/>
          <w:sz w:val="28"/>
          <w:lang w:val="en"/>
        </w:rPr>
        <w:t>THE PROGRESS SO FAR:</w:t>
      </w:r>
    </w:p>
    <w:p w14:paraId="4EE4D0EA" w14:textId="1A37E868" w:rsidR="008858C9" w:rsidRPr="008858C9" w:rsidRDefault="00694311" w:rsidP="008858C9">
      <w:pPr>
        <w:spacing w:before="0" w:after="0"/>
        <w:rPr>
          <w:rFonts w:asciiTheme="minorHAnsi" w:hAnsiTheme="minorHAnsi" w:cstheme="minorHAnsi"/>
          <w:sz w:val="22"/>
        </w:rPr>
      </w:pPr>
      <w:r>
        <w:rPr>
          <w:rFonts w:asciiTheme="minorHAnsi" w:hAnsiTheme="minorHAnsi" w:cstheme="minorHAnsi"/>
          <w:sz w:val="22"/>
        </w:rPr>
        <w:t xml:space="preserve">Since </w:t>
      </w:r>
      <w:r w:rsidR="008858C9" w:rsidRPr="008858C9">
        <w:rPr>
          <w:rFonts w:asciiTheme="minorHAnsi" w:hAnsiTheme="minorHAnsi" w:cstheme="minorHAnsi"/>
          <w:sz w:val="22"/>
        </w:rPr>
        <w:t>2017</w:t>
      </w:r>
      <w:r>
        <w:rPr>
          <w:rFonts w:asciiTheme="minorHAnsi" w:hAnsiTheme="minorHAnsi" w:cstheme="minorHAnsi"/>
          <w:sz w:val="22"/>
        </w:rPr>
        <w:t xml:space="preserve"> s</w:t>
      </w:r>
      <w:r w:rsidRPr="008858C9">
        <w:rPr>
          <w:rFonts w:asciiTheme="minorHAnsi" w:hAnsiTheme="minorHAnsi" w:cstheme="minorHAnsi"/>
          <w:sz w:val="22"/>
        </w:rPr>
        <w:t xml:space="preserve">everal new initiatives </w:t>
      </w:r>
      <w:r>
        <w:rPr>
          <w:rFonts w:asciiTheme="minorHAnsi" w:hAnsiTheme="minorHAnsi" w:cstheme="minorHAnsi"/>
          <w:sz w:val="22"/>
        </w:rPr>
        <w:t xml:space="preserve">have been </w:t>
      </w:r>
      <w:r w:rsidRPr="008858C9">
        <w:rPr>
          <w:rFonts w:asciiTheme="minorHAnsi" w:hAnsiTheme="minorHAnsi" w:cstheme="minorHAnsi"/>
          <w:sz w:val="22"/>
        </w:rPr>
        <w:t xml:space="preserve">undertaken </w:t>
      </w:r>
      <w:r>
        <w:rPr>
          <w:rFonts w:asciiTheme="minorHAnsi" w:hAnsiTheme="minorHAnsi" w:cstheme="minorHAnsi"/>
          <w:sz w:val="22"/>
        </w:rPr>
        <w:t xml:space="preserve">to </w:t>
      </w:r>
      <w:r w:rsidR="00E02ED3">
        <w:rPr>
          <w:rFonts w:asciiTheme="minorHAnsi" w:hAnsiTheme="minorHAnsi" w:cstheme="minorHAnsi"/>
          <w:sz w:val="22"/>
        </w:rPr>
        <w:t xml:space="preserve">expand programme reach to cover more vulnerable and affected populations.  </w:t>
      </w:r>
    </w:p>
    <w:p w14:paraId="299F5073" w14:textId="21427770" w:rsidR="008858C9" w:rsidRPr="008858C9" w:rsidRDefault="008858C9" w:rsidP="009136E5">
      <w:pPr>
        <w:numPr>
          <w:ilvl w:val="0"/>
          <w:numId w:val="52"/>
        </w:numPr>
        <w:spacing w:before="0" w:after="0"/>
        <w:jc w:val="both"/>
        <w:rPr>
          <w:rFonts w:asciiTheme="minorHAnsi" w:hAnsiTheme="minorHAnsi" w:cstheme="minorHAnsi"/>
          <w:sz w:val="22"/>
        </w:rPr>
      </w:pPr>
      <w:r w:rsidRPr="008858C9">
        <w:rPr>
          <w:rFonts w:asciiTheme="minorHAnsi" w:hAnsiTheme="minorHAnsi" w:cstheme="minorHAnsi"/>
          <w:sz w:val="22"/>
        </w:rPr>
        <w:t xml:space="preserve">In order to address the TB burden in all the priority populations in a holistic manner, TB comorbidity </w:t>
      </w:r>
      <w:r w:rsidRPr="008858C9">
        <w:rPr>
          <w:rFonts w:asciiTheme="minorHAnsi" w:hAnsiTheme="minorHAnsi" w:cstheme="minorHAnsi"/>
          <w:b/>
          <w:sz w:val="22"/>
        </w:rPr>
        <w:t xml:space="preserve">collaborative mechanisms </w:t>
      </w:r>
      <w:r w:rsidRPr="008858C9">
        <w:rPr>
          <w:rFonts w:asciiTheme="minorHAnsi" w:hAnsiTheme="minorHAnsi" w:cstheme="minorHAnsi"/>
          <w:sz w:val="22"/>
        </w:rPr>
        <w:t xml:space="preserve">have been put in place at the National, State and District levels, leveraging on the TB-HIV coordination mechanisms already in place. This mechanism would involve NACP, NPCDCS, NTCP, MCH, </w:t>
      </w:r>
      <w:r w:rsidR="00F51523" w:rsidRPr="008858C9">
        <w:rPr>
          <w:rFonts w:asciiTheme="minorHAnsi" w:hAnsiTheme="minorHAnsi" w:cstheme="minorHAnsi"/>
          <w:sz w:val="22"/>
        </w:rPr>
        <w:t>and HWC</w:t>
      </w:r>
      <w:r w:rsidRPr="008858C9">
        <w:rPr>
          <w:rFonts w:asciiTheme="minorHAnsi" w:hAnsiTheme="minorHAnsi" w:cstheme="minorHAnsi"/>
          <w:sz w:val="22"/>
        </w:rPr>
        <w:t>.</w:t>
      </w:r>
    </w:p>
    <w:p w14:paraId="5FDE25EA" w14:textId="4939DC05" w:rsidR="008858C9" w:rsidRPr="008858C9" w:rsidRDefault="008858C9" w:rsidP="009136E5">
      <w:pPr>
        <w:numPr>
          <w:ilvl w:val="0"/>
          <w:numId w:val="52"/>
        </w:numPr>
        <w:spacing w:before="0" w:after="0"/>
        <w:jc w:val="both"/>
        <w:rPr>
          <w:rFonts w:asciiTheme="minorHAnsi" w:hAnsiTheme="minorHAnsi" w:cstheme="minorHAnsi"/>
          <w:sz w:val="22"/>
        </w:rPr>
      </w:pPr>
      <w:r w:rsidRPr="008858C9">
        <w:rPr>
          <w:rFonts w:asciiTheme="minorHAnsi" w:hAnsiTheme="minorHAnsi" w:cstheme="minorHAnsi"/>
          <w:sz w:val="22"/>
        </w:rPr>
        <w:t xml:space="preserve">The </w:t>
      </w:r>
      <w:r w:rsidRPr="008858C9">
        <w:rPr>
          <w:rFonts w:asciiTheme="minorHAnsi" w:hAnsiTheme="minorHAnsi" w:cstheme="minorHAnsi"/>
          <w:b/>
          <w:sz w:val="22"/>
        </w:rPr>
        <w:t xml:space="preserve">nodal person </w:t>
      </w:r>
      <w:r w:rsidRPr="008858C9">
        <w:rPr>
          <w:rFonts w:asciiTheme="minorHAnsi" w:hAnsiTheme="minorHAnsi" w:cstheme="minorHAnsi"/>
          <w:sz w:val="22"/>
        </w:rPr>
        <w:t xml:space="preserve">for TB-comorbidities has been identified at all levels, with clear definition of the roles and responsibilities. To further strengthen the TB-HIV collaboration, District TB officers have </w:t>
      </w:r>
      <w:r w:rsidR="009A5F79">
        <w:rPr>
          <w:rFonts w:asciiTheme="minorHAnsi" w:hAnsiTheme="minorHAnsi" w:cstheme="minorHAnsi"/>
          <w:sz w:val="22"/>
        </w:rPr>
        <w:t xml:space="preserve">also </w:t>
      </w:r>
      <w:r w:rsidRPr="008858C9">
        <w:rPr>
          <w:rFonts w:asciiTheme="minorHAnsi" w:hAnsiTheme="minorHAnsi" w:cstheme="minorHAnsi"/>
          <w:sz w:val="22"/>
        </w:rPr>
        <w:t>been nominated as District AIDS control officers.</w:t>
      </w:r>
    </w:p>
    <w:p w14:paraId="68616F8D" w14:textId="2311F85E" w:rsidR="008858C9" w:rsidRPr="008858C9" w:rsidRDefault="008858C9" w:rsidP="009136E5">
      <w:pPr>
        <w:numPr>
          <w:ilvl w:val="0"/>
          <w:numId w:val="52"/>
        </w:numPr>
        <w:spacing w:before="0" w:after="0"/>
        <w:jc w:val="both"/>
        <w:rPr>
          <w:rFonts w:asciiTheme="minorHAnsi" w:hAnsiTheme="minorHAnsi" w:cstheme="minorHAnsi"/>
          <w:sz w:val="22"/>
        </w:rPr>
      </w:pPr>
      <w:r w:rsidRPr="008858C9">
        <w:rPr>
          <w:rFonts w:asciiTheme="minorHAnsi" w:hAnsiTheme="minorHAnsi" w:cstheme="minorHAnsi"/>
          <w:b/>
          <w:sz w:val="22"/>
        </w:rPr>
        <w:t xml:space="preserve">Collaborative frameworks </w:t>
      </w:r>
      <w:r w:rsidRPr="008858C9">
        <w:rPr>
          <w:rFonts w:asciiTheme="minorHAnsi" w:hAnsiTheme="minorHAnsi" w:cstheme="minorHAnsi"/>
          <w:sz w:val="22"/>
        </w:rPr>
        <w:t xml:space="preserve">for TB and priority comorbidities (TB/DM, TB/tobacco, TB/nutrition, </w:t>
      </w:r>
      <w:r w:rsidR="00F51523" w:rsidRPr="008858C9">
        <w:rPr>
          <w:rFonts w:asciiTheme="minorHAnsi" w:hAnsiTheme="minorHAnsi" w:cstheme="minorHAnsi"/>
          <w:sz w:val="22"/>
        </w:rPr>
        <w:t>and TB</w:t>
      </w:r>
      <w:r w:rsidRPr="008858C9">
        <w:rPr>
          <w:rFonts w:asciiTheme="minorHAnsi" w:hAnsiTheme="minorHAnsi" w:cstheme="minorHAnsi"/>
          <w:sz w:val="22"/>
        </w:rPr>
        <w:t xml:space="preserve">/Gender) have been rolled out in addition to the existing TB-HIV collaborative framework. Scope of TB-HIV collaborative activities has been expanded to include addressing TB and HIV burden in congregate settings, vulnerable populations for HIV and pregnant women. </w:t>
      </w:r>
    </w:p>
    <w:p w14:paraId="22D9492F" w14:textId="43AFDFE0" w:rsidR="00876569" w:rsidRDefault="00876569" w:rsidP="009136E5">
      <w:pPr>
        <w:numPr>
          <w:ilvl w:val="0"/>
          <w:numId w:val="52"/>
        </w:numPr>
        <w:spacing w:before="0" w:after="0"/>
        <w:jc w:val="both"/>
        <w:rPr>
          <w:rFonts w:asciiTheme="minorHAnsi" w:hAnsiTheme="minorHAnsi" w:cstheme="minorHAnsi"/>
          <w:sz w:val="22"/>
        </w:rPr>
      </w:pPr>
      <w:r>
        <w:rPr>
          <w:rFonts w:asciiTheme="minorHAnsi" w:hAnsiTheme="minorHAnsi" w:cstheme="minorHAnsi"/>
          <w:b/>
          <w:bCs/>
          <w:sz w:val="22"/>
        </w:rPr>
        <w:t>Centres of excellence</w:t>
      </w:r>
      <w:r>
        <w:rPr>
          <w:rFonts w:asciiTheme="minorHAnsi" w:hAnsiTheme="minorHAnsi" w:cstheme="minorHAnsi"/>
          <w:sz w:val="22"/>
        </w:rPr>
        <w:t xml:space="preserve"> for Pediatric TB have been established as model centers for care, support and treatment and support the programme in capa</w:t>
      </w:r>
      <w:r w:rsidR="009A5F79">
        <w:rPr>
          <w:rFonts w:asciiTheme="minorHAnsi" w:hAnsiTheme="minorHAnsi" w:cstheme="minorHAnsi"/>
          <w:sz w:val="22"/>
        </w:rPr>
        <w:t>city building activities and TB elimination</w:t>
      </w:r>
      <w:r>
        <w:rPr>
          <w:rFonts w:asciiTheme="minorHAnsi" w:hAnsiTheme="minorHAnsi" w:cstheme="minorHAnsi"/>
          <w:sz w:val="22"/>
        </w:rPr>
        <w:t xml:space="preserve"> </w:t>
      </w:r>
      <w:r>
        <w:rPr>
          <w:rFonts w:asciiTheme="minorHAnsi" w:hAnsiTheme="minorHAnsi" w:cstheme="minorHAnsi"/>
          <w:sz w:val="22"/>
        </w:rPr>
        <w:lastRenderedPageBreak/>
        <w:t xml:space="preserve">activities among Pediatric cases. Engagement with </w:t>
      </w:r>
      <w:r>
        <w:rPr>
          <w:rFonts w:asciiTheme="minorHAnsi" w:hAnsiTheme="minorHAnsi" w:cstheme="minorHAnsi"/>
          <w:b/>
          <w:bCs/>
          <w:sz w:val="22"/>
        </w:rPr>
        <w:t>Indian Academy of Pediatrics</w:t>
      </w:r>
      <w:r>
        <w:rPr>
          <w:rFonts w:asciiTheme="minorHAnsi" w:hAnsiTheme="minorHAnsi" w:cstheme="minorHAnsi"/>
          <w:sz w:val="22"/>
        </w:rPr>
        <w:t xml:space="preserve"> has been strengthened through a formal MoU for engagement with private practitioners as well as expertise has been roped in for updating Pediatric TB guidelines. Mainstreaming with Child Health services has been carried out through incorporating TB screening under </w:t>
      </w:r>
      <w:r>
        <w:rPr>
          <w:rFonts w:asciiTheme="minorHAnsi" w:hAnsiTheme="minorHAnsi" w:cstheme="minorHAnsi"/>
          <w:b/>
          <w:bCs/>
          <w:sz w:val="22"/>
        </w:rPr>
        <w:t xml:space="preserve">Rashtriya </w:t>
      </w:r>
      <w:r w:rsidR="00F51523">
        <w:rPr>
          <w:rFonts w:asciiTheme="minorHAnsi" w:hAnsiTheme="minorHAnsi" w:cstheme="minorHAnsi"/>
          <w:b/>
          <w:bCs/>
          <w:sz w:val="22"/>
        </w:rPr>
        <w:t>BAL</w:t>
      </w:r>
      <w:r>
        <w:rPr>
          <w:rFonts w:asciiTheme="minorHAnsi" w:hAnsiTheme="minorHAnsi" w:cstheme="minorHAnsi"/>
          <w:b/>
          <w:bCs/>
          <w:sz w:val="22"/>
        </w:rPr>
        <w:t xml:space="preserve"> Swasthya Karyakram</w:t>
      </w:r>
      <w:r>
        <w:rPr>
          <w:rFonts w:asciiTheme="minorHAnsi" w:hAnsiTheme="minorHAnsi" w:cstheme="minorHAnsi"/>
          <w:sz w:val="22"/>
        </w:rPr>
        <w:t xml:space="preserve"> (RBSK). </w:t>
      </w:r>
    </w:p>
    <w:p w14:paraId="7D01637D" w14:textId="77777777" w:rsidR="008858C9" w:rsidRPr="008858C9" w:rsidRDefault="008858C9" w:rsidP="009136E5">
      <w:pPr>
        <w:numPr>
          <w:ilvl w:val="0"/>
          <w:numId w:val="52"/>
        </w:numPr>
        <w:spacing w:before="0" w:after="0"/>
        <w:jc w:val="both"/>
        <w:rPr>
          <w:rFonts w:asciiTheme="minorHAnsi" w:hAnsiTheme="minorHAnsi" w:cstheme="minorHAnsi"/>
          <w:sz w:val="22"/>
        </w:rPr>
      </w:pPr>
      <w:r w:rsidRPr="008858C9">
        <w:rPr>
          <w:rFonts w:asciiTheme="minorHAnsi" w:hAnsiTheme="minorHAnsi" w:cstheme="minorHAnsi"/>
          <w:sz w:val="22"/>
        </w:rPr>
        <w:t>TB screening has been incorporated as an integral part of Population Based screening in Health and wellness centres along with other-comorbidities. Nutritional support being provided to all TB patients through financial support of 500 INR per month for all notified TB patient</w:t>
      </w:r>
    </w:p>
    <w:p w14:paraId="3952A87F" w14:textId="61E24CBB" w:rsidR="008858C9" w:rsidRPr="008858C9" w:rsidRDefault="008858C9" w:rsidP="009136E5">
      <w:pPr>
        <w:numPr>
          <w:ilvl w:val="0"/>
          <w:numId w:val="52"/>
        </w:numPr>
        <w:spacing w:before="0" w:after="0"/>
        <w:jc w:val="both"/>
        <w:rPr>
          <w:rFonts w:asciiTheme="minorHAnsi" w:hAnsiTheme="minorHAnsi" w:cstheme="minorHAnsi"/>
          <w:sz w:val="22"/>
        </w:rPr>
      </w:pPr>
      <w:r w:rsidRPr="008858C9">
        <w:rPr>
          <w:rFonts w:asciiTheme="minorHAnsi" w:hAnsiTheme="minorHAnsi" w:cstheme="minorHAnsi"/>
          <w:b/>
          <w:sz w:val="22"/>
        </w:rPr>
        <w:t xml:space="preserve">Supervision and monitoring </w:t>
      </w:r>
      <w:r w:rsidRPr="008858C9">
        <w:rPr>
          <w:rFonts w:asciiTheme="minorHAnsi" w:hAnsiTheme="minorHAnsi" w:cstheme="minorHAnsi"/>
          <w:sz w:val="22"/>
        </w:rPr>
        <w:t xml:space="preserve">for TB comorbidity has been strengthened through establishing joint reporting systems, periodic data sharing with respective programmes </w:t>
      </w:r>
      <w:r w:rsidR="00AF41B5">
        <w:rPr>
          <w:rFonts w:asciiTheme="minorHAnsi" w:hAnsiTheme="minorHAnsi" w:cstheme="minorHAnsi"/>
          <w:sz w:val="22"/>
        </w:rPr>
        <w:t>and</w:t>
      </w:r>
      <w:r w:rsidRPr="008858C9">
        <w:rPr>
          <w:rFonts w:asciiTheme="minorHAnsi" w:hAnsiTheme="minorHAnsi" w:cstheme="minorHAnsi"/>
          <w:sz w:val="22"/>
        </w:rPr>
        <w:t xml:space="preserve"> feedback to States, standardizing supervisory tools, undertaking joint review meetings and joint visits with respective programmes.</w:t>
      </w:r>
    </w:p>
    <w:p w14:paraId="3316F42B" w14:textId="686207A0" w:rsidR="008858C9" w:rsidRPr="008858C9" w:rsidRDefault="008858C9" w:rsidP="009136E5">
      <w:pPr>
        <w:numPr>
          <w:ilvl w:val="0"/>
          <w:numId w:val="52"/>
        </w:numPr>
        <w:spacing w:before="0" w:after="0"/>
        <w:jc w:val="both"/>
        <w:rPr>
          <w:rFonts w:asciiTheme="minorHAnsi" w:hAnsiTheme="minorHAnsi" w:cstheme="minorHAnsi"/>
          <w:sz w:val="22"/>
        </w:rPr>
      </w:pPr>
      <w:r w:rsidRPr="008858C9">
        <w:rPr>
          <w:rFonts w:asciiTheme="minorHAnsi" w:hAnsiTheme="minorHAnsi" w:cstheme="minorHAnsi"/>
          <w:sz w:val="22"/>
        </w:rPr>
        <w:t xml:space="preserve">Joint </w:t>
      </w:r>
      <w:r w:rsidRPr="008858C9">
        <w:rPr>
          <w:rFonts w:asciiTheme="minorHAnsi" w:hAnsiTheme="minorHAnsi" w:cstheme="minorHAnsi"/>
          <w:b/>
          <w:sz w:val="22"/>
        </w:rPr>
        <w:t xml:space="preserve">awareness </w:t>
      </w:r>
      <w:r w:rsidRPr="008858C9">
        <w:rPr>
          <w:rFonts w:asciiTheme="minorHAnsi" w:hAnsiTheme="minorHAnsi" w:cstheme="minorHAnsi"/>
          <w:sz w:val="22"/>
        </w:rPr>
        <w:t>campaigns have been undertaken with respective health programmes to address HIV, Diabetes, Tobacco usage</w:t>
      </w:r>
      <w:r w:rsidR="005D0075">
        <w:rPr>
          <w:rFonts w:asciiTheme="minorHAnsi" w:hAnsiTheme="minorHAnsi" w:cstheme="minorHAnsi"/>
          <w:sz w:val="22"/>
        </w:rPr>
        <w:t>,</w:t>
      </w:r>
      <w:r w:rsidRPr="008858C9">
        <w:rPr>
          <w:rFonts w:asciiTheme="minorHAnsi" w:hAnsiTheme="minorHAnsi" w:cstheme="minorHAnsi"/>
          <w:sz w:val="22"/>
        </w:rPr>
        <w:t xml:space="preserve"> and malnutrition burden among TB patients. Awareness activities on Nikshay Poshan Yojana has been included in Poshan Maah/Poshan Pakhwada campaigns of the Poshan Abhiyaan under the Ministry of Women and Child Development.</w:t>
      </w:r>
    </w:p>
    <w:p w14:paraId="12A1DBE8" w14:textId="12A23ABD" w:rsidR="008858C9" w:rsidRPr="008858C9" w:rsidRDefault="008858C9" w:rsidP="009136E5">
      <w:pPr>
        <w:numPr>
          <w:ilvl w:val="0"/>
          <w:numId w:val="52"/>
        </w:numPr>
        <w:spacing w:before="0" w:after="0"/>
        <w:jc w:val="both"/>
        <w:rPr>
          <w:rFonts w:asciiTheme="minorHAnsi" w:hAnsiTheme="minorHAnsi" w:cstheme="minorHAnsi"/>
          <w:sz w:val="22"/>
        </w:rPr>
      </w:pPr>
      <w:r w:rsidRPr="008858C9">
        <w:rPr>
          <w:rFonts w:asciiTheme="minorHAnsi" w:hAnsiTheme="minorHAnsi" w:cstheme="minorHAnsi"/>
          <w:b/>
          <w:sz w:val="22"/>
        </w:rPr>
        <w:t xml:space="preserve">Co-location/linkage </w:t>
      </w:r>
      <w:r w:rsidRPr="008858C9">
        <w:rPr>
          <w:rFonts w:asciiTheme="minorHAnsi" w:hAnsiTheme="minorHAnsi" w:cstheme="minorHAnsi"/>
          <w:sz w:val="22"/>
        </w:rPr>
        <w:t xml:space="preserve">of TB and co-morbidity screening services have been scaled up with 87% and 73% of the </w:t>
      </w:r>
      <w:r w:rsidR="005D0075">
        <w:rPr>
          <w:rFonts w:asciiTheme="minorHAnsi" w:hAnsiTheme="minorHAnsi" w:cstheme="minorHAnsi"/>
          <w:sz w:val="22"/>
        </w:rPr>
        <w:t>tuberculosis diagnostic</w:t>
      </w:r>
      <w:r w:rsidRPr="008858C9">
        <w:rPr>
          <w:rFonts w:asciiTheme="minorHAnsi" w:hAnsiTheme="minorHAnsi" w:cstheme="minorHAnsi"/>
          <w:sz w:val="22"/>
        </w:rPr>
        <w:t xml:space="preserve"> centres co-located with HIV and Blood sugar screening facilities and ~90% of ART centres linked to CBNAAT facilities. </w:t>
      </w:r>
    </w:p>
    <w:p w14:paraId="667E154B" w14:textId="35B9AD8A" w:rsidR="008858C9" w:rsidRPr="008858C9" w:rsidRDefault="008858C9" w:rsidP="009136E5">
      <w:pPr>
        <w:numPr>
          <w:ilvl w:val="0"/>
          <w:numId w:val="52"/>
        </w:numPr>
        <w:spacing w:before="0" w:after="0"/>
        <w:jc w:val="both"/>
        <w:rPr>
          <w:rFonts w:asciiTheme="minorHAnsi" w:hAnsiTheme="minorHAnsi" w:cstheme="minorHAnsi"/>
          <w:sz w:val="22"/>
        </w:rPr>
      </w:pPr>
      <w:r w:rsidRPr="008858C9">
        <w:rPr>
          <w:rFonts w:asciiTheme="minorHAnsi" w:hAnsiTheme="minorHAnsi" w:cstheme="minorHAnsi"/>
          <w:b/>
          <w:sz w:val="22"/>
        </w:rPr>
        <w:t xml:space="preserve">Coverage </w:t>
      </w:r>
      <w:r w:rsidRPr="008858C9">
        <w:rPr>
          <w:rFonts w:asciiTheme="minorHAnsi" w:hAnsiTheme="minorHAnsi" w:cstheme="minorHAnsi"/>
          <w:sz w:val="22"/>
        </w:rPr>
        <w:t>of comorbidity screening among the priority population has been increasing with 81%, 64%, 57% and 46% of TB patients knowing their HIV, Blood sugar, Tobacco usage and alcohol consumption status in 2019. Among those with TB-HIV, TB-Diabetes, TB-Tobacco and TB-Alcohol usage co-morbidity, 94%/96%, 52%, 24% and 31% were linked to Anti-Retr</w:t>
      </w:r>
      <w:r w:rsidR="0034400E">
        <w:rPr>
          <w:rFonts w:asciiTheme="minorHAnsi" w:hAnsiTheme="minorHAnsi" w:cstheme="minorHAnsi"/>
          <w:sz w:val="22"/>
        </w:rPr>
        <w:t>oviral/Co-trimoxazole therapy, anti-diabetic treatment, t</w:t>
      </w:r>
      <w:r w:rsidRPr="008858C9">
        <w:rPr>
          <w:rFonts w:asciiTheme="minorHAnsi" w:hAnsiTheme="minorHAnsi" w:cstheme="minorHAnsi"/>
          <w:sz w:val="22"/>
        </w:rPr>
        <w:t xml:space="preserve">obacco cessation centres and </w:t>
      </w:r>
      <w:r w:rsidR="0034400E" w:rsidRPr="008858C9">
        <w:rPr>
          <w:rFonts w:asciiTheme="minorHAnsi" w:hAnsiTheme="minorHAnsi" w:cstheme="minorHAnsi"/>
          <w:sz w:val="22"/>
        </w:rPr>
        <w:t>deadd</w:t>
      </w:r>
      <w:r w:rsidR="0034400E">
        <w:rPr>
          <w:rFonts w:asciiTheme="minorHAnsi" w:hAnsiTheme="minorHAnsi" w:cstheme="minorHAnsi"/>
          <w:sz w:val="22"/>
        </w:rPr>
        <w:t>i</w:t>
      </w:r>
      <w:r w:rsidR="0034400E" w:rsidRPr="008858C9">
        <w:rPr>
          <w:rFonts w:asciiTheme="minorHAnsi" w:hAnsiTheme="minorHAnsi" w:cstheme="minorHAnsi"/>
          <w:sz w:val="22"/>
        </w:rPr>
        <w:t>ction</w:t>
      </w:r>
      <w:r w:rsidRPr="008858C9">
        <w:rPr>
          <w:rFonts w:asciiTheme="minorHAnsi" w:hAnsiTheme="minorHAnsi" w:cstheme="minorHAnsi"/>
          <w:sz w:val="22"/>
        </w:rPr>
        <w:t xml:space="preserve"> services.</w:t>
      </w:r>
    </w:p>
    <w:p w14:paraId="5C09C3A3" w14:textId="50644FF8" w:rsidR="000525C9" w:rsidRPr="00C0403B" w:rsidRDefault="00D756D3" w:rsidP="00100F99">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E85991">
        <w:rPr>
          <w:rFonts w:asciiTheme="minorHAnsi" w:hAnsiTheme="minorHAnsi" w:cstheme="minorHAnsi"/>
          <w:b/>
          <w:color w:val="C86A07" w:themeColor="accent2" w:themeShade="BF"/>
          <w:sz w:val="28"/>
          <w:lang w:val="en"/>
        </w:rPr>
        <w:t>8</w:t>
      </w:r>
      <w:r>
        <w:rPr>
          <w:rFonts w:asciiTheme="minorHAnsi" w:hAnsiTheme="minorHAnsi" w:cstheme="minorHAnsi"/>
          <w:b/>
          <w:color w:val="C86A07" w:themeColor="accent2" w:themeShade="BF"/>
          <w:sz w:val="28"/>
          <w:lang w:val="en"/>
        </w:rPr>
        <w:t xml:space="preserve">.3 </w:t>
      </w:r>
      <w:r w:rsidR="000525C9" w:rsidRPr="00C0403B">
        <w:rPr>
          <w:rFonts w:asciiTheme="minorHAnsi" w:hAnsiTheme="minorHAnsi" w:cstheme="minorHAnsi"/>
          <w:b/>
          <w:color w:val="C86A07" w:themeColor="accent2" w:themeShade="BF"/>
          <w:sz w:val="28"/>
          <w:lang w:val="en"/>
        </w:rPr>
        <w:t>CHALLENGES REMAIN</w:t>
      </w:r>
    </w:p>
    <w:p w14:paraId="3BDEC406" w14:textId="56E6A7AC" w:rsidR="008858C9" w:rsidRPr="008858C9" w:rsidRDefault="008858C9" w:rsidP="009136E5">
      <w:pPr>
        <w:numPr>
          <w:ilvl w:val="0"/>
          <w:numId w:val="51"/>
        </w:numPr>
        <w:spacing w:before="0" w:after="0"/>
        <w:jc w:val="both"/>
        <w:rPr>
          <w:rFonts w:asciiTheme="minorHAnsi" w:hAnsiTheme="minorHAnsi" w:cstheme="minorHAnsi"/>
          <w:sz w:val="22"/>
        </w:rPr>
      </w:pPr>
      <w:r w:rsidRPr="008858C9">
        <w:rPr>
          <w:rFonts w:asciiTheme="minorHAnsi" w:hAnsiTheme="minorHAnsi" w:cstheme="minorHAnsi"/>
          <w:sz w:val="22"/>
        </w:rPr>
        <w:t xml:space="preserve">Inadequate local knowledge of distribution and spread of priority population. Lack of comprehensive district specific action plan for TB </w:t>
      </w:r>
      <w:r w:rsidR="005D0075">
        <w:rPr>
          <w:rFonts w:asciiTheme="minorHAnsi" w:hAnsiTheme="minorHAnsi" w:cstheme="minorHAnsi"/>
          <w:sz w:val="22"/>
        </w:rPr>
        <w:t xml:space="preserve">elimination </w:t>
      </w:r>
      <w:r w:rsidR="005D0075" w:rsidRPr="008858C9">
        <w:rPr>
          <w:rFonts w:asciiTheme="minorHAnsi" w:hAnsiTheme="minorHAnsi" w:cstheme="minorHAnsi"/>
          <w:sz w:val="22"/>
        </w:rPr>
        <w:t>in</w:t>
      </w:r>
      <w:r w:rsidRPr="008858C9">
        <w:rPr>
          <w:rFonts w:asciiTheme="minorHAnsi" w:hAnsiTheme="minorHAnsi" w:cstheme="minorHAnsi"/>
          <w:sz w:val="22"/>
        </w:rPr>
        <w:t xml:space="preserve"> priority population.</w:t>
      </w:r>
    </w:p>
    <w:p w14:paraId="6C12F5BD" w14:textId="3F6453FE" w:rsidR="008858C9" w:rsidRPr="008858C9" w:rsidRDefault="008858C9" w:rsidP="009136E5">
      <w:pPr>
        <w:numPr>
          <w:ilvl w:val="0"/>
          <w:numId w:val="51"/>
        </w:numPr>
        <w:spacing w:before="0" w:after="0"/>
        <w:jc w:val="both"/>
        <w:rPr>
          <w:rFonts w:asciiTheme="minorHAnsi" w:hAnsiTheme="minorHAnsi" w:cstheme="minorHAnsi"/>
          <w:sz w:val="22"/>
        </w:rPr>
      </w:pPr>
      <w:r w:rsidRPr="008858C9">
        <w:rPr>
          <w:rFonts w:asciiTheme="minorHAnsi" w:hAnsiTheme="minorHAnsi" w:cstheme="minorHAnsi"/>
          <w:sz w:val="22"/>
        </w:rPr>
        <w:t xml:space="preserve">Wide differences in adoption of the frameworks for collaborative activities across the States, with lower priority accorded to TB </w:t>
      </w:r>
      <w:r w:rsidR="005D0075">
        <w:rPr>
          <w:rFonts w:asciiTheme="minorHAnsi" w:hAnsiTheme="minorHAnsi" w:cstheme="minorHAnsi"/>
          <w:sz w:val="22"/>
        </w:rPr>
        <w:t xml:space="preserve">elimination </w:t>
      </w:r>
      <w:r w:rsidR="005D0075" w:rsidRPr="008858C9">
        <w:rPr>
          <w:rFonts w:asciiTheme="minorHAnsi" w:hAnsiTheme="minorHAnsi" w:cstheme="minorHAnsi"/>
          <w:sz w:val="22"/>
        </w:rPr>
        <w:t>in</w:t>
      </w:r>
      <w:r w:rsidRPr="008858C9">
        <w:rPr>
          <w:rFonts w:asciiTheme="minorHAnsi" w:hAnsiTheme="minorHAnsi" w:cstheme="minorHAnsi"/>
          <w:sz w:val="22"/>
        </w:rPr>
        <w:t xml:space="preserve"> priority population.</w:t>
      </w:r>
    </w:p>
    <w:p w14:paraId="2E6A5284" w14:textId="77777777" w:rsidR="008858C9" w:rsidRPr="008858C9" w:rsidRDefault="008858C9" w:rsidP="009136E5">
      <w:pPr>
        <w:numPr>
          <w:ilvl w:val="0"/>
          <w:numId w:val="51"/>
        </w:numPr>
        <w:spacing w:before="0" w:after="0"/>
        <w:jc w:val="both"/>
        <w:rPr>
          <w:rFonts w:asciiTheme="minorHAnsi" w:hAnsiTheme="minorHAnsi" w:cstheme="minorHAnsi"/>
          <w:sz w:val="22"/>
        </w:rPr>
      </w:pPr>
      <w:r w:rsidRPr="008858C9">
        <w:rPr>
          <w:rFonts w:asciiTheme="minorHAnsi" w:hAnsiTheme="minorHAnsi" w:cstheme="minorHAnsi"/>
          <w:sz w:val="22"/>
        </w:rPr>
        <w:t xml:space="preserve">Knowledge gaps in health personnel involved in implementation of health programmes related to comorbidities. </w:t>
      </w:r>
    </w:p>
    <w:p w14:paraId="3FEC595C" w14:textId="765A4A08" w:rsidR="008858C9" w:rsidRPr="008858C9" w:rsidRDefault="008858C9" w:rsidP="009136E5">
      <w:pPr>
        <w:numPr>
          <w:ilvl w:val="0"/>
          <w:numId w:val="51"/>
        </w:numPr>
        <w:spacing w:before="0" w:after="0"/>
        <w:jc w:val="both"/>
        <w:rPr>
          <w:rFonts w:asciiTheme="minorHAnsi" w:hAnsiTheme="minorHAnsi" w:cstheme="minorHAnsi"/>
          <w:sz w:val="22"/>
        </w:rPr>
      </w:pPr>
      <w:r w:rsidRPr="008858C9">
        <w:rPr>
          <w:rFonts w:asciiTheme="minorHAnsi" w:hAnsiTheme="minorHAnsi" w:cstheme="minorHAnsi"/>
          <w:sz w:val="22"/>
        </w:rPr>
        <w:t>Varying levels of decentralization/coverage of services related to comorbidities resulting in non-</w:t>
      </w:r>
      <w:r w:rsidR="000525C9" w:rsidRPr="008858C9">
        <w:rPr>
          <w:rFonts w:asciiTheme="minorHAnsi" w:hAnsiTheme="minorHAnsi" w:cstheme="minorHAnsi"/>
          <w:sz w:val="22"/>
        </w:rPr>
        <w:t>existent</w:t>
      </w:r>
      <w:r w:rsidRPr="008858C9">
        <w:rPr>
          <w:rFonts w:asciiTheme="minorHAnsi" w:hAnsiTheme="minorHAnsi" w:cstheme="minorHAnsi"/>
          <w:sz w:val="22"/>
        </w:rPr>
        <w:t xml:space="preserve">/weak linkages to comorbidity services in certain areas, resulting in challenges to the patient in accessing comorbidity care. </w:t>
      </w:r>
    </w:p>
    <w:p w14:paraId="692CFC3B" w14:textId="77777777" w:rsidR="008858C9" w:rsidRPr="008858C9" w:rsidRDefault="008858C9" w:rsidP="009136E5">
      <w:pPr>
        <w:numPr>
          <w:ilvl w:val="0"/>
          <w:numId w:val="51"/>
        </w:numPr>
        <w:spacing w:before="0" w:after="0"/>
        <w:jc w:val="both"/>
        <w:rPr>
          <w:rFonts w:asciiTheme="minorHAnsi" w:hAnsiTheme="minorHAnsi" w:cstheme="minorHAnsi"/>
          <w:sz w:val="22"/>
        </w:rPr>
      </w:pPr>
      <w:r w:rsidRPr="008858C9">
        <w:rPr>
          <w:rFonts w:asciiTheme="minorHAnsi" w:hAnsiTheme="minorHAnsi" w:cstheme="minorHAnsi"/>
          <w:sz w:val="22"/>
        </w:rPr>
        <w:t xml:space="preserve">Gaps in care cascade in TB-comorbidity management resulting in suboptimal TB treatment outcomes. </w:t>
      </w:r>
    </w:p>
    <w:p w14:paraId="7DD54D27" w14:textId="77777777" w:rsidR="008858C9" w:rsidRPr="008858C9" w:rsidRDefault="008858C9" w:rsidP="009136E5">
      <w:pPr>
        <w:numPr>
          <w:ilvl w:val="0"/>
          <w:numId w:val="51"/>
        </w:numPr>
        <w:spacing w:before="0" w:after="0"/>
        <w:jc w:val="both"/>
        <w:rPr>
          <w:rFonts w:asciiTheme="minorHAnsi" w:hAnsiTheme="minorHAnsi" w:cstheme="minorHAnsi"/>
          <w:sz w:val="22"/>
        </w:rPr>
      </w:pPr>
      <w:r w:rsidRPr="008858C9">
        <w:rPr>
          <w:rFonts w:asciiTheme="minorHAnsi" w:hAnsiTheme="minorHAnsi" w:cstheme="minorHAnsi"/>
          <w:sz w:val="22"/>
        </w:rPr>
        <w:t>Sub-optimal coverage/documentation of TB-comorbidity related services among TB patients notified in the private sector.</w:t>
      </w:r>
    </w:p>
    <w:p w14:paraId="7AFDDCAE" w14:textId="77777777" w:rsidR="008858C9" w:rsidRPr="008858C9" w:rsidRDefault="008858C9" w:rsidP="009136E5">
      <w:pPr>
        <w:numPr>
          <w:ilvl w:val="0"/>
          <w:numId w:val="51"/>
        </w:numPr>
        <w:spacing w:before="0" w:after="0"/>
        <w:jc w:val="both"/>
        <w:rPr>
          <w:rFonts w:asciiTheme="minorHAnsi" w:hAnsiTheme="minorHAnsi" w:cstheme="minorHAnsi"/>
          <w:sz w:val="22"/>
        </w:rPr>
      </w:pPr>
      <w:r w:rsidRPr="008858C9">
        <w:rPr>
          <w:rFonts w:asciiTheme="minorHAnsi" w:hAnsiTheme="minorHAnsi" w:cstheme="minorHAnsi"/>
          <w:sz w:val="22"/>
        </w:rPr>
        <w:t>Existence of parallel MIS for each programme with different levels of implementation/sophistication of the data systems weakening the monitoring component and issues in data quality. Challenges in data sharing due to confidentiality issues in certain settings.</w:t>
      </w:r>
    </w:p>
    <w:p w14:paraId="780807CD" w14:textId="6795FFD2" w:rsidR="008858C9" w:rsidRPr="008858C9" w:rsidRDefault="008858C9" w:rsidP="009136E5">
      <w:pPr>
        <w:numPr>
          <w:ilvl w:val="0"/>
          <w:numId w:val="51"/>
        </w:numPr>
        <w:spacing w:before="0" w:after="0"/>
        <w:jc w:val="both"/>
        <w:rPr>
          <w:rFonts w:asciiTheme="minorHAnsi" w:hAnsiTheme="minorHAnsi" w:cstheme="minorHAnsi"/>
          <w:sz w:val="22"/>
        </w:rPr>
      </w:pPr>
      <w:r w:rsidRPr="008858C9">
        <w:rPr>
          <w:rFonts w:asciiTheme="minorHAnsi" w:hAnsiTheme="minorHAnsi" w:cstheme="minorHAnsi"/>
          <w:sz w:val="22"/>
        </w:rPr>
        <w:t xml:space="preserve">Minimal awareness </w:t>
      </w:r>
      <w:r w:rsidR="00010147">
        <w:rPr>
          <w:rFonts w:asciiTheme="minorHAnsi" w:hAnsiTheme="minorHAnsi" w:cstheme="minorHAnsi"/>
          <w:sz w:val="22"/>
        </w:rPr>
        <w:t>among</w:t>
      </w:r>
      <w:r w:rsidRPr="008858C9">
        <w:rPr>
          <w:rFonts w:asciiTheme="minorHAnsi" w:hAnsiTheme="minorHAnsi" w:cstheme="minorHAnsi"/>
          <w:sz w:val="22"/>
        </w:rPr>
        <w:t xml:space="preserve"> TB patients on role of comorbidities in risk for TB or treatment outcomes. </w:t>
      </w:r>
    </w:p>
    <w:p w14:paraId="612EC3DD" w14:textId="08610F4D" w:rsidR="00823606" w:rsidRPr="00C0403B" w:rsidRDefault="00D756D3" w:rsidP="00100F99">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E85991">
        <w:rPr>
          <w:rFonts w:asciiTheme="minorHAnsi" w:hAnsiTheme="minorHAnsi" w:cstheme="minorHAnsi"/>
          <w:b/>
          <w:color w:val="C86A07" w:themeColor="accent2" w:themeShade="BF"/>
          <w:sz w:val="28"/>
          <w:lang w:val="en"/>
        </w:rPr>
        <w:t>8</w:t>
      </w:r>
      <w:r>
        <w:rPr>
          <w:rFonts w:asciiTheme="minorHAnsi" w:hAnsiTheme="minorHAnsi" w:cstheme="minorHAnsi"/>
          <w:b/>
          <w:color w:val="C86A07" w:themeColor="accent2" w:themeShade="BF"/>
          <w:sz w:val="28"/>
          <w:lang w:val="en"/>
        </w:rPr>
        <w:t xml:space="preserve">.4 </w:t>
      </w:r>
      <w:r w:rsidR="00823606" w:rsidRPr="00C0403B">
        <w:rPr>
          <w:rFonts w:asciiTheme="minorHAnsi" w:hAnsiTheme="minorHAnsi" w:cstheme="minorHAnsi"/>
          <w:b/>
          <w:color w:val="C86A07" w:themeColor="accent2" w:themeShade="BF"/>
          <w:sz w:val="28"/>
          <w:lang w:val="en"/>
        </w:rPr>
        <w:t xml:space="preserve">THE WAY FORWARD </w:t>
      </w:r>
    </w:p>
    <w:p w14:paraId="7D7BA9B9" w14:textId="77777777" w:rsidR="005E6B59" w:rsidRPr="005E6B59" w:rsidRDefault="005E6B59" w:rsidP="009136E5">
      <w:pPr>
        <w:pStyle w:val="ListParagraph"/>
        <w:numPr>
          <w:ilvl w:val="1"/>
          <w:numId w:val="75"/>
        </w:numPr>
        <w:spacing w:before="0" w:after="0"/>
        <w:jc w:val="both"/>
        <w:rPr>
          <w:rFonts w:asciiTheme="minorHAnsi" w:hAnsiTheme="minorHAnsi" w:cstheme="minorHAnsi"/>
          <w:b/>
          <w:vanish/>
          <w:sz w:val="22"/>
        </w:rPr>
      </w:pPr>
    </w:p>
    <w:p w14:paraId="6DA1EF3C" w14:textId="77777777" w:rsidR="005E6B59" w:rsidRPr="005E6B59" w:rsidRDefault="005E6B59" w:rsidP="009136E5">
      <w:pPr>
        <w:pStyle w:val="ListParagraph"/>
        <w:numPr>
          <w:ilvl w:val="1"/>
          <w:numId w:val="75"/>
        </w:numPr>
        <w:spacing w:before="0" w:after="0"/>
        <w:jc w:val="both"/>
        <w:rPr>
          <w:rFonts w:asciiTheme="minorHAnsi" w:hAnsiTheme="minorHAnsi" w:cstheme="minorHAnsi"/>
          <w:b/>
          <w:vanish/>
          <w:sz w:val="22"/>
        </w:rPr>
      </w:pPr>
    </w:p>
    <w:p w14:paraId="24538CFE" w14:textId="77777777" w:rsidR="005E6B59" w:rsidRPr="005E6B59" w:rsidRDefault="005E6B59" w:rsidP="009136E5">
      <w:pPr>
        <w:pStyle w:val="ListParagraph"/>
        <w:numPr>
          <w:ilvl w:val="1"/>
          <w:numId w:val="75"/>
        </w:numPr>
        <w:spacing w:before="0" w:after="0"/>
        <w:jc w:val="both"/>
        <w:rPr>
          <w:rFonts w:asciiTheme="minorHAnsi" w:hAnsiTheme="minorHAnsi" w:cstheme="minorHAnsi"/>
          <w:b/>
          <w:vanish/>
          <w:sz w:val="22"/>
        </w:rPr>
      </w:pPr>
    </w:p>
    <w:p w14:paraId="49EA6924" w14:textId="078B7073" w:rsidR="008858C9" w:rsidRPr="005E6B59" w:rsidRDefault="005E6B59" w:rsidP="005E6B59">
      <w:pPr>
        <w:spacing w:before="0" w:after="0"/>
        <w:jc w:val="both"/>
        <w:rPr>
          <w:rFonts w:asciiTheme="minorHAnsi" w:hAnsiTheme="minorHAnsi" w:cstheme="minorHAnsi"/>
          <w:b/>
          <w:sz w:val="22"/>
        </w:rPr>
      </w:pPr>
      <w:r>
        <w:rPr>
          <w:rFonts w:asciiTheme="minorHAnsi" w:hAnsiTheme="minorHAnsi" w:cstheme="minorHAnsi"/>
          <w:b/>
          <w:sz w:val="22"/>
        </w:rPr>
        <w:t xml:space="preserve">4.3.1 </w:t>
      </w:r>
      <w:r w:rsidR="008858C9" w:rsidRPr="005E6B59">
        <w:rPr>
          <w:rFonts w:asciiTheme="minorHAnsi" w:hAnsiTheme="minorHAnsi" w:cstheme="minorHAnsi"/>
          <w:b/>
          <w:sz w:val="22"/>
        </w:rPr>
        <w:t>Common strategic interventions for strengthening TB care services in priority populations:</w:t>
      </w:r>
    </w:p>
    <w:p w14:paraId="40D06DA8" w14:textId="00841880"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4.3.1.1</w:t>
      </w:r>
      <w:r>
        <w:rPr>
          <w:rFonts w:asciiTheme="minorHAnsi" w:hAnsiTheme="minorHAnsi" w:cstheme="minorHAnsi"/>
          <w:sz w:val="22"/>
        </w:rPr>
        <w:t xml:space="preserve"> </w:t>
      </w:r>
      <w:r w:rsidR="008D5BD5" w:rsidRPr="005E6B59">
        <w:rPr>
          <w:rFonts w:asciiTheme="minorHAnsi" w:hAnsiTheme="minorHAnsi" w:cstheme="minorHAnsi"/>
          <w:sz w:val="22"/>
        </w:rPr>
        <w:t>Develop</w:t>
      </w:r>
      <w:r w:rsidR="008858C9" w:rsidRPr="005E6B59">
        <w:rPr>
          <w:rFonts w:asciiTheme="minorHAnsi" w:hAnsiTheme="minorHAnsi" w:cstheme="minorHAnsi"/>
          <w:sz w:val="22"/>
        </w:rPr>
        <w:t xml:space="preserve"> district specific action plans to address TB among priority populations through identification of vulnerable populations, exhaustive</w:t>
      </w:r>
      <w:r w:rsidR="00010147">
        <w:rPr>
          <w:rFonts w:asciiTheme="minorHAnsi" w:hAnsiTheme="minorHAnsi" w:cstheme="minorHAnsi"/>
          <w:sz w:val="22"/>
        </w:rPr>
        <w:t xml:space="preserve"> dynamic</w:t>
      </w:r>
      <w:r w:rsidR="008858C9" w:rsidRPr="005E6B59">
        <w:rPr>
          <w:rFonts w:asciiTheme="minorHAnsi" w:hAnsiTheme="minorHAnsi" w:cstheme="minorHAnsi"/>
          <w:sz w:val="22"/>
        </w:rPr>
        <w:t xml:space="preserve"> mapping, prioritizing population for </w:t>
      </w:r>
      <w:r w:rsidR="008858C9" w:rsidRPr="005E6B59">
        <w:rPr>
          <w:rFonts w:asciiTheme="minorHAnsi" w:hAnsiTheme="minorHAnsi" w:cstheme="minorHAnsi"/>
          <w:sz w:val="22"/>
        </w:rPr>
        <w:lastRenderedPageBreak/>
        <w:t>intervention and developing strategies/activities through a consultative/collaborative process with all stakeholders, especially affected communities.</w:t>
      </w:r>
    </w:p>
    <w:p w14:paraId="170BAF3C" w14:textId="6A36AF76"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w:t>
      </w:r>
      <w:r>
        <w:rPr>
          <w:rFonts w:asciiTheme="minorHAnsi" w:hAnsiTheme="minorHAnsi" w:cstheme="minorHAnsi"/>
          <w:b/>
          <w:sz w:val="22"/>
        </w:rPr>
        <w:t>2</w:t>
      </w:r>
      <w:r>
        <w:rPr>
          <w:rFonts w:asciiTheme="minorHAnsi" w:hAnsiTheme="minorHAnsi" w:cstheme="minorHAnsi"/>
          <w:sz w:val="22"/>
        </w:rPr>
        <w:t xml:space="preserve"> </w:t>
      </w:r>
      <w:r w:rsidR="008D5BD5" w:rsidRPr="005E6B59">
        <w:rPr>
          <w:rFonts w:asciiTheme="minorHAnsi" w:hAnsiTheme="minorHAnsi" w:cstheme="minorHAnsi"/>
          <w:sz w:val="22"/>
        </w:rPr>
        <w:t>Enhance</w:t>
      </w:r>
      <w:r w:rsidR="008858C9" w:rsidRPr="005E6B59">
        <w:rPr>
          <w:rFonts w:asciiTheme="minorHAnsi" w:hAnsiTheme="minorHAnsi" w:cstheme="minorHAnsi"/>
          <w:sz w:val="22"/>
        </w:rPr>
        <w:t xml:space="preserve"> priority to ensure uniform country-wide adoption of frameworks for collaborative activities with oversight/review of same at highest levels</w:t>
      </w:r>
    </w:p>
    <w:p w14:paraId="364E452C" w14:textId="2E124E9C"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w:t>
      </w:r>
      <w:r>
        <w:rPr>
          <w:rFonts w:asciiTheme="minorHAnsi" w:hAnsiTheme="minorHAnsi" w:cstheme="minorHAnsi"/>
          <w:b/>
          <w:sz w:val="22"/>
        </w:rPr>
        <w:t>.3</w:t>
      </w:r>
      <w:r>
        <w:rPr>
          <w:rFonts w:asciiTheme="minorHAnsi" w:hAnsiTheme="minorHAnsi" w:cstheme="minorHAnsi"/>
          <w:sz w:val="22"/>
        </w:rPr>
        <w:t xml:space="preserve"> </w:t>
      </w:r>
      <w:r w:rsidR="008D5BD5" w:rsidRPr="005E6B59">
        <w:rPr>
          <w:rFonts w:asciiTheme="minorHAnsi" w:hAnsiTheme="minorHAnsi" w:cstheme="minorHAnsi"/>
          <w:sz w:val="22"/>
        </w:rPr>
        <w:t>Develop</w:t>
      </w:r>
      <w:r w:rsidR="008858C9" w:rsidRPr="005E6B59">
        <w:rPr>
          <w:rFonts w:asciiTheme="minorHAnsi" w:hAnsiTheme="minorHAnsi" w:cstheme="minorHAnsi"/>
          <w:sz w:val="22"/>
        </w:rPr>
        <w:t xml:space="preserve"> concise need-based, cadre-specific and comprehensive training materials, counseling tools including adoption of e-learning tools for implementation</w:t>
      </w:r>
    </w:p>
    <w:p w14:paraId="73C0818C" w14:textId="0C25734D"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w:t>
      </w:r>
      <w:r>
        <w:rPr>
          <w:rFonts w:asciiTheme="minorHAnsi" w:hAnsiTheme="minorHAnsi" w:cstheme="minorHAnsi"/>
          <w:b/>
          <w:sz w:val="22"/>
        </w:rPr>
        <w:t>.4</w:t>
      </w:r>
      <w:r>
        <w:rPr>
          <w:rFonts w:asciiTheme="minorHAnsi" w:hAnsiTheme="minorHAnsi" w:cstheme="minorHAnsi"/>
          <w:sz w:val="22"/>
        </w:rPr>
        <w:t xml:space="preserve"> </w:t>
      </w:r>
      <w:r w:rsidR="008858C9" w:rsidRPr="005E6B59">
        <w:rPr>
          <w:rFonts w:asciiTheme="minorHAnsi" w:hAnsiTheme="minorHAnsi" w:cstheme="minorHAnsi"/>
          <w:sz w:val="22"/>
        </w:rPr>
        <w:t>Advocacy at highest levels to ensure availability/convenient linkage of comorbidity related services at all TB care facilities to provide services to all TB patients. Effectively utilizing multi-disease testing platforms in addressing the burden of comorbidities. Leveraging IT services, including Call centre,</w:t>
      </w:r>
      <w:r w:rsidR="00010147">
        <w:rPr>
          <w:rFonts w:asciiTheme="minorHAnsi" w:hAnsiTheme="minorHAnsi" w:cstheme="minorHAnsi"/>
          <w:sz w:val="22"/>
        </w:rPr>
        <w:t xml:space="preserve"> IVRS, </w:t>
      </w:r>
      <w:r w:rsidR="008858C9" w:rsidRPr="005E6B59">
        <w:rPr>
          <w:rFonts w:asciiTheme="minorHAnsi" w:hAnsiTheme="minorHAnsi" w:cstheme="minorHAnsi"/>
          <w:sz w:val="22"/>
        </w:rPr>
        <w:t xml:space="preserve">SMS </w:t>
      </w:r>
      <w:r w:rsidR="00745A20" w:rsidRPr="005E6B59">
        <w:rPr>
          <w:rFonts w:asciiTheme="minorHAnsi" w:hAnsiTheme="minorHAnsi" w:cstheme="minorHAnsi"/>
          <w:sz w:val="22"/>
        </w:rPr>
        <w:t>etc.</w:t>
      </w:r>
      <w:r w:rsidR="008858C9" w:rsidRPr="005E6B59">
        <w:rPr>
          <w:rFonts w:asciiTheme="minorHAnsi" w:hAnsiTheme="minorHAnsi" w:cstheme="minorHAnsi"/>
          <w:sz w:val="22"/>
        </w:rPr>
        <w:t xml:space="preserve"> provide comorbidity counselling, early linkage to appropriate health facility and</w:t>
      </w:r>
      <w:r w:rsidR="00010147">
        <w:rPr>
          <w:rFonts w:asciiTheme="minorHAnsi" w:hAnsiTheme="minorHAnsi" w:cstheme="minorHAnsi"/>
          <w:sz w:val="22"/>
        </w:rPr>
        <w:t xml:space="preserve"> periodic </w:t>
      </w:r>
      <w:r w:rsidR="008858C9" w:rsidRPr="005E6B59">
        <w:rPr>
          <w:rFonts w:asciiTheme="minorHAnsi" w:hAnsiTheme="minorHAnsi" w:cstheme="minorHAnsi"/>
          <w:sz w:val="22"/>
        </w:rPr>
        <w:t>follow-up. Establishing coordination with respective Ministry/Department/sector for ensuring prompt and uninterrupted service delivery. Leveraging/integrating with existing campaigns or plan new campaigns to reach priority populations based on needs and leveraging IT</w:t>
      </w:r>
      <w:r w:rsidR="00010147">
        <w:rPr>
          <w:rFonts w:asciiTheme="minorHAnsi" w:hAnsiTheme="minorHAnsi" w:cstheme="minorHAnsi"/>
          <w:sz w:val="22"/>
        </w:rPr>
        <w:t xml:space="preserve"> and IT enabled</w:t>
      </w:r>
      <w:r w:rsidR="008858C9" w:rsidRPr="005E6B59">
        <w:rPr>
          <w:rFonts w:asciiTheme="minorHAnsi" w:hAnsiTheme="minorHAnsi" w:cstheme="minorHAnsi"/>
          <w:sz w:val="22"/>
        </w:rPr>
        <w:t xml:space="preserve"> tools, screening tools and rapid diagnostics. </w:t>
      </w:r>
    </w:p>
    <w:p w14:paraId="3B36CC86" w14:textId="5B4EF155"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w:t>
      </w:r>
      <w:r>
        <w:rPr>
          <w:rFonts w:asciiTheme="minorHAnsi" w:hAnsiTheme="minorHAnsi" w:cstheme="minorHAnsi"/>
          <w:b/>
          <w:sz w:val="22"/>
        </w:rPr>
        <w:t>.5</w:t>
      </w:r>
      <w:r>
        <w:rPr>
          <w:rFonts w:asciiTheme="minorHAnsi" w:hAnsiTheme="minorHAnsi" w:cstheme="minorHAnsi"/>
          <w:sz w:val="22"/>
        </w:rPr>
        <w:t xml:space="preserve"> </w:t>
      </w:r>
      <w:r w:rsidR="008858C9" w:rsidRPr="005E6B59">
        <w:rPr>
          <w:rFonts w:asciiTheme="minorHAnsi" w:hAnsiTheme="minorHAnsi" w:cstheme="minorHAnsi"/>
          <w:sz w:val="22"/>
        </w:rPr>
        <w:t>Periodic review of care cascade of TB management among priority population and systematic measures to address gaps in care to improve treatment outcomes</w:t>
      </w:r>
    </w:p>
    <w:p w14:paraId="4051037A" w14:textId="62CC41E4"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w:t>
      </w:r>
      <w:r>
        <w:rPr>
          <w:rFonts w:asciiTheme="minorHAnsi" w:hAnsiTheme="minorHAnsi" w:cstheme="minorHAnsi"/>
          <w:b/>
          <w:sz w:val="22"/>
        </w:rPr>
        <w:t>.6</w:t>
      </w:r>
      <w:r>
        <w:rPr>
          <w:rFonts w:asciiTheme="minorHAnsi" w:hAnsiTheme="minorHAnsi" w:cstheme="minorHAnsi"/>
          <w:sz w:val="22"/>
        </w:rPr>
        <w:t xml:space="preserve"> </w:t>
      </w:r>
      <w:r w:rsidR="008D5BD5" w:rsidRPr="005E6B59">
        <w:rPr>
          <w:rFonts w:asciiTheme="minorHAnsi" w:hAnsiTheme="minorHAnsi" w:cstheme="minorHAnsi"/>
          <w:sz w:val="22"/>
        </w:rPr>
        <w:t>Leverage</w:t>
      </w:r>
      <w:r w:rsidR="008858C9" w:rsidRPr="005E6B59">
        <w:rPr>
          <w:rFonts w:asciiTheme="minorHAnsi" w:hAnsiTheme="minorHAnsi" w:cstheme="minorHAnsi"/>
          <w:sz w:val="22"/>
        </w:rPr>
        <w:t xml:space="preserve"> partnership options in expanding TB-comorbidity screening/service provision to all TB patients notified from private sector</w:t>
      </w:r>
    </w:p>
    <w:p w14:paraId="7EFF2E24" w14:textId="69BCE8C9"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w:t>
      </w:r>
      <w:r>
        <w:rPr>
          <w:rFonts w:asciiTheme="minorHAnsi" w:hAnsiTheme="minorHAnsi" w:cstheme="minorHAnsi"/>
          <w:b/>
          <w:sz w:val="22"/>
        </w:rPr>
        <w:t>.7</w:t>
      </w:r>
      <w:r>
        <w:rPr>
          <w:rFonts w:asciiTheme="minorHAnsi" w:hAnsiTheme="minorHAnsi" w:cstheme="minorHAnsi"/>
          <w:sz w:val="22"/>
        </w:rPr>
        <w:t xml:space="preserve"> </w:t>
      </w:r>
      <w:r w:rsidR="008858C9" w:rsidRPr="005E6B59">
        <w:rPr>
          <w:rFonts w:asciiTheme="minorHAnsi" w:hAnsiTheme="minorHAnsi" w:cstheme="minorHAnsi"/>
          <w:sz w:val="22"/>
        </w:rPr>
        <w:t>Develop platforms/mechanisms to inter-link information management systems across different programmes including strengthening recording and reporting of collaborative activities through data reconciliation</w:t>
      </w:r>
      <w:r w:rsidR="00010147">
        <w:rPr>
          <w:rFonts w:asciiTheme="minorHAnsi" w:hAnsiTheme="minorHAnsi" w:cstheme="minorHAnsi"/>
          <w:sz w:val="22"/>
        </w:rPr>
        <w:t xml:space="preserve"> and data driven action at all levels</w:t>
      </w:r>
    </w:p>
    <w:p w14:paraId="1E9A1E94" w14:textId="26142B82"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w:t>
      </w:r>
      <w:r>
        <w:rPr>
          <w:rFonts w:asciiTheme="minorHAnsi" w:hAnsiTheme="minorHAnsi" w:cstheme="minorHAnsi"/>
          <w:b/>
          <w:sz w:val="22"/>
        </w:rPr>
        <w:t>.8</w:t>
      </w:r>
      <w:r>
        <w:rPr>
          <w:rFonts w:asciiTheme="minorHAnsi" w:hAnsiTheme="minorHAnsi" w:cstheme="minorHAnsi"/>
          <w:sz w:val="22"/>
        </w:rPr>
        <w:t xml:space="preserve"> </w:t>
      </w:r>
      <w:r w:rsidR="008858C9" w:rsidRPr="005E6B59">
        <w:rPr>
          <w:rFonts w:asciiTheme="minorHAnsi" w:hAnsiTheme="minorHAnsi" w:cstheme="minorHAnsi"/>
          <w:sz w:val="22"/>
        </w:rPr>
        <w:t>Joint, need-based and customized advocacy and communication activities for awareness of inter-relationship of TB and comorbidities</w:t>
      </w:r>
    </w:p>
    <w:p w14:paraId="1993E537" w14:textId="77293830"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w:t>
      </w:r>
      <w:r>
        <w:rPr>
          <w:rFonts w:asciiTheme="minorHAnsi" w:hAnsiTheme="minorHAnsi" w:cstheme="minorHAnsi"/>
          <w:b/>
          <w:sz w:val="22"/>
        </w:rPr>
        <w:t>.9</w:t>
      </w:r>
      <w:r>
        <w:rPr>
          <w:rFonts w:asciiTheme="minorHAnsi" w:hAnsiTheme="minorHAnsi" w:cstheme="minorHAnsi"/>
          <w:sz w:val="22"/>
        </w:rPr>
        <w:t xml:space="preserve"> </w:t>
      </w:r>
      <w:r w:rsidR="008D5BD5" w:rsidRPr="005E6B59">
        <w:rPr>
          <w:rFonts w:asciiTheme="minorHAnsi" w:hAnsiTheme="minorHAnsi" w:cstheme="minorHAnsi"/>
          <w:sz w:val="22"/>
        </w:rPr>
        <w:t>Develop</w:t>
      </w:r>
      <w:r w:rsidR="008858C9" w:rsidRPr="005E6B59">
        <w:rPr>
          <w:rFonts w:asciiTheme="minorHAnsi" w:hAnsiTheme="minorHAnsi" w:cstheme="minorHAnsi"/>
          <w:sz w:val="22"/>
        </w:rPr>
        <w:t xml:space="preserve"> novel strategies and innovative approaches for comprehensive TB care to priority population through partnering with NGOs, civil society etc</w:t>
      </w:r>
      <w:r w:rsidR="00010147">
        <w:rPr>
          <w:rFonts w:asciiTheme="minorHAnsi" w:hAnsiTheme="minorHAnsi" w:cstheme="minorHAnsi"/>
          <w:sz w:val="22"/>
        </w:rPr>
        <w:t>.</w:t>
      </w:r>
      <w:r w:rsidR="008858C9" w:rsidRPr="005E6B59">
        <w:rPr>
          <w:rFonts w:asciiTheme="minorHAnsi" w:hAnsiTheme="minorHAnsi" w:cstheme="minorHAnsi"/>
          <w:sz w:val="22"/>
        </w:rPr>
        <w:t xml:space="preserve"> and rapi</w:t>
      </w:r>
      <w:r w:rsidR="00010147">
        <w:rPr>
          <w:rFonts w:asciiTheme="minorHAnsi" w:hAnsiTheme="minorHAnsi" w:cstheme="minorHAnsi"/>
          <w:sz w:val="22"/>
        </w:rPr>
        <w:t>d scale up of successful interventions</w:t>
      </w:r>
      <w:r w:rsidR="008858C9" w:rsidRPr="005E6B59">
        <w:rPr>
          <w:rFonts w:asciiTheme="minorHAnsi" w:hAnsiTheme="minorHAnsi" w:cstheme="minorHAnsi"/>
          <w:sz w:val="22"/>
        </w:rPr>
        <w:t xml:space="preserve">. </w:t>
      </w:r>
    </w:p>
    <w:p w14:paraId="59CD3377" w14:textId="340B4170"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4.3.1</w:t>
      </w:r>
      <w:r>
        <w:rPr>
          <w:rFonts w:asciiTheme="minorHAnsi" w:hAnsiTheme="minorHAnsi" w:cstheme="minorHAnsi"/>
          <w:b/>
          <w:sz w:val="22"/>
        </w:rPr>
        <w:t>.10</w:t>
      </w:r>
      <w:r>
        <w:rPr>
          <w:rFonts w:asciiTheme="minorHAnsi" w:hAnsiTheme="minorHAnsi" w:cstheme="minorHAnsi"/>
          <w:sz w:val="22"/>
        </w:rPr>
        <w:t xml:space="preserve"> </w:t>
      </w:r>
      <w:r w:rsidR="008D5BD5" w:rsidRPr="005E6B59">
        <w:rPr>
          <w:rFonts w:asciiTheme="minorHAnsi" w:hAnsiTheme="minorHAnsi" w:cstheme="minorHAnsi"/>
          <w:sz w:val="22"/>
        </w:rPr>
        <w:t>Undertake</w:t>
      </w:r>
      <w:r w:rsidR="008858C9" w:rsidRPr="005E6B59">
        <w:rPr>
          <w:rFonts w:asciiTheme="minorHAnsi" w:hAnsiTheme="minorHAnsi" w:cstheme="minorHAnsi"/>
          <w:sz w:val="22"/>
        </w:rPr>
        <w:t xml:space="preserve"> research to enhance understanding of inter-relationship of TB and comorbidities, determine burden of TB among priority population in local settings, identify gaps in services, KAP/health seeking behaviour/feasibility studies </w:t>
      </w:r>
    </w:p>
    <w:p w14:paraId="303C36D2" w14:textId="77777777" w:rsidR="008858C9" w:rsidRPr="008858C9" w:rsidRDefault="008858C9" w:rsidP="00100F99">
      <w:pPr>
        <w:spacing w:before="0" w:after="0"/>
        <w:ind w:left="720"/>
        <w:jc w:val="both"/>
        <w:rPr>
          <w:rFonts w:asciiTheme="minorHAnsi" w:hAnsiTheme="minorHAnsi" w:cstheme="minorHAnsi"/>
          <w:sz w:val="22"/>
        </w:rPr>
      </w:pPr>
    </w:p>
    <w:p w14:paraId="110FE0EC" w14:textId="1A7CD83D" w:rsidR="008858C9" w:rsidRPr="00E52874" w:rsidRDefault="00E52874" w:rsidP="00E52874">
      <w:pPr>
        <w:spacing w:before="0" w:after="0"/>
        <w:jc w:val="both"/>
        <w:rPr>
          <w:rFonts w:asciiTheme="minorHAnsi" w:hAnsiTheme="minorHAnsi" w:cstheme="minorHAnsi"/>
          <w:sz w:val="22"/>
        </w:rPr>
      </w:pPr>
      <w:r>
        <w:rPr>
          <w:rFonts w:asciiTheme="minorHAnsi" w:hAnsiTheme="minorHAnsi" w:cstheme="minorHAnsi"/>
          <w:b/>
          <w:sz w:val="22"/>
        </w:rPr>
        <w:t xml:space="preserve">4.3.2 </w:t>
      </w:r>
      <w:r w:rsidR="008858C9" w:rsidRPr="00E52874">
        <w:rPr>
          <w:rFonts w:asciiTheme="minorHAnsi" w:hAnsiTheme="minorHAnsi" w:cstheme="minorHAnsi"/>
          <w:b/>
          <w:sz w:val="22"/>
        </w:rPr>
        <w:t xml:space="preserve">Pediatric TB </w:t>
      </w:r>
      <w:r w:rsidR="008858C9" w:rsidRPr="00E52874">
        <w:rPr>
          <w:rFonts w:asciiTheme="minorHAnsi" w:hAnsiTheme="minorHAnsi" w:cstheme="minorHAnsi"/>
          <w:sz w:val="22"/>
        </w:rPr>
        <w:t xml:space="preserve">- </w:t>
      </w:r>
      <w:r w:rsidR="008858C9" w:rsidRPr="00E52874">
        <w:rPr>
          <w:rFonts w:asciiTheme="minorHAnsi" w:hAnsiTheme="minorHAnsi" w:cstheme="minorHAnsi"/>
          <w:b/>
          <w:sz w:val="22"/>
        </w:rPr>
        <w:t>strategic interventions</w:t>
      </w:r>
    </w:p>
    <w:p w14:paraId="29346DEA" w14:textId="1A09B46E"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w:t>
      </w:r>
      <w:r w:rsidRPr="005E6B59">
        <w:rPr>
          <w:rFonts w:asciiTheme="minorHAnsi" w:hAnsiTheme="minorHAnsi" w:cstheme="minorHAnsi"/>
          <w:b/>
          <w:sz w:val="22"/>
        </w:rPr>
        <w:t>.1</w:t>
      </w:r>
      <w:r>
        <w:rPr>
          <w:rFonts w:asciiTheme="minorHAnsi" w:hAnsiTheme="minorHAnsi" w:cstheme="minorHAnsi"/>
          <w:sz w:val="22"/>
        </w:rPr>
        <w:t xml:space="preserve"> </w:t>
      </w:r>
      <w:r w:rsidR="008858C9" w:rsidRPr="005E6B59">
        <w:rPr>
          <w:rFonts w:asciiTheme="minorHAnsi" w:hAnsiTheme="minorHAnsi" w:cstheme="minorHAnsi"/>
          <w:sz w:val="22"/>
        </w:rPr>
        <w:t>Determine burden of Pediatric TB through appropriate methodologies including inventory studies etc.</w:t>
      </w:r>
    </w:p>
    <w:p w14:paraId="5B697BFA" w14:textId="58811611"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2.2</w:t>
      </w:r>
      <w:r>
        <w:rPr>
          <w:rFonts w:asciiTheme="minorHAnsi" w:hAnsiTheme="minorHAnsi" w:cstheme="minorHAnsi"/>
          <w:sz w:val="22"/>
        </w:rPr>
        <w:t xml:space="preserve"> </w:t>
      </w:r>
      <w:r w:rsidR="008858C9" w:rsidRPr="005E6B59">
        <w:rPr>
          <w:rFonts w:asciiTheme="minorHAnsi" w:hAnsiTheme="minorHAnsi" w:cstheme="minorHAnsi"/>
          <w:sz w:val="22"/>
        </w:rPr>
        <w:t xml:space="preserve">Increase prioritization of Pediatric TB </w:t>
      </w:r>
      <w:r w:rsidR="00010147">
        <w:rPr>
          <w:rFonts w:asciiTheme="minorHAnsi" w:hAnsiTheme="minorHAnsi" w:cstheme="minorHAnsi"/>
          <w:sz w:val="22"/>
        </w:rPr>
        <w:t xml:space="preserve">elimination </w:t>
      </w:r>
      <w:r w:rsidR="00010147" w:rsidRPr="005E6B59">
        <w:rPr>
          <w:rFonts w:asciiTheme="minorHAnsi" w:hAnsiTheme="minorHAnsi" w:cstheme="minorHAnsi"/>
          <w:sz w:val="22"/>
        </w:rPr>
        <w:t>activities</w:t>
      </w:r>
      <w:r w:rsidR="008858C9" w:rsidRPr="005E6B59">
        <w:rPr>
          <w:rFonts w:asciiTheme="minorHAnsi" w:hAnsiTheme="minorHAnsi" w:cstheme="minorHAnsi"/>
          <w:sz w:val="22"/>
        </w:rPr>
        <w:t xml:space="preserve"> through setting National </w:t>
      </w:r>
      <w:r w:rsidR="00690EC4" w:rsidRPr="00690EC4">
        <w:rPr>
          <w:rFonts w:asciiTheme="minorHAnsi" w:hAnsiTheme="minorHAnsi" w:cstheme="minorHAnsi"/>
          <w:sz w:val="22"/>
        </w:rPr>
        <w:t xml:space="preserve">age-disaggregated </w:t>
      </w:r>
      <w:r w:rsidR="008858C9" w:rsidRPr="005E6B59">
        <w:rPr>
          <w:rFonts w:asciiTheme="minorHAnsi" w:hAnsiTheme="minorHAnsi" w:cstheme="minorHAnsi"/>
          <w:sz w:val="22"/>
        </w:rPr>
        <w:t>targets for TB notification.</w:t>
      </w:r>
    </w:p>
    <w:p w14:paraId="78C61B14" w14:textId="0EE7FDCF"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2.3</w:t>
      </w:r>
      <w:r>
        <w:rPr>
          <w:rFonts w:asciiTheme="minorHAnsi" w:hAnsiTheme="minorHAnsi" w:cstheme="minorHAnsi"/>
          <w:sz w:val="22"/>
        </w:rPr>
        <w:t xml:space="preserve"> </w:t>
      </w:r>
      <w:r w:rsidR="008858C9" w:rsidRPr="005E6B59">
        <w:rPr>
          <w:rFonts w:asciiTheme="minorHAnsi" w:hAnsiTheme="minorHAnsi" w:cstheme="minorHAnsi"/>
          <w:sz w:val="22"/>
        </w:rPr>
        <w:t xml:space="preserve">Expansion of Systematic screening at entry points - NRC, MCH/school health programmes </w:t>
      </w:r>
    </w:p>
    <w:p w14:paraId="727568AA" w14:textId="77777777" w:rsidR="00690EC4" w:rsidRDefault="005E6B59" w:rsidP="00690EC4">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2.4</w:t>
      </w:r>
      <w:r>
        <w:rPr>
          <w:rFonts w:asciiTheme="minorHAnsi" w:hAnsiTheme="minorHAnsi" w:cstheme="minorHAnsi"/>
          <w:sz w:val="22"/>
        </w:rPr>
        <w:t xml:space="preserve"> </w:t>
      </w:r>
      <w:r w:rsidR="008858C9" w:rsidRPr="005E6B59">
        <w:rPr>
          <w:rFonts w:asciiTheme="minorHAnsi" w:hAnsiTheme="minorHAnsi" w:cstheme="minorHAnsi"/>
          <w:sz w:val="22"/>
        </w:rPr>
        <w:t>Ensure linkage to radiography and rapid tests for TB through appropriate mecha</w:t>
      </w:r>
      <w:r w:rsidR="00690EC4">
        <w:rPr>
          <w:rFonts w:asciiTheme="minorHAnsi" w:hAnsiTheme="minorHAnsi" w:cstheme="minorHAnsi"/>
          <w:sz w:val="22"/>
        </w:rPr>
        <w:t xml:space="preserve">nisms, including tele-radiology </w:t>
      </w:r>
    </w:p>
    <w:p w14:paraId="50F81BFA" w14:textId="30D1DB1B" w:rsidR="00690EC4" w:rsidRDefault="005E6B59" w:rsidP="00690EC4">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2.5</w:t>
      </w:r>
      <w:r>
        <w:rPr>
          <w:rFonts w:asciiTheme="minorHAnsi" w:hAnsiTheme="minorHAnsi" w:cstheme="minorHAnsi"/>
          <w:sz w:val="22"/>
        </w:rPr>
        <w:t xml:space="preserve"> </w:t>
      </w:r>
      <w:r w:rsidR="00690EC4">
        <w:rPr>
          <w:rFonts w:ascii="Calibri" w:hAnsi="Calibri" w:cs="Calibri"/>
          <w:color w:val="000000" w:themeColor="text1"/>
          <w:sz w:val="22"/>
        </w:rPr>
        <w:t>S</w:t>
      </w:r>
      <w:r w:rsidR="00690EC4" w:rsidRPr="00140220">
        <w:rPr>
          <w:rFonts w:ascii="Calibri" w:hAnsi="Calibri" w:cs="Calibri"/>
          <w:color w:val="000000" w:themeColor="text1"/>
          <w:sz w:val="22"/>
        </w:rPr>
        <w:t xml:space="preserve">pecimen collection methods in children, </w:t>
      </w:r>
      <w:r w:rsidR="00690EC4">
        <w:rPr>
          <w:rFonts w:ascii="Calibri" w:hAnsi="Calibri" w:cs="Calibri"/>
          <w:color w:val="000000" w:themeColor="text1"/>
          <w:sz w:val="22"/>
        </w:rPr>
        <w:t>(</w:t>
      </w:r>
      <w:r w:rsidR="00690EC4" w:rsidRPr="00140220">
        <w:rPr>
          <w:rFonts w:ascii="Calibri" w:hAnsi="Calibri" w:cs="Calibri"/>
          <w:color w:val="000000" w:themeColor="text1"/>
          <w:sz w:val="22"/>
        </w:rPr>
        <w:t>e.g</w:t>
      </w:r>
      <w:r w:rsidR="00690EC4">
        <w:rPr>
          <w:rFonts w:ascii="Calibri" w:hAnsi="Calibri" w:cs="Calibri"/>
          <w:color w:val="000000" w:themeColor="text1"/>
          <w:sz w:val="22"/>
        </w:rPr>
        <w:t>.</w:t>
      </w:r>
      <w:r w:rsidR="00690EC4" w:rsidRPr="00140220">
        <w:rPr>
          <w:rFonts w:ascii="Calibri" w:hAnsi="Calibri" w:cs="Calibri"/>
          <w:color w:val="000000" w:themeColor="text1"/>
          <w:sz w:val="22"/>
        </w:rPr>
        <w:t xml:space="preserve"> sputum induction, naso-pharyngeal aspirate, gastric aspirate</w:t>
      </w:r>
      <w:r w:rsidR="00690EC4">
        <w:rPr>
          <w:rFonts w:ascii="Calibri" w:hAnsi="Calibri" w:cs="Calibri"/>
          <w:color w:val="000000" w:themeColor="text1"/>
          <w:sz w:val="22"/>
        </w:rPr>
        <w:t xml:space="preserve">) needs to be linked to the identified centres undertaking referral activities.  </w:t>
      </w:r>
      <w:r w:rsidR="00690EC4" w:rsidRPr="00140220">
        <w:rPr>
          <w:rFonts w:ascii="Calibri" w:hAnsi="Calibri" w:cs="Calibri"/>
          <w:color w:val="000000" w:themeColor="text1"/>
          <w:sz w:val="22"/>
        </w:rPr>
        <w:t>Stool has now been recommended as a specimen for the diagnosis of PTB in children using Xpert</w:t>
      </w:r>
      <w:r w:rsidR="00690EC4">
        <w:rPr>
          <w:rFonts w:ascii="Calibri" w:hAnsi="Calibri" w:cs="Calibri"/>
          <w:color w:val="000000" w:themeColor="text1"/>
          <w:sz w:val="22"/>
        </w:rPr>
        <w:t xml:space="preserve"> and with the upcoming guidance from WHO, will be rolled out accordingly. </w:t>
      </w:r>
      <w:r w:rsidR="00690EC4">
        <w:rPr>
          <w:rFonts w:asciiTheme="minorHAnsi" w:hAnsiTheme="minorHAnsi" w:cstheme="minorHAnsi"/>
          <w:sz w:val="22"/>
        </w:rPr>
        <w:t xml:space="preserve"> </w:t>
      </w:r>
    </w:p>
    <w:p w14:paraId="1FAB9B44" w14:textId="09C315A8" w:rsidR="00690EC4" w:rsidRPr="00690EC4" w:rsidRDefault="00690EC4" w:rsidP="00690EC4">
      <w:pPr>
        <w:spacing w:before="0" w:after="0"/>
        <w:ind w:left="270"/>
        <w:jc w:val="both"/>
        <w:rPr>
          <w:rFonts w:asciiTheme="minorHAnsi" w:hAnsiTheme="minorHAnsi" w:cstheme="minorHAnsi"/>
          <w:sz w:val="22"/>
        </w:rPr>
      </w:pPr>
      <w:r>
        <w:rPr>
          <w:rFonts w:asciiTheme="minorHAnsi" w:hAnsiTheme="minorHAnsi" w:cstheme="minorHAnsi"/>
          <w:b/>
          <w:sz w:val="22"/>
        </w:rPr>
        <w:t xml:space="preserve">4.3.2.6 </w:t>
      </w:r>
      <w:r>
        <w:rPr>
          <w:rFonts w:ascii="Calibri" w:hAnsi="Calibri" w:cs="Calibri"/>
          <w:color w:val="000000"/>
          <w:sz w:val="22"/>
        </w:rPr>
        <w:t>Address the implementation challenges of making clinical diagnosis (DS-TB and DR-TB) using the existing algorithms for paediatric TB population which included non-responders.</w:t>
      </w:r>
    </w:p>
    <w:p w14:paraId="0BCC718D" w14:textId="51B4393F" w:rsidR="008858C9" w:rsidRPr="005E6B59" w:rsidRDefault="00690EC4" w:rsidP="005E6B59">
      <w:pPr>
        <w:spacing w:before="0" w:after="0"/>
        <w:ind w:left="270"/>
        <w:jc w:val="both"/>
        <w:rPr>
          <w:rFonts w:asciiTheme="minorHAnsi" w:hAnsiTheme="minorHAnsi" w:cstheme="minorHAnsi"/>
          <w:sz w:val="22"/>
        </w:rPr>
      </w:pPr>
      <w:r>
        <w:rPr>
          <w:rFonts w:asciiTheme="minorHAnsi" w:hAnsiTheme="minorHAnsi" w:cstheme="minorHAnsi"/>
          <w:b/>
          <w:sz w:val="22"/>
        </w:rPr>
        <w:t xml:space="preserve">4.3.2.7 </w:t>
      </w:r>
      <w:r w:rsidR="008858C9" w:rsidRPr="005E6B59">
        <w:rPr>
          <w:rFonts w:asciiTheme="minorHAnsi" w:hAnsiTheme="minorHAnsi" w:cstheme="minorHAnsi"/>
          <w:sz w:val="22"/>
        </w:rPr>
        <w:t>Including differentiated service delivery models considering the different needs of age groups/ population groups and rolling out child friendly TB formulations for</w:t>
      </w:r>
      <w:r w:rsidR="00010147">
        <w:rPr>
          <w:rFonts w:asciiTheme="minorHAnsi" w:hAnsiTheme="minorHAnsi" w:cstheme="minorHAnsi"/>
          <w:sz w:val="22"/>
        </w:rPr>
        <w:t xml:space="preserve"> pediatric</w:t>
      </w:r>
      <w:r w:rsidR="008858C9" w:rsidRPr="005E6B59">
        <w:rPr>
          <w:rFonts w:asciiTheme="minorHAnsi" w:hAnsiTheme="minorHAnsi" w:cstheme="minorHAnsi"/>
          <w:sz w:val="22"/>
        </w:rPr>
        <w:t xml:space="preserve"> DRTB and TPT</w:t>
      </w:r>
    </w:p>
    <w:p w14:paraId="3D2CEC1D" w14:textId="7D185123"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w:t>
      </w:r>
      <w:r w:rsidR="00690EC4">
        <w:rPr>
          <w:rFonts w:asciiTheme="minorHAnsi" w:hAnsiTheme="minorHAnsi" w:cstheme="minorHAnsi"/>
          <w:b/>
          <w:sz w:val="22"/>
        </w:rPr>
        <w:t>8</w:t>
      </w:r>
      <w:r>
        <w:rPr>
          <w:rFonts w:asciiTheme="minorHAnsi" w:hAnsiTheme="minorHAnsi" w:cstheme="minorHAnsi"/>
          <w:sz w:val="22"/>
        </w:rPr>
        <w:t xml:space="preserve"> </w:t>
      </w:r>
      <w:r w:rsidR="008858C9" w:rsidRPr="005E6B59">
        <w:rPr>
          <w:rFonts w:asciiTheme="minorHAnsi" w:hAnsiTheme="minorHAnsi" w:cstheme="minorHAnsi"/>
          <w:sz w:val="22"/>
        </w:rPr>
        <w:t xml:space="preserve">Enhance surveillance through monitoring of age-disaggregated numbers, strengthening contact/reverse contact tracing, ensuring linkage of child </w:t>
      </w:r>
      <w:r w:rsidR="00AF41B5" w:rsidRPr="005E6B59">
        <w:rPr>
          <w:rFonts w:asciiTheme="minorHAnsi" w:hAnsiTheme="minorHAnsi" w:cstheme="minorHAnsi"/>
          <w:sz w:val="22"/>
        </w:rPr>
        <w:t>and</w:t>
      </w:r>
      <w:r w:rsidR="008858C9" w:rsidRPr="005E6B59">
        <w:rPr>
          <w:rFonts w:asciiTheme="minorHAnsi" w:hAnsiTheme="minorHAnsi" w:cstheme="minorHAnsi"/>
          <w:sz w:val="22"/>
        </w:rPr>
        <w:t xml:space="preserve"> family index case</w:t>
      </w:r>
    </w:p>
    <w:p w14:paraId="7F6AEFB8" w14:textId="3D850F2D"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lastRenderedPageBreak/>
        <w:t>4.3.</w:t>
      </w:r>
      <w:r>
        <w:rPr>
          <w:rFonts w:asciiTheme="minorHAnsi" w:hAnsiTheme="minorHAnsi" w:cstheme="minorHAnsi"/>
          <w:b/>
          <w:sz w:val="22"/>
        </w:rPr>
        <w:t>2.</w:t>
      </w:r>
      <w:r w:rsidR="00690EC4">
        <w:rPr>
          <w:rFonts w:asciiTheme="minorHAnsi" w:hAnsiTheme="minorHAnsi" w:cstheme="minorHAnsi"/>
          <w:b/>
          <w:sz w:val="22"/>
        </w:rPr>
        <w:t>9</w:t>
      </w:r>
      <w:r>
        <w:rPr>
          <w:rFonts w:asciiTheme="minorHAnsi" w:hAnsiTheme="minorHAnsi" w:cstheme="minorHAnsi"/>
          <w:sz w:val="22"/>
        </w:rPr>
        <w:t xml:space="preserve"> </w:t>
      </w:r>
      <w:r w:rsidR="008858C9" w:rsidRPr="005E6B59">
        <w:rPr>
          <w:rFonts w:asciiTheme="minorHAnsi" w:hAnsiTheme="minorHAnsi" w:cstheme="minorHAnsi"/>
          <w:sz w:val="22"/>
        </w:rPr>
        <w:t>Scale up Centre of excellence for Pediatric TB and expand scope of activities</w:t>
      </w:r>
    </w:p>
    <w:p w14:paraId="447B6838" w14:textId="1211FBD9"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sidR="00690EC4">
        <w:rPr>
          <w:rFonts w:asciiTheme="minorHAnsi" w:hAnsiTheme="minorHAnsi" w:cstheme="minorHAnsi"/>
          <w:b/>
          <w:sz w:val="22"/>
        </w:rPr>
        <w:t>2.10</w:t>
      </w:r>
      <w:r>
        <w:rPr>
          <w:rFonts w:asciiTheme="minorHAnsi" w:hAnsiTheme="minorHAnsi" w:cstheme="minorHAnsi"/>
          <w:sz w:val="22"/>
        </w:rPr>
        <w:t xml:space="preserve"> </w:t>
      </w:r>
      <w:r w:rsidR="008858C9" w:rsidRPr="005E6B59">
        <w:rPr>
          <w:rFonts w:asciiTheme="minorHAnsi" w:hAnsiTheme="minorHAnsi" w:cstheme="minorHAnsi"/>
          <w:sz w:val="22"/>
        </w:rPr>
        <w:t>Capacity building activities using all methodologies, including e-learning platforms.</w:t>
      </w:r>
    </w:p>
    <w:p w14:paraId="4D5A0848" w14:textId="6E4EBF1F"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sidR="00690EC4">
        <w:rPr>
          <w:rFonts w:asciiTheme="minorHAnsi" w:hAnsiTheme="minorHAnsi" w:cstheme="minorHAnsi"/>
          <w:b/>
          <w:sz w:val="22"/>
        </w:rPr>
        <w:t>2.11 l</w:t>
      </w:r>
      <w:r w:rsidR="008858C9" w:rsidRPr="005E6B59">
        <w:rPr>
          <w:rFonts w:asciiTheme="minorHAnsi" w:hAnsiTheme="minorHAnsi" w:cstheme="minorHAnsi"/>
          <w:sz w:val="22"/>
        </w:rPr>
        <w:t xml:space="preserve">everaging the engagement of Indian Academy of Pediatricians for notifying all diagnosed TB patients to NTEP </w:t>
      </w:r>
    </w:p>
    <w:p w14:paraId="11FC8721" w14:textId="276C1DF9"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w:t>
      </w:r>
      <w:r w:rsidRPr="005E6B59">
        <w:rPr>
          <w:rFonts w:asciiTheme="minorHAnsi" w:hAnsiTheme="minorHAnsi" w:cstheme="minorHAnsi"/>
          <w:b/>
          <w:sz w:val="22"/>
        </w:rPr>
        <w:t>.1</w:t>
      </w:r>
      <w:r w:rsidR="00690EC4">
        <w:rPr>
          <w:rFonts w:asciiTheme="minorHAnsi" w:hAnsiTheme="minorHAnsi" w:cstheme="minorHAnsi"/>
          <w:b/>
          <w:sz w:val="22"/>
        </w:rPr>
        <w:t>2</w:t>
      </w:r>
      <w:r>
        <w:rPr>
          <w:rFonts w:asciiTheme="minorHAnsi" w:hAnsiTheme="minorHAnsi" w:cstheme="minorHAnsi"/>
          <w:sz w:val="22"/>
        </w:rPr>
        <w:t xml:space="preserve"> </w:t>
      </w:r>
      <w:r w:rsidR="008858C9" w:rsidRPr="005E6B59">
        <w:rPr>
          <w:rFonts w:asciiTheme="minorHAnsi" w:hAnsiTheme="minorHAnsi" w:cstheme="minorHAnsi"/>
          <w:sz w:val="22"/>
        </w:rPr>
        <w:t xml:space="preserve">Strengthen collaboration with Child health programme and Rashtriya </w:t>
      </w:r>
      <w:r w:rsidR="00693FC5" w:rsidRPr="005E6B59">
        <w:rPr>
          <w:rFonts w:asciiTheme="minorHAnsi" w:hAnsiTheme="minorHAnsi" w:cstheme="minorHAnsi"/>
          <w:sz w:val="22"/>
        </w:rPr>
        <w:t>BAL</w:t>
      </w:r>
      <w:r w:rsidR="008858C9" w:rsidRPr="005E6B59">
        <w:rPr>
          <w:rFonts w:asciiTheme="minorHAnsi" w:hAnsiTheme="minorHAnsi" w:cstheme="minorHAnsi"/>
          <w:sz w:val="22"/>
        </w:rPr>
        <w:t xml:space="preserve"> Suraksha Karyakarm (RBSK) Programme to reach the paediatric population, spread awareness regarding TB and ensure the instant referral of symptomatic cases to nearest health facilities.</w:t>
      </w:r>
    </w:p>
    <w:p w14:paraId="1FD8AFB8" w14:textId="094DEC75"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w:t>
      </w:r>
      <w:r w:rsidRPr="005E6B59">
        <w:rPr>
          <w:rFonts w:asciiTheme="minorHAnsi" w:hAnsiTheme="minorHAnsi" w:cstheme="minorHAnsi"/>
          <w:b/>
          <w:sz w:val="22"/>
        </w:rPr>
        <w:t>.1</w:t>
      </w:r>
      <w:r w:rsidR="00690EC4">
        <w:rPr>
          <w:rFonts w:asciiTheme="minorHAnsi" w:hAnsiTheme="minorHAnsi" w:cstheme="minorHAnsi"/>
          <w:b/>
          <w:sz w:val="22"/>
        </w:rPr>
        <w:t>3</w:t>
      </w:r>
      <w:r>
        <w:rPr>
          <w:rFonts w:asciiTheme="minorHAnsi" w:hAnsiTheme="minorHAnsi" w:cstheme="minorHAnsi"/>
          <w:sz w:val="22"/>
        </w:rPr>
        <w:t xml:space="preserve"> </w:t>
      </w:r>
      <w:r w:rsidR="008858C9" w:rsidRPr="005E6B59">
        <w:rPr>
          <w:rFonts w:asciiTheme="minorHAnsi" w:hAnsiTheme="minorHAnsi" w:cstheme="minorHAnsi"/>
          <w:sz w:val="22"/>
        </w:rPr>
        <w:t>Engage with Rashtriya Kishor Swasthya Karyakram - RKSK (Adolescent Health Programme) to address TB burden among adolescent population and ensuring psychosocial support including education for school age children and adolescent with TB</w:t>
      </w:r>
    </w:p>
    <w:p w14:paraId="56D9D832" w14:textId="59EFFA26"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w:t>
      </w:r>
      <w:r w:rsidRPr="005E6B59">
        <w:rPr>
          <w:rFonts w:asciiTheme="minorHAnsi" w:hAnsiTheme="minorHAnsi" w:cstheme="minorHAnsi"/>
          <w:b/>
          <w:sz w:val="22"/>
        </w:rPr>
        <w:t>.1</w:t>
      </w:r>
      <w:r w:rsidR="00690EC4">
        <w:rPr>
          <w:rFonts w:asciiTheme="minorHAnsi" w:hAnsiTheme="minorHAnsi" w:cstheme="minorHAnsi"/>
          <w:b/>
          <w:sz w:val="22"/>
        </w:rPr>
        <w:t>4</w:t>
      </w:r>
      <w:r>
        <w:rPr>
          <w:rFonts w:asciiTheme="minorHAnsi" w:hAnsiTheme="minorHAnsi" w:cstheme="minorHAnsi"/>
          <w:sz w:val="22"/>
        </w:rPr>
        <w:t xml:space="preserve"> </w:t>
      </w:r>
      <w:r w:rsidR="008858C9" w:rsidRPr="005E6B59">
        <w:rPr>
          <w:rFonts w:asciiTheme="minorHAnsi" w:hAnsiTheme="minorHAnsi" w:cstheme="minorHAnsi"/>
          <w:sz w:val="22"/>
        </w:rPr>
        <w:t>Ensure adequate representation of the Pediatric population in operational research under the programme. Priority research areas to include sensitive point of care diagnostics (non-sputum based), validation of newer drugs/regimens and vaccines, Paediatric TB care models and effect of TB–re</w:t>
      </w:r>
      <w:r w:rsidR="008D5BD5" w:rsidRPr="005E6B59">
        <w:rPr>
          <w:rFonts w:asciiTheme="minorHAnsi" w:hAnsiTheme="minorHAnsi" w:cstheme="minorHAnsi"/>
          <w:sz w:val="22"/>
        </w:rPr>
        <w:t>lated stigma an</w:t>
      </w:r>
      <w:r w:rsidR="00ED786A">
        <w:rPr>
          <w:rFonts w:asciiTheme="minorHAnsi" w:hAnsiTheme="minorHAnsi" w:cstheme="minorHAnsi"/>
          <w:sz w:val="22"/>
        </w:rPr>
        <w:t>d</w:t>
      </w:r>
      <w:r w:rsidR="008D5BD5" w:rsidRPr="005E6B59">
        <w:rPr>
          <w:rFonts w:asciiTheme="minorHAnsi" w:hAnsiTheme="minorHAnsi" w:cstheme="minorHAnsi"/>
          <w:sz w:val="22"/>
        </w:rPr>
        <w:t xml:space="preserve"> discrimination of</w:t>
      </w:r>
      <w:r w:rsidR="008858C9" w:rsidRPr="005E6B59">
        <w:rPr>
          <w:rFonts w:asciiTheme="minorHAnsi" w:hAnsiTheme="minorHAnsi" w:cstheme="minorHAnsi"/>
          <w:sz w:val="22"/>
        </w:rPr>
        <w:t xml:space="preserve"> children and adolescents with TB and reviewing implementation of the paediatric guidelines and evaluation of the impact of the guidelines</w:t>
      </w:r>
    </w:p>
    <w:p w14:paraId="7E47D266" w14:textId="0383B1F5" w:rsidR="008858C9" w:rsidRPr="005E6B59" w:rsidRDefault="005E6B59" w:rsidP="005E6B59">
      <w:pPr>
        <w:spacing w:before="0" w:after="0"/>
        <w:ind w:left="270"/>
        <w:jc w:val="both"/>
        <w:rPr>
          <w:rFonts w:asciiTheme="minorHAnsi" w:hAnsiTheme="minorHAnsi" w:cstheme="minorHAnsi"/>
          <w:sz w:val="22"/>
        </w:rPr>
      </w:pPr>
      <w:r w:rsidRPr="005E6B59">
        <w:rPr>
          <w:rFonts w:asciiTheme="minorHAnsi" w:hAnsiTheme="minorHAnsi" w:cstheme="minorHAnsi"/>
          <w:b/>
          <w:sz w:val="22"/>
        </w:rPr>
        <w:t>4.3.</w:t>
      </w:r>
      <w:r>
        <w:rPr>
          <w:rFonts w:asciiTheme="minorHAnsi" w:hAnsiTheme="minorHAnsi" w:cstheme="minorHAnsi"/>
          <w:b/>
          <w:sz w:val="22"/>
        </w:rPr>
        <w:t>2</w:t>
      </w:r>
      <w:r w:rsidRPr="005E6B59">
        <w:rPr>
          <w:rFonts w:asciiTheme="minorHAnsi" w:hAnsiTheme="minorHAnsi" w:cstheme="minorHAnsi"/>
          <w:b/>
          <w:sz w:val="22"/>
        </w:rPr>
        <w:t>.1</w:t>
      </w:r>
      <w:r w:rsidR="00690EC4">
        <w:rPr>
          <w:rFonts w:asciiTheme="minorHAnsi" w:hAnsiTheme="minorHAnsi" w:cstheme="minorHAnsi"/>
          <w:b/>
          <w:sz w:val="22"/>
        </w:rPr>
        <w:t>5</w:t>
      </w:r>
      <w:r>
        <w:rPr>
          <w:rFonts w:asciiTheme="minorHAnsi" w:hAnsiTheme="minorHAnsi" w:cstheme="minorHAnsi"/>
          <w:sz w:val="22"/>
        </w:rPr>
        <w:t xml:space="preserve"> </w:t>
      </w:r>
      <w:r w:rsidR="009215C4" w:rsidRPr="005E6B59">
        <w:rPr>
          <w:rFonts w:asciiTheme="minorHAnsi" w:hAnsiTheme="minorHAnsi" w:cstheme="minorHAnsi"/>
          <w:sz w:val="22"/>
        </w:rPr>
        <w:t>Partner</w:t>
      </w:r>
      <w:r w:rsidR="008858C9" w:rsidRPr="005E6B59">
        <w:rPr>
          <w:rFonts w:asciiTheme="minorHAnsi" w:hAnsiTheme="minorHAnsi" w:cstheme="minorHAnsi"/>
          <w:sz w:val="22"/>
        </w:rPr>
        <w:t xml:space="preserve"> with the Ministry of Women and Child Development to address the missing cases in the community</w:t>
      </w:r>
    </w:p>
    <w:p w14:paraId="245F83E6" w14:textId="77777777" w:rsidR="008858C9" w:rsidRPr="008858C9" w:rsidRDefault="008858C9" w:rsidP="00100F99">
      <w:pPr>
        <w:spacing w:before="0" w:after="0"/>
        <w:ind w:left="720"/>
        <w:jc w:val="both"/>
        <w:rPr>
          <w:rFonts w:asciiTheme="minorHAnsi" w:hAnsiTheme="minorHAnsi" w:cstheme="minorHAnsi"/>
          <w:b/>
          <w:sz w:val="22"/>
        </w:rPr>
      </w:pPr>
    </w:p>
    <w:p w14:paraId="7F53D74E" w14:textId="6D1E89AD" w:rsidR="008858C9" w:rsidRPr="00E52874" w:rsidRDefault="00E52874" w:rsidP="00E52874">
      <w:pPr>
        <w:spacing w:before="0" w:after="0"/>
        <w:jc w:val="both"/>
        <w:rPr>
          <w:rFonts w:asciiTheme="minorHAnsi" w:hAnsiTheme="minorHAnsi" w:cstheme="minorHAnsi"/>
          <w:sz w:val="22"/>
        </w:rPr>
      </w:pPr>
      <w:r>
        <w:rPr>
          <w:rFonts w:asciiTheme="minorHAnsi" w:hAnsiTheme="minorHAnsi" w:cstheme="minorHAnsi"/>
          <w:b/>
          <w:sz w:val="22"/>
        </w:rPr>
        <w:t xml:space="preserve">4.3.3 </w:t>
      </w:r>
      <w:r w:rsidR="008858C9" w:rsidRPr="00E52874">
        <w:rPr>
          <w:rFonts w:asciiTheme="minorHAnsi" w:hAnsiTheme="minorHAnsi" w:cstheme="minorHAnsi"/>
          <w:b/>
          <w:sz w:val="22"/>
        </w:rPr>
        <w:t>Malnutrition and TB</w:t>
      </w:r>
      <w:r w:rsidR="008858C9" w:rsidRPr="00E52874">
        <w:rPr>
          <w:rFonts w:asciiTheme="minorHAnsi" w:hAnsiTheme="minorHAnsi" w:cstheme="minorHAnsi"/>
          <w:sz w:val="22"/>
        </w:rPr>
        <w:t xml:space="preserve"> - </w:t>
      </w:r>
      <w:r w:rsidR="008858C9" w:rsidRPr="00E52874">
        <w:rPr>
          <w:rFonts w:asciiTheme="minorHAnsi" w:hAnsiTheme="minorHAnsi" w:cstheme="minorHAnsi"/>
          <w:b/>
          <w:sz w:val="22"/>
        </w:rPr>
        <w:t>strategic interventions</w:t>
      </w:r>
    </w:p>
    <w:p w14:paraId="4E77D9D9" w14:textId="098CA9E9"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4.3.3.1 </w:t>
      </w:r>
      <w:r w:rsidR="00236A80" w:rsidRPr="00E52874">
        <w:rPr>
          <w:rFonts w:asciiTheme="minorHAnsi" w:hAnsiTheme="minorHAnsi" w:cstheme="minorHAnsi"/>
          <w:sz w:val="22"/>
        </w:rPr>
        <w:t>Strengthen</w:t>
      </w:r>
      <w:r w:rsidR="008858C9" w:rsidRPr="00E52874">
        <w:rPr>
          <w:rFonts w:asciiTheme="minorHAnsi" w:hAnsiTheme="minorHAnsi" w:cstheme="minorHAnsi"/>
          <w:sz w:val="22"/>
        </w:rPr>
        <w:t xml:space="preserve"> nutritional assessment and counseling of TB patients through adequate capacity building of treatment supporters/Community Health Officers, leveraging IT tools and ensuring linkages to hospitals for cases requiring admission. Empowering patients for self-assessment of nutritional status and guidance on locally available nutritious food through Nikshay mobile application.</w:t>
      </w:r>
    </w:p>
    <w:p w14:paraId="66ED4640" w14:textId="095C497C" w:rsidR="008858C9"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4.3.3.2 </w:t>
      </w:r>
      <w:r w:rsidR="008858C9" w:rsidRPr="00E52874">
        <w:rPr>
          <w:rFonts w:asciiTheme="minorHAnsi" w:hAnsiTheme="minorHAnsi" w:cstheme="minorHAnsi"/>
          <w:sz w:val="22"/>
        </w:rPr>
        <w:t>Scale up community based nutrition interventions and expand linkage to social support schemes/vocational training</w:t>
      </w:r>
      <w:r w:rsidR="00690EC4">
        <w:rPr>
          <w:rFonts w:asciiTheme="minorHAnsi" w:hAnsiTheme="minorHAnsi" w:cstheme="minorHAnsi"/>
          <w:sz w:val="22"/>
        </w:rPr>
        <w:t xml:space="preserve"> </w:t>
      </w:r>
    </w:p>
    <w:p w14:paraId="57523F89" w14:textId="3C992788" w:rsidR="00690EC4" w:rsidRPr="00E52874" w:rsidRDefault="00690EC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4.3.3.3 </w:t>
      </w:r>
      <w:r w:rsidRPr="00690EC4">
        <w:rPr>
          <w:rFonts w:asciiTheme="minorHAnsi" w:hAnsiTheme="minorHAnsi" w:cstheme="minorHAnsi"/>
          <w:sz w:val="22"/>
        </w:rPr>
        <w:t>Intensify the linkage between NTEP and Nutrition Rehabilitation centres for TB screening among malnourished</w:t>
      </w:r>
    </w:p>
    <w:p w14:paraId="37ACFF16" w14:textId="2120F127" w:rsidR="008858C9" w:rsidRPr="00E52874" w:rsidRDefault="00690EC4" w:rsidP="00E52874">
      <w:pPr>
        <w:spacing w:before="0" w:after="0"/>
        <w:ind w:left="270"/>
        <w:jc w:val="both"/>
        <w:rPr>
          <w:rFonts w:asciiTheme="minorHAnsi" w:hAnsiTheme="minorHAnsi" w:cstheme="minorHAnsi"/>
          <w:sz w:val="22"/>
        </w:rPr>
      </w:pPr>
      <w:r>
        <w:rPr>
          <w:rFonts w:asciiTheme="minorHAnsi" w:hAnsiTheme="minorHAnsi" w:cstheme="minorHAnsi"/>
          <w:b/>
          <w:sz w:val="22"/>
        </w:rPr>
        <w:t>4.3.3.4</w:t>
      </w:r>
      <w:r w:rsidR="00E52874">
        <w:rPr>
          <w:rFonts w:asciiTheme="minorHAnsi" w:hAnsiTheme="minorHAnsi" w:cstheme="minorHAnsi"/>
          <w:b/>
          <w:sz w:val="22"/>
        </w:rPr>
        <w:t xml:space="preserve"> </w:t>
      </w:r>
      <w:r w:rsidR="008858C9" w:rsidRPr="00E52874">
        <w:rPr>
          <w:rFonts w:asciiTheme="minorHAnsi" w:hAnsiTheme="minorHAnsi" w:cstheme="minorHAnsi"/>
          <w:sz w:val="22"/>
        </w:rPr>
        <w:t>Research on impact of social support/assistance initiatives in Ending TB</w:t>
      </w:r>
    </w:p>
    <w:p w14:paraId="02C2AFCF" w14:textId="22C52026" w:rsidR="008858C9" w:rsidRPr="00E52874" w:rsidRDefault="00690EC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4.3.3.5 </w:t>
      </w:r>
      <w:r w:rsidR="00827547" w:rsidRPr="00E52874">
        <w:rPr>
          <w:rFonts w:asciiTheme="minorHAnsi" w:hAnsiTheme="minorHAnsi" w:cstheme="minorHAnsi"/>
          <w:sz w:val="22"/>
        </w:rPr>
        <w:t>Expand</w:t>
      </w:r>
      <w:r w:rsidR="008858C9" w:rsidRPr="00E52874">
        <w:rPr>
          <w:rFonts w:asciiTheme="minorHAnsi" w:hAnsiTheme="minorHAnsi" w:cstheme="minorHAnsi"/>
          <w:sz w:val="22"/>
        </w:rPr>
        <w:t xml:space="preserve"> scope of engagement under Poshan Abhiyan of Ministry of Women and Child Development</w:t>
      </w:r>
    </w:p>
    <w:p w14:paraId="01DF5040" w14:textId="0C3DC908" w:rsidR="008858C9" w:rsidRPr="00E52874" w:rsidRDefault="00690EC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4.3.3.6 </w:t>
      </w:r>
      <w:r w:rsidR="00827547" w:rsidRPr="00E52874">
        <w:rPr>
          <w:rFonts w:asciiTheme="minorHAnsi" w:hAnsiTheme="minorHAnsi" w:cstheme="minorHAnsi"/>
          <w:sz w:val="22"/>
        </w:rPr>
        <w:t>Engage</w:t>
      </w:r>
      <w:r w:rsidR="008858C9" w:rsidRPr="00E52874">
        <w:rPr>
          <w:rFonts w:asciiTheme="minorHAnsi" w:hAnsiTheme="minorHAnsi" w:cstheme="minorHAnsi"/>
          <w:sz w:val="22"/>
        </w:rPr>
        <w:t xml:space="preserve"> with Department of Food and Public Distribution for enhancing food security </w:t>
      </w:r>
    </w:p>
    <w:p w14:paraId="6F1655A1" w14:textId="77777777" w:rsidR="008858C9" w:rsidRPr="008858C9" w:rsidRDefault="008858C9" w:rsidP="00100F99">
      <w:pPr>
        <w:spacing w:before="0" w:after="0"/>
        <w:ind w:left="1440"/>
        <w:jc w:val="both"/>
        <w:rPr>
          <w:rFonts w:asciiTheme="minorHAnsi" w:hAnsiTheme="minorHAnsi" w:cstheme="minorHAnsi"/>
          <w:sz w:val="22"/>
        </w:rPr>
      </w:pPr>
    </w:p>
    <w:p w14:paraId="46E00309" w14:textId="4789F731" w:rsidR="008858C9" w:rsidRPr="00E52874" w:rsidRDefault="00E52874" w:rsidP="00E52874">
      <w:pPr>
        <w:spacing w:before="0" w:after="0"/>
        <w:jc w:val="both"/>
        <w:rPr>
          <w:rFonts w:asciiTheme="minorHAnsi" w:hAnsiTheme="minorHAnsi" w:cstheme="minorHAnsi"/>
          <w:b/>
          <w:sz w:val="22"/>
        </w:rPr>
      </w:pPr>
      <w:r>
        <w:rPr>
          <w:rFonts w:asciiTheme="minorHAnsi" w:hAnsiTheme="minorHAnsi" w:cstheme="minorHAnsi"/>
          <w:b/>
          <w:sz w:val="22"/>
        </w:rPr>
        <w:t xml:space="preserve">4.3.4 </w:t>
      </w:r>
      <w:r w:rsidR="00010147">
        <w:rPr>
          <w:rFonts w:asciiTheme="minorHAnsi" w:hAnsiTheme="minorHAnsi" w:cstheme="minorHAnsi"/>
          <w:b/>
          <w:sz w:val="22"/>
        </w:rPr>
        <w:t xml:space="preserve">Alcohol dependence/substance </w:t>
      </w:r>
      <w:r w:rsidR="008858C9" w:rsidRPr="00E52874">
        <w:rPr>
          <w:rFonts w:asciiTheme="minorHAnsi" w:hAnsiTheme="minorHAnsi" w:cstheme="minorHAnsi"/>
          <w:b/>
          <w:sz w:val="22"/>
        </w:rPr>
        <w:t xml:space="preserve">use </w:t>
      </w:r>
      <w:r w:rsidR="008858C9" w:rsidRPr="00E52874">
        <w:rPr>
          <w:rFonts w:asciiTheme="minorHAnsi" w:hAnsiTheme="minorHAnsi" w:cstheme="minorHAnsi"/>
          <w:sz w:val="22"/>
        </w:rPr>
        <w:t xml:space="preserve">- </w:t>
      </w:r>
      <w:r w:rsidR="008858C9" w:rsidRPr="00E52874">
        <w:rPr>
          <w:rFonts w:asciiTheme="minorHAnsi" w:hAnsiTheme="minorHAnsi" w:cstheme="minorHAnsi"/>
          <w:b/>
          <w:sz w:val="22"/>
        </w:rPr>
        <w:t xml:space="preserve">strategic interventions </w:t>
      </w:r>
    </w:p>
    <w:p w14:paraId="1AE144B7" w14:textId="2B7A957B"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4.3.4.1 </w:t>
      </w:r>
      <w:r w:rsidR="00827547" w:rsidRPr="00E52874">
        <w:rPr>
          <w:rFonts w:asciiTheme="minorHAnsi" w:hAnsiTheme="minorHAnsi" w:cstheme="minorHAnsi"/>
          <w:sz w:val="22"/>
        </w:rPr>
        <w:t>Develop</w:t>
      </w:r>
      <w:r w:rsidR="008858C9" w:rsidRPr="00E52874">
        <w:rPr>
          <w:rFonts w:asciiTheme="minorHAnsi" w:hAnsiTheme="minorHAnsi" w:cstheme="minorHAnsi"/>
          <w:sz w:val="22"/>
        </w:rPr>
        <w:t xml:space="preserve"> of framework for TB associated with Alcohol consumption</w:t>
      </w:r>
    </w:p>
    <w:p w14:paraId="4F15EF28" w14:textId="7C60C93E"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4.3.4.2 </w:t>
      </w:r>
      <w:r w:rsidR="00827547" w:rsidRPr="00E52874">
        <w:rPr>
          <w:rFonts w:asciiTheme="minorHAnsi" w:hAnsiTheme="minorHAnsi" w:cstheme="minorHAnsi"/>
          <w:sz w:val="22"/>
        </w:rPr>
        <w:t>Roll out the framework for</w:t>
      </w:r>
      <w:r w:rsidR="008858C9" w:rsidRPr="00E52874">
        <w:rPr>
          <w:rFonts w:asciiTheme="minorHAnsi" w:hAnsiTheme="minorHAnsi" w:cstheme="minorHAnsi"/>
          <w:sz w:val="22"/>
        </w:rPr>
        <w:t xml:space="preserve"> bi-directional screen </w:t>
      </w:r>
      <w:r w:rsidR="00827547" w:rsidRPr="00E52874">
        <w:rPr>
          <w:rFonts w:asciiTheme="minorHAnsi" w:hAnsiTheme="minorHAnsi" w:cstheme="minorHAnsi"/>
          <w:sz w:val="22"/>
        </w:rPr>
        <w:t>of</w:t>
      </w:r>
      <w:r w:rsidR="008858C9" w:rsidRPr="00E52874">
        <w:rPr>
          <w:rFonts w:asciiTheme="minorHAnsi" w:hAnsiTheme="minorHAnsi" w:cstheme="minorHAnsi"/>
          <w:sz w:val="22"/>
        </w:rPr>
        <w:t xml:space="preserve"> TB and alcohol consumption/</w:t>
      </w:r>
      <w:r w:rsidR="00827547" w:rsidRPr="00E52874">
        <w:rPr>
          <w:rFonts w:asciiTheme="minorHAnsi" w:hAnsiTheme="minorHAnsi" w:cstheme="minorHAnsi"/>
          <w:sz w:val="22"/>
        </w:rPr>
        <w:t xml:space="preserve"> </w:t>
      </w:r>
      <w:r w:rsidR="008858C9" w:rsidRPr="00276326">
        <w:rPr>
          <w:rFonts w:asciiTheme="minorHAnsi" w:hAnsiTheme="minorHAnsi" w:cstheme="minorHAnsi"/>
          <w:sz w:val="22"/>
        </w:rPr>
        <w:t>substance use and vice versa in De-addiction centres, Integrated Rehabilitation Centre for Addicts (IR</w:t>
      </w:r>
      <w:r w:rsidR="00276326" w:rsidRPr="00276326">
        <w:rPr>
          <w:rFonts w:asciiTheme="minorHAnsi" w:hAnsiTheme="minorHAnsi" w:cstheme="minorHAnsi"/>
          <w:sz w:val="22"/>
        </w:rPr>
        <w:t>C</w:t>
      </w:r>
      <w:r w:rsidR="008858C9" w:rsidRPr="00276326">
        <w:rPr>
          <w:rFonts w:asciiTheme="minorHAnsi" w:hAnsiTheme="minorHAnsi" w:cstheme="minorHAnsi"/>
          <w:sz w:val="22"/>
        </w:rPr>
        <w:t>A) etc.</w:t>
      </w:r>
    </w:p>
    <w:p w14:paraId="1784A0BC" w14:textId="68B3A012"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4.3.4 .3 </w:t>
      </w:r>
      <w:r w:rsidR="008858C9" w:rsidRPr="00E52874">
        <w:rPr>
          <w:rFonts w:asciiTheme="minorHAnsi" w:hAnsiTheme="minorHAnsi" w:cstheme="minorHAnsi"/>
          <w:sz w:val="22"/>
        </w:rPr>
        <w:t>Ensure adequate linkage to de-addiction services</w:t>
      </w:r>
    </w:p>
    <w:p w14:paraId="5616FF8C" w14:textId="63408AFF"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4.3.4.4 </w:t>
      </w:r>
      <w:r w:rsidR="008858C9" w:rsidRPr="00E52874">
        <w:rPr>
          <w:rFonts w:asciiTheme="minorHAnsi" w:hAnsiTheme="minorHAnsi" w:cstheme="minorHAnsi"/>
          <w:sz w:val="22"/>
        </w:rPr>
        <w:t>Placement of Treatment support counsellors/Capacity building of existing counsellors/leveraging call centre support to effectively counsel TB patients</w:t>
      </w:r>
    </w:p>
    <w:p w14:paraId="4B5680FD" w14:textId="665FBC3C"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4.3.4.5 </w:t>
      </w:r>
      <w:r w:rsidR="00827547" w:rsidRPr="00E52874">
        <w:rPr>
          <w:rFonts w:asciiTheme="minorHAnsi" w:hAnsiTheme="minorHAnsi" w:cstheme="minorHAnsi"/>
          <w:sz w:val="22"/>
        </w:rPr>
        <w:t>Develop</w:t>
      </w:r>
      <w:r w:rsidR="008858C9" w:rsidRPr="00E52874">
        <w:rPr>
          <w:rFonts w:asciiTheme="minorHAnsi" w:hAnsiTheme="minorHAnsi" w:cstheme="minorHAnsi"/>
          <w:sz w:val="22"/>
        </w:rPr>
        <w:t xml:space="preserve"> and roll-out of joint awareness campaigns to disseminate information on harmful effect of alcohol </w:t>
      </w:r>
      <w:r w:rsidR="00FD275E" w:rsidRPr="00E52874">
        <w:rPr>
          <w:rFonts w:asciiTheme="minorHAnsi" w:hAnsiTheme="minorHAnsi" w:cstheme="minorHAnsi"/>
          <w:sz w:val="22"/>
        </w:rPr>
        <w:t>dependence</w:t>
      </w:r>
      <w:r w:rsidR="008858C9" w:rsidRPr="00E52874">
        <w:rPr>
          <w:rFonts w:asciiTheme="minorHAnsi" w:hAnsiTheme="minorHAnsi" w:cstheme="minorHAnsi"/>
          <w:sz w:val="22"/>
        </w:rPr>
        <w:t>/substance abuse on TB</w:t>
      </w:r>
    </w:p>
    <w:p w14:paraId="509F4FA9" w14:textId="1C364F22"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4.3.4.6 </w:t>
      </w:r>
      <w:r w:rsidR="00827547" w:rsidRPr="00E52874">
        <w:rPr>
          <w:rFonts w:asciiTheme="minorHAnsi" w:hAnsiTheme="minorHAnsi" w:cstheme="minorHAnsi"/>
          <w:sz w:val="22"/>
        </w:rPr>
        <w:t>Involve</w:t>
      </w:r>
      <w:r w:rsidR="008858C9" w:rsidRPr="00E52874">
        <w:rPr>
          <w:rFonts w:asciiTheme="minorHAnsi" w:hAnsiTheme="minorHAnsi" w:cstheme="minorHAnsi"/>
          <w:sz w:val="22"/>
        </w:rPr>
        <w:t xml:space="preserve"> NGOs (including Alcoholics Anonymous</w:t>
      </w:r>
      <w:r w:rsidR="00A544EF">
        <w:rPr>
          <w:rFonts w:asciiTheme="minorHAnsi" w:hAnsiTheme="minorHAnsi" w:cstheme="minorHAnsi"/>
          <w:sz w:val="22"/>
        </w:rPr>
        <w:t xml:space="preserve"> and </w:t>
      </w:r>
      <w:r w:rsidR="00A544EF">
        <w:rPr>
          <w:rFonts w:ascii="Calibri" w:hAnsi="Calibri" w:cs="Calibri"/>
          <w:color w:val="000000" w:themeColor="text1"/>
          <w:sz w:val="22"/>
        </w:rPr>
        <w:t xml:space="preserve">networks of people using </w:t>
      </w:r>
      <w:r w:rsidR="00693FC5">
        <w:rPr>
          <w:rFonts w:ascii="Calibri" w:hAnsi="Calibri" w:cs="Calibri"/>
          <w:color w:val="000000" w:themeColor="text1"/>
          <w:sz w:val="22"/>
        </w:rPr>
        <w:t>drugs</w:t>
      </w:r>
      <w:r w:rsidR="00693FC5">
        <w:rPr>
          <w:rFonts w:asciiTheme="minorHAnsi" w:hAnsiTheme="minorHAnsi" w:cstheme="minorHAnsi"/>
          <w:sz w:val="22"/>
        </w:rPr>
        <w:t>)</w:t>
      </w:r>
      <w:r w:rsidR="008858C9" w:rsidRPr="00E52874">
        <w:rPr>
          <w:rFonts w:asciiTheme="minorHAnsi" w:hAnsiTheme="minorHAnsi" w:cstheme="minorHAnsi"/>
          <w:sz w:val="22"/>
        </w:rPr>
        <w:t xml:space="preserve"> to implement, monitor and track progress on these interventions</w:t>
      </w:r>
    </w:p>
    <w:p w14:paraId="0ABFF9DD" w14:textId="4AA76907"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4.3.4.7 </w:t>
      </w:r>
      <w:r w:rsidR="00827547" w:rsidRPr="00E52874">
        <w:rPr>
          <w:rFonts w:asciiTheme="minorHAnsi" w:hAnsiTheme="minorHAnsi" w:cstheme="minorHAnsi"/>
          <w:sz w:val="22"/>
        </w:rPr>
        <w:t>Establish</w:t>
      </w:r>
      <w:r w:rsidR="008858C9" w:rsidRPr="00E52874">
        <w:rPr>
          <w:rFonts w:asciiTheme="minorHAnsi" w:hAnsiTheme="minorHAnsi" w:cstheme="minorHAnsi"/>
          <w:sz w:val="22"/>
        </w:rPr>
        <w:t xml:space="preserve"> collaboration with Ministry of Social Justice </w:t>
      </w:r>
      <w:r w:rsidR="00AF41B5" w:rsidRPr="00E52874">
        <w:rPr>
          <w:rFonts w:asciiTheme="minorHAnsi" w:hAnsiTheme="minorHAnsi" w:cstheme="minorHAnsi"/>
          <w:sz w:val="22"/>
        </w:rPr>
        <w:t>and</w:t>
      </w:r>
      <w:r w:rsidR="008858C9" w:rsidRPr="00E52874">
        <w:rPr>
          <w:rFonts w:asciiTheme="minorHAnsi" w:hAnsiTheme="minorHAnsi" w:cstheme="minorHAnsi"/>
          <w:sz w:val="22"/>
        </w:rPr>
        <w:t xml:space="preserve"> Empowerment and National Drug Deaddiction Programme under MoHFW</w:t>
      </w:r>
      <w:r w:rsidR="00D6221A" w:rsidRPr="00E52874">
        <w:rPr>
          <w:rFonts w:asciiTheme="minorHAnsi" w:hAnsiTheme="minorHAnsi" w:cstheme="minorHAnsi"/>
          <w:sz w:val="22"/>
        </w:rPr>
        <w:t xml:space="preserve"> </w:t>
      </w:r>
    </w:p>
    <w:p w14:paraId="28451042" w14:textId="77777777" w:rsidR="00D6221A" w:rsidRPr="008858C9" w:rsidRDefault="00D6221A" w:rsidP="00D6221A">
      <w:pPr>
        <w:pStyle w:val="ListParagraph"/>
        <w:spacing w:before="0" w:after="0"/>
        <w:ind w:left="1170"/>
        <w:jc w:val="both"/>
        <w:rPr>
          <w:rFonts w:asciiTheme="minorHAnsi" w:hAnsiTheme="minorHAnsi" w:cstheme="minorHAnsi"/>
          <w:sz w:val="22"/>
        </w:rPr>
      </w:pPr>
    </w:p>
    <w:p w14:paraId="1A165F5E" w14:textId="77FB61DC" w:rsidR="008858C9" w:rsidRPr="00E52874" w:rsidRDefault="00E52874" w:rsidP="00E52874">
      <w:pPr>
        <w:spacing w:before="0" w:after="0"/>
        <w:jc w:val="both"/>
        <w:rPr>
          <w:rFonts w:asciiTheme="minorHAnsi" w:hAnsiTheme="minorHAnsi" w:cstheme="minorHAnsi"/>
          <w:b/>
          <w:sz w:val="22"/>
        </w:rPr>
      </w:pPr>
      <w:r>
        <w:rPr>
          <w:rFonts w:asciiTheme="minorHAnsi" w:hAnsiTheme="minorHAnsi" w:cstheme="minorHAnsi"/>
          <w:b/>
          <w:sz w:val="22"/>
        </w:rPr>
        <w:t xml:space="preserve">4.3.5 </w:t>
      </w:r>
      <w:r w:rsidR="008858C9" w:rsidRPr="00E52874">
        <w:rPr>
          <w:rFonts w:asciiTheme="minorHAnsi" w:hAnsiTheme="minorHAnsi" w:cstheme="minorHAnsi"/>
          <w:b/>
          <w:sz w:val="22"/>
        </w:rPr>
        <w:t xml:space="preserve">Tobacco use </w:t>
      </w:r>
      <w:r w:rsidR="008858C9" w:rsidRPr="00E52874">
        <w:rPr>
          <w:rFonts w:asciiTheme="minorHAnsi" w:hAnsiTheme="minorHAnsi" w:cstheme="minorHAnsi"/>
          <w:sz w:val="22"/>
        </w:rPr>
        <w:t xml:space="preserve">- </w:t>
      </w:r>
      <w:r w:rsidR="008858C9" w:rsidRPr="00E52874">
        <w:rPr>
          <w:rFonts w:asciiTheme="minorHAnsi" w:hAnsiTheme="minorHAnsi" w:cstheme="minorHAnsi"/>
          <w:b/>
          <w:sz w:val="22"/>
        </w:rPr>
        <w:t>strategic interventions</w:t>
      </w:r>
    </w:p>
    <w:p w14:paraId="67554847" w14:textId="3C74E983"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lastRenderedPageBreak/>
        <w:t xml:space="preserve">4.3.5.1 </w:t>
      </w:r>
      <w:r w:rsidR="008858C9" w:rsidRPr="00E52874">
        <w:rPr>
          <w:rFonts w:asciiTheme="minorHAnsi" w:hAnsiTheme="minorHAnsi" w:cstheme="minorHAnsi"/>
          <w:sz w:val="22"/>
        </w:rPr>
        <w:t>Effective involvement of NTCP in comorbidity collaborative mechanism established at all levels</w:t>
      </w:r>
    </w:p>
    <w:p w14:paraId="4DC2AF4C" w14:textId="66E7CE89"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4.3.5.2 </w:t>
      </w:r>
      <w:r w:rsidR="008858C9" w:rsidRPr="00E52874">
        <w:rPr>
          <w:rFonts w:asciiTheme="minorHAnsi" w:hAnsiTheme="minorHAnsi" w:cstheme="minorHAnsi"/>
          <w:sz w:val="22"/>
        </w:rPr>
        <w:t xml:space="preserve">Leverage Tobacco </w:t>
      </w:r>
      <w:r w:rsidR="00FD275E" w:rsidRPr="00E52874">
        <w:rPr>
          <w:rFonts w:asciiTheme="minorHAnsi" w:hAnsiTheme="minorHAnsi" w:cstheme="minorHAnsi"/>
          <w:sz w:val="22"/>
        </w:rPr>
        <w:t>Quit line</w:t>
      </w:r>
      <w:r w:rsidR="008858C9" w:rsidRPr="00E52874">
        <w:rPr>
          <w:rFonts w:asciiTheme="minorHAnsi" w:hAnsiTheme="minorHAnsi" w:cstheme="minorHAnsi"/>
          <w:sz w:val="22"/>
        </w:rPr>
        <w:t xml:space="preserve"> and m-cessation initiatives of NTCP to link patients for appropriate counseling and cessation</w:t>
      </w:r>
    </w:p>
    <w:p w14:paraId="40CBD8D7" w14:textId="10057C34"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4.3.5.3 </w:t>
      </w:r>
      <w:r w:rsidR="008858C9" w:rsidRPr="00E52874">
        <w:rPr>
          <w:rFonts w:asciiTheme="minorHAnsi" w:hAnsiTheme="minorHAnsi" w:cstheme="minorHAnsi"/>
          <w:sz w:val="22"/>
        </w:rPr>
        <w:t>Expand scope of linkage to tobacco cessation services to cover Dental colleges/clinics</w:t>
      </w:r>
    </w:p>
    <w:p w14:paraId="674A8EF6" w14:textId="23D3712D"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4.3.5.4 </w:t>
      </w:r>
      <w:r w:rsidR="008858C9" w:rsidRPr="00E52874">
        <w:rPr>
          <w:rFonts w:asciiTheme="minorHAnsi" w:hAnsiTheme="minorHAnsi" w:cstheme="minorHAnsi"/>
          <w:sz w:val="22"/>
        </w:rPr>
        <w:t>Undertake research on interrelationships of Smokeless Tobacco usage and Tuberculosis.</w:t>
      </w:r>
    </w:p>
    <w:p w14:paraId="325B71EC" w14:textId="610578B5"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4.3.5.5 </w:t>
      </w:r>
      <w:r w:rsidR="008858C9" w:rsidRPr="00E52874">
        <w:rPr>
          <w:rFonts w:asciiTheme="minorHAnsi" w:hAnsiTheme="minorHAnsi" w:cstheme="minorHAnsi"/>
          <w:sz w:val="22"/>
        </w:rPr>
        <w:t xml:space="preserve">Engagement with National Oral Health Programme/Indian Dental Association for TB screening as part of Tobacco Intervention Initiative </w:t>
      </w:r>
    </w:p>
    <w:p w14:paraId="5C6F8924" w14:textId="77777777" w:rsidR="00D6221A" w:rsidRPr="008858C9" w:rsidRDefault="00D6221A" w:rsidP="00D6221A">
      <w:pPr>
        <w:pStyle w:val="ListParagraph"/>
        <w:spacing w:before="0" w:after="0"/>
        <w:ind w:left="1170"/>
        <w:jc w:val="both"/>
        <w:rPr>
          <w:rFonts w:asciiTheme="minorHAnsi" w:hAnsiTheme="minorHAnsi" w:cstheme="minorHAnsi"/>
          <w:sz w:val="22"/>
        </w:rPr>
      </w:pPr>
    </w:p>
    <w:p w14:paraId="792E3C8E" w14:textId="572A8E23" w:rsidR="008858C9" w:rsidRPr="00E52874" w:rsidRDefault="00E52874" w:rsidP="00E52874">
      <w:pPr>
        <w:spacing w:before="0" w:after="0"/>
        <w:jc w:val="both"/>
        <w:rPr>
          <w:rFonts w:asciiTheme="minorHAnsi" w:hAnsiTheme="minorHAnsi" w:cstheme="minorHAnsi"/>
          <w:b/>
          <w:sz w:val="22"/>
        </w:rPr>
      </w:pPr>
      <w:r>
        <w:rPr>
          <w:rFonts w:asciiTheme="minorHAnsi" w:hAnsiTheme="minorHAnsi" w:cstheme="minorHAnsi"/>
          <w:b/>
          <w:sz w:val="22"/>
        </w:rPr>
        <w:t xml:space="preserve">4.3.6 </w:t>
      </w:r>
      <w:r w:rsidR="008858C9" w:rsidRPr="00E52874">
        <w:rPr>
          <w:rFonts w:asciiTheme="minorHAnsi" w:hAnsiTheme="minorHAnsi" w:cstheme="minorHAnsi"/>
          <w:b/>
          <w:sz w:val="22"/>
        </w:rPr>
        <w:t xml:space="preserve">TB - Diabetes </w:t>
      </w:r>
      <w:r w:rsidR="008858C9" w:rsidRPr="00E52874">
        <w:rPr>
          <w:rFonts w:asciiTheme="minorHAnsi" w:hAnsiTheme="minorHAnsi" w:cstheme="minorHAnsi"/>
          <w:sz w:val="22"/>
        </w:rPr>
        <w:t xml:space="preserve">- </w:t>
      </w:r>
      <w:r w:rsidR="008858C9" w:rsidRPr="00E52874">
        <w:rPr>
          <w:rFonts w:asciiTheme="minorHAnsi" w:hAnsiTheme="minorHAnsi" w:cstheme="minorHAnsi"/>
          <w:b/>
          <w:sz w:val="22"/>
        </w:rPr>
        <w:t>strategic interventions</w:t>
      </w:r>
    </w:p>
    <w:p w14:paraId="7DD5FAE9" w14:textId="3EA60156"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4.3.6.1 </w:t>
      </w:r>
      <w:r w:rsidR="008858C9" w:rsidRPr="00E52874">
        <w:rPr>
          <w:rFonts w:asciiTheme="minorHAnsi" w:hAnsiTheme="minorHAnsi" w:cstheme="minorHAnsi"/>
          <w:sz w:val="22"/>
        </w:rPr>
        <w:t>Expand scope and improve effectiveness of joint DM and TB screening campaigns, including Population Based screening</w:t>
      </w:r>
    </w:p>
    <w:p w14:paraId="1507A912" w14:textId="5C658BE0"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4.3.6.2 </w:t>
      </w:r>
      <w:r w:rsidR="008858C9" w:rsidRPr="00E52874">
        <w:rPr>
          <w:rFonts w:asciiTheme="minorHAnsi" w:hAnsiTheme="minorHAnsi" w:cstheme="minorHAnsi"/>
          <w:sz w:val="22"/>
        </w:rPr>
        <w:t xml:space="preserve">Linkage of ICT based platforms of NTEP and NPCDCS – Messaging to provide effective linkage to TB </w:t>
      </w:r>
      <w:r w:rsidR="00AF41B5" w:rsidRPr="00E52874">
        <w:rPr>
          <w:rFonts w:asciiTheme="minorHAnsi" w:hAnsiTheme="minorHAnsi" w:cstheme="minorHAnsi"/>
          <w:sz w:val="22"/>
        </w:rPr>
        <w:t>and</w:t>
      </w:r>
      <w:r w:rsidR="008858C9" w:rsidRPr="00E52874">
        <w:rPr>
          <w:rFonts w:asciiTheme="minorHAnsi" w:hAnsiTheme="minorHAnsi" w:cstheme="minorHAnsi"/>
          <w:sz w:val="22"/>
        </w:rPr>
        <w:t xml:space="preserve"> DM management services</w:t>
      </w:r>
    </w:p>
    <w:p w14:paraId="79A0B4FC" w14:textId="6843C7E7"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4.3.6.3 </w:t>
      </w:r>
      <w:r w:rsidR="008858C9" w:rsidRPr="00E52874">
        <w:rPr>
          <w:rFonts w:asciiTheme="minorHAnsi" w:hAnsiTheme="minorHAnsi" w:cstheme="minorHAnsi"/>
          <w:sz w:val="22"/>
        </w:rPr>
        <w:t>Engagement with Indian Diabetic Association in screening for TB/increasing awareness of risk of TB among diabetics</w:t>
      </w:r>
      <w:r w:rsidR="00D6221A" w:rsidRPr="00E52874">
        <w:rPr>
          <w:rFonts w:asciiTheme="minorHAnsi" w:hAnsiTheme="minorHAnsi" w:cstheme="minorHAnsi"/>
          <w:sz w:val="22"/>
        </w:rPr>
        <w:t xml:space="preserve"> </w:t>
      </w:r>
    </w:p>
    <w:p w14:paraId="3DED13A7" w14:textId="77777777" w:rsidR="00D6221A" w:rsidRPr="004303C2" w:rsidRDefault="00D6221A" w:rsidP="00D6221A">
      <w:pPr>
        <w:pStyle w:val="ListParagraph"/>
        <w:spacing w:before="0" w:after="0"/>
        <w:ind w:left="1170"/>
        <w:jc w:val="both"/>
        <w:rPr>
          <w:rFonts w:asciiTheme="minorHAnsi" w:hAnsiTheme="minorHAnsi" w:cstheme="minorHAnsi"/>
          <w:sz w:val="22"/>
        </w:rPr>
      </w:pPr>
    </w:p>
    <w:p w14:paraId="254C2833" w14:textId="499E7501" w:rsidR="008858C9" w:rsidRPr="00E52874" w:rsidRDefault="00E52874" w:rsidP="00E52874">
      <w:pPr>
        <w:spacing w:before="0" w:after="0"/>
        <w:jc w:val="both"/>
        <w:rPr>
          <w:rFonts w:asciiTheme="minorHAnsi" w:hAnsiTheme="minorHAnsi" w:cstheme="minorHAnsi"/>
          <w:b/>
          <w:sz w:val="22"/>
        </w:rPr>
      </w:pPr>
      <w:r>
        <w:rPr>
          <w:rFonts w:asciiTheme="minorHAnsi" w:hAnsiTheme="minorHAnsi" w:cstheme="minorHAnsi"/>
          <w:b/>
          <w:sz w:val="22"/>
        </w:rPr>
        <w:t xml:space="preserve">4.3.7 </w:t>
      </w:r>
      <w:r w:rsidR="008858C9" w:rsidRPr="00E52874">
        <w:rPr>
          <w:rFonts w:asciiTheme="minorHAnsi" w:hAnsiTheme="minorHAnsi" w:cstheme="minorHAnsi"/>
          <w:b/>
          <w:sz w:val="22"/>
        </w:rPr>
        <w:t xml:space="preserve">TB-HIV </w:t>
      </w:r>
      <w:r w:rsidR="008858C9" w:rsidRPr="00E52874">
        <w:rPr>
          <w:rFonts w:asciiTheme="minorHAnsi" w:hAnsiTheme="minorHAnsi" w:cstheme="minorHAnsi"/>
          <w:sz w:val="22"/>
        </w:rPr>
        <w:t xml:space="preserve">- </w:t>
      </w:r>
      <w:r w:rsidR="008858C9" w:rsidRPr="00E52874">
        <w:rPr>
          <w:rFonts w:asciiTheme="minorHAnsi" w:hAnsiTheme="minorHAnsi" w:cstheme="minorHAnsi"/>
          <w:b/>
          <w:sz w:val="22"/>
        </w:rPr>
        <w:t>strategic interventions</w:t>
      </w:r>
    </w:p>
    <w:p w14:paraId="75AF01B8" w14:textId="443858C9"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4.3.7.1 </w:t>
      </w:r>
      <w:r w:rsidR="008858C9" w:rsidRPr="00E52874">
        <w:rPr>
          <w:rFonts w:asciiTheme="minorHAnsi" w:hAnsiTheme="minorHAnsi" w:cstheme="minorHAnsi"/>
          <w:sz w:val="22"/>
        </w:rPr>
        <w:t xml:space="preserve">Strengthen </w:t>
      </w:r>
      <w:r w:rsidR="00DA6F3A" w:rsidRPr="00E52874">
        <w:rPr>
          <w:rFonts w:asciiTheme="minorHAnsi" w:hAnsiTheme="minorHAnsi" w:cstheme="minorHAnsi"/>
          <w:sz w:val="22"/>
        </w:rPr>
        <w:t>intensified</w:t>
      </w:r>
      <w:r w:rsidR="008858C9" w:rsidRPr="00E52874">
        <w:rPr>
          <w:rFonts w:asciiTheme="minorHAnsi" w:hAnsiTheme="minorHAnsi" w:cstheme="minorHAnsi"/>
          <w:sz w:val="22"/>
        </w:rPr>
        <w:t xml:space="preserve"> case finding activities in HIV care settings, especially in Targeted Intervention sites. Saturate coverage of Provider Initiated Testing and counselling among presumptive TB cases an</w:t>
      </w:r>
      <w:r w:rsidR="00A544EF">
        <w:rPr>
          <w:rFonts w:asciiTheme="minorHAnsi" w:hAnsiTheme="minorHAnsi" w:cstheme="minorHAnsi"/>
          <w:sz w:val="22"/>
        </w:rPr>
        <w:t xml:space="preserve">d TB patients in private sector </w:t>
      </w:r>
      <w:r w:rsidR="00A544EF" w:rsidRPr="00A544EF">
        <w:rPr>
          <w:rFonts w:asciiTheme="minorHAnsi" w:hAnsiTheme="minorHAnsi" w:cstheme="minorHAnsi"/>
          <w:sz w:val="22"/>
        </w:rPr>
        <w:t>as well as rollout of *Single window services" in public health facilities in low burden districts</w:t>
      </w:r>
      <w:r w:rsidR="00A544EF">
        <w:rPr>
          <w:rFonts w:asciiTheme="minorHAnsi" w:hAnsiTheme="minorHAnsi" w:cstheme="minorHAnsi"/>
          <w:sz w:val="22"/>
        </w:rPr>
        <w:t>.</w:t>
      </w:r>
      <w:r w:rsidR="008858C9" w:rsidRPr="00E52874">
        <w:rPr>
          <w:rFonts w:asciiTheme="minorHAnsi" w:hAnsiTheme="minorHAnsi" w:cstheme="minorHAnsi"/>
          <w:sz w:val="22"/>
        </w:rPr>
        <w:t xml:space="preserve"> </w:t>
      </w:r>
    </w:p>
    <w:p w14:paraId="55E1DDD6" w14:textId="67127D88"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4.3.7.2 </w:t>
      </w:r>
      <w:r w:rsidR="008858C9" w:rsidRPr="00E52874">
        <w:rPr>
          <w:rFonts w:asciiTheme="minorHAnsi" w:hAnsiTheme="minorHAnsi" w:cstheme="minorHAnsi"/>
          <w:sz w:val="22"/>
        </w:rPr>
        <w:t xml:space="preserve">Ensure access of all PLHIV to rapid molecular diagnostics with prioritization. Rapid adoption of newer diagnostic technology - Urine TB-LAM </w:t>
      </w:r>
      <w:r w:rsidR="00A544EF" w:rsidRPr="00E52874">
        <w:rPr>
          <w:rFonts w:asciiTheme="minorHAnsi" w:hAnsiTheme="minorHAnsi" w:cstheme="minorHAnsi"/>
          <w:sz w:val="22"/>
        </w:rPr>
        <w:t>etc.</w:t>
      </w:r>
      <w:r w:rsidR="008858C9" w:rsidRPr="00E52874">
        <w:rPr>
          <w:rFonts w:asciiTheme="minorHAnsi" w:hAnsiTheme="minorHAnsi" w:cstheme="minorHAnsi"/>
          <w:sz w:val="22"/>
        </w:rPr>
        <w:t xml:space="preserve"> for</w:t>
      </w:r>
      <w:r w:rsidR="00A544EF">
        <w:rPr>
          <w:rFonts w:asciiTheme="minorHAnsi" w:hAnsiTheme="minorHAnsi" w:cstheme="minorHAnsi"/>
          <w:sz w:val="22"/>
        </w:rPr>
        <w:t xml:space="preserve"> </w:t>
      </w:r>
      <w:r w:rsidR="00A544EF" w:rsidRPr="00A544EF">
        <w:rPr>
          <w:rFonts w:asciiTheme="minorHAnsi" w:hAnsiTheme="minorHAnsi" w:cstheme="minorHAnsi"/>
          <w:sz w:val="22"/>
        </w:rPr>
        <w:t>fast-tracking diagnosis</w:t>
      </w:r>
      <w:r w:rsidR="00A544EF">
        <w:rPr>
          <w:rFonts w:asciiTheme="minorHAnsi" w:hAnsiTheme="minorHAnsi" w:cstheme="minorHAnsi"/>
          <w:sz w:val="22"/>
        </w:rPr>
        <w:t xml:space="preserve">, </w:t>
      </w:r>
      <w:r w:rsidR="00A544EF" w:rsidRPr="00E52874">
        <w:rPr>
          <w:rFonts w:asciiTheme="minorHAnsi" w:hAnsiTheme="minorHAnsi" w:cstheme="minorHAnsi"/>
          <w:sz w:val="22"/>
        </w:rPr>
        <w:t>improving quality of care</w:t>
      </w:r>
      <w:r w:rsidR="00A544EF">
        <w:rPr>
          <w:rFonts w:asciiTheme="minorHAnsi" w:hAnsiTheme="minorHAnsi" w:cstheme="minorHAnsi"/>
          <w:sz w:val="22"/>
        </w:rPr>
        <w:t xml:space="preserve">, </w:t>
      </w:r>
      <w:r w:rsidR="00A544EF" w:rsidRPr="00A544EF">
        <w:rPr>
          <w:rFonts w:asciiTheme="minorHAnsi" w:hAnsiTheme="minorHAnsi" w:cstheme="minorHAnsi"/>
          <w:sz w:val="22"/>
        </w:rPr>
        <w:t>and reducing mortality</w:t>
      </w:r>
      <w:r w:rsidR="00A544EF">
        <w:rPr>
          <w:rFonts w:asciiTheme="minorHAnsi" w:hAnsiTheme="minorHAnsi" w:cstheme="minorHAnsi"/>
          <w:sz w:val="22"/>
        </w:rPr>
        <w:t xml:space="preserve">. </w:t>
      </w:r>
    </w:p>
    <w:p w14:paraId="55084D75" w14:textId="503C7370"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4.3.7.3 </w:t>
      </w:r>
      <w:r w:rsidR="008858C9" w:rsidRPr="00E52874">
        <w:rPr>
          <w:rFonts w:asciiTheme="minorHAnsi" w:hAnsiTheme="minorHAnsi" w:cstheme="minorHAnsi"/>
          <w:sz w:val="22"/>
        </w:rPr>
        <w:t xml:space="preserve">Adoption of community led models and provision of patient-centric services to ensure prompt initiation of ATT/ART/CPT, counseling, adequate follow-up, ensuing highest quality of care </w:t>
      </w:r>
    </w:p>
    <w:p w14:paraId="3A905EDD" w14:textId="6AD035B9"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4.3.7.4 </w:t>
      </w:r>
      <w:r w:rsidR="008858C9" w:rsidRPr="00E52874">
        <w:rPr>
          <w:rFonts w:asciiTheme="minorHAnsi" w:hAnsiTheme="minorHAnsi" w:cstheme="minorHAnsi"/>
          <w:sz w:val="22"/>
        </w:rPr>
        <w:t>Saturation of PLHIV with TB prevention therapy and rapid adoption of newer shorter regimens. Increase focus on prevention activities, including training on AIC activities, institutionalizing Health care worker surveillance and AIC assessment of all ART</w:t>
      </w:r>
      <w:r w:rsidR="00A2044B">
        <w:rPr>
          <w:rFonts w:asciiTheme="minorHAnsi" w:hAnsiTheme="minorHAnsi" w:cstheme="minorHAnsi"/>
          <w:sz w:val="22"/>
        </w:rPr>
        <w:t>/FIRAT</w:t>
      </w:r>
      <w:r w:rsidR="008858C9" w:rsidRPr="00E52874">
        <w:rPr>
          <w:rFonts w:asciiTheme="minorHAnsi" w:hAnsiTheme="minorHAnsi" w:cstheme="minorHAnsi"/>
          <w:sz w:val="22"/>
        </w:rPr>
        <w:t xml:space="preserve"> centres with recommendations </w:t>
      </w:r>
    </w:p>
    <w:p w14:paraId="4F942A90" w14:textId="056012B0"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4.3.7.5 </w:t>
      </w:r>
      <w:r w:rsidR="008858C9" w:rsidRPr="00E52874">
        <w:rPr>
          <w:rFonts w:asciiTheme="minorHAnsi" w:hAnsiTheme="minorHAnsi" w:cstheme="minorHAnsi"/>
          <w:sz w:val="22"/>
        </w:rPr>
        <w:t>Expand scope of collaboration to include newer initiatives</w:t>
      </w:r>
      <w:r w:rsidR="00B53728" w:rsidRPr="00E52874">
        <w:rPr>
          <w:rFonts w:asciiTheme="minorHAnsi" w:hAnsiTheme="minorHAnsi" w:cstheme="minorHAnsi"/>
          <w:sz w:val="22"/>
        </w:rPr>
        <w:t xml:space="preserve"> of community-based HIV testing</w:t>
      </w:r>
      <w:r w:rsidR="00D6221A" w:rsidRPr="00E52874">
        <w:rPr>
          <w:rFonts w:asciiTheme="minorHAnsi" w:hAnsiTheme="minorHAnsi" w:cstheme="minorHAnsi"/>
          <w:sz w:val="22"/>
        </w:rPr>
        <w:t xml:space="preserve"> </w:t>
      </w:r>
    </w:p>
    <w:p w14:paraId="522CDD53" w14:textId="77777777" w:rsidR="00D6221A" w:rsidRPr="008858C9" w:rsidRDefault="00D6221A" w:rsidP="00D6221A">
      <w:pPr>
        <w:pStyle w:val="ListParagraph"/>
        <w:spacing w:before="0" w:after="0"/>
        <w:ind w:left="1170"/>
        <w:jc w:val="both"/>
        <w:rPr>
          <w:rFonts w:asciiTheme="minorHAnsi" w:hAnsiTheme="minorHAnsi" w:cstheme="minorHAnsi"/>
          <w:sz w:val="22"/>
        </w:rPr>
      </w:pPr>
    </w:p>
    <w:p w14:paraId="46E67DD9" w14:textId="373E13A5" w:rsidR="008858C9" w:rsidRPr="00E52874" w:rsidRDefault="00E52874" w:rsidP="00E52874">
      <w:pPr>
        <w:spacing w:before="0" w:after="0"/>
        <w:jc w:val="both"/>
        <w:rPr>
          <w:rFonts w:asciiTheme="minorHAnsi" w:hAnsiTheme="minorHAnsi" w:cstheme="minorHAnsi"/>
          <w:b/>
          <w:sz w:val="22"/>
        </w:rPr>
      </w:pPr>
      <w:r>
        <w:rPr>
          <w:rFonts w:asciiTheme="minorHAnsi" w:hAnsiTheme="minorHAnsi" w:cstheme="minorHAnsi"/>
          <w:b/>
          <w:sz w:val="22"/>
        </w:rPr>
        <w:t xml:space="preserve">4.3.8 </w:t>
      </w:r>
      <w:r w:rsidR="008858C9" w:rsidRPr="00E52874">
        <w:rPr>
          <w:rFonts w:asciiTheme="minorHAnsi" w:hAnsiTheme="minorHAnsi" w:cstheme="minorHAnsi"/>
          <w:b/>
          <w:sz w:val="22"/>
        </w:rPr>
        <w:t xml:space="preserve">TB-Gender </w:t>
      </w:r>
      <w:r w:rsidR="004303C2" w:rsidRPr="00E52874">
        <w:rPr>
          <w:rFonts w:asciiTheme="minorHAnsi" w:hAnsiTheme="minorHAnsi" w:cstheme="minorHAnsi"/>
          <w:sz w:val="22"/>
        </w:rPr>
        <w:t>–</w:t>
      </w:r>
      <w:r w:rsidR="008858C9" w:rsidRPr="00E52874">
        <w:rPr>
          <w:rFonts w:asciiTheme="minorHAnsi" w:hAnsiTheme="minorHAnsi" w:cstheme="minorHAnsi"/>
          <w:sz w:val="22"/>
        </w:rPr>
        <w:t xml:space="preserve"> </w:t>
      </w:r>
      <w:r w:rsidR="008D0DFF" w:rsidRPr="00E52874">
        <w:rPr>
          <w:rFonts w:asciiTheme="minorHAnsi" w:hAnsiTheme="minorHAnsi" w:cstheme="minorHAnsi"/>
          <w:b/>
          <w:sz w:val="22"/>
        </w:rPr>
        <w:t>refer to chapter o</w:t>
      </w:r>
      <w:r w:rsidR="004303C2" w:rsidRPr="00E52874">
        <w:rPr>
          <w:rFonts w:asciiTheme="minorHAnsi" w:hAnsiTheme="minorHAnsi" w:cstheme="minorHAnsi"/>
          <w:b/>
          <w:sz w:val="22"/>
        </w:rPr>
        <w:t>n Gender and rights</w:t>
      </w:r>
      <w:r w:rsidR="00D6221A" w:rsidRPr="00E52874">
        <w:rPr>
          <w:rFonts w:asciiTheme="minorHAnsi" w:hAnsiTheme="minorHAnsi" w:cstheme="minorHAnsi"/>
          <w:b/>
          <w:sz w:val="22"/>
        </w:rPr>
        <w:t xml:space="preserve"> </w:t>
      </w:r>
    </w:p>
    <w:p w14:paraId="3CCE7E1C" w14:textId="77777777" w:rsidR="00D6221A" w:rsidRPr="008858C9" w:rsidRDefault="00D6221A" w:rsidP="00D6221A">
      <w:pPr>
        <w:pStyle w:val="ListParagraph"/>
        <w:spacing w:before="0" w:after="0"/>
        <w:ind w:left="504"/>
        <w:jc w:val="both"/>
        <w:rPr>
          <w:rFonts w:asciiTheme="minorHAnsi" w:hAnsiTheme="minorHAnsi" w:cstheme="minorHAnsi"/>
          <w:b/>
          <w:sz w:val="22"/>
        </w:rPr>
      </w:pPr>
    </w:p>
    <w:p w14:paraId="3050B6F7" w14:textId="689AC84C" w:rsidR="008858C9" w:rsidRPr="00E52874" w:rsidRDefault="00E52874" w:rsidP="00E52874">
      <w:pPr>
        <w:spacing w:before="0" w:after="0"/>
        <w:jc w:val="both"/>
        <w:rPr>
          <w:rFonts w:asciiTheme="minorHAnsi" w:hAnsiTheme="minorHAnsi" w:cstheme="minorHAnsi"/>
          <w:b/>
          <w:sz w:val="22"/>
        </w:rPr>
      </w:pPr>
      <w:r>
        <w:rPr>
          <w:rFonts w:asciiTheme="minorHAnsi" w:hAnsiTheme="minorHAnsi" w:cstheme="minorHAnsi"/>
          <w:b/>
          <w:sz w:val="22"/>
        </w:rPr>
        <w:t xml:space="preserve">4.3.9 </w:t>
      </w:r>
      <w:r w:rsidR="008858C9" w:rsidRPr="00E52874">
        <w:rPr>
          <w:rFonts w:asciiTheme="minorHAnsi" w:hAnsiTheme="minorHAnsi" w:cstheme="minorHAnsi"/>
          <w:b/>
          <w:sz w:val="22"/>
        </w:rPr>
        <w:t xml:space="preserve">TB-Pregnancy </w:t>
      </w:r>
      <w:r w:rsidR="008858C9" w:rsidRPr="00E52874">
        <w:rPr>
          <w:rFonts w:asciiTheme="minorHAnsi" w:hAnsiTheme="minorHAnsi" w:cstheme="minorHAnsi"/>
          <w:sz w:val="22"/>
        </w:rPr>
        <w:t xml:space="preserve">- </w:t>
      </w:r>
      <w:r w:rsidR="008858C9" w:rsidRPr="00E52874">
        <w:rPr>
          <w:rFonts w:asciiTheme="minorHAnsi" w:hAnsiTheme="minorHAnsi" w:cstheme="minorHAnsi"/>
          <w:b/>
          <w:sz w:val="22"/>
        </w:rPr>
        <w:t>strategic interventions</w:t>
      </w:r>
    </w:p>
    <w:p w14:paraId="2387FA99" w14:textId="64AE7084"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4.3.9.1 </w:t>
      </w:r>
      <w:r w:rsidR="008858C9" w:rsidRPr="00E52874">
        <w:rPr>
          <w:rFonts w:asciiTheme="minorHAnsi" w:hAnsiTheme="minorHAnsi" w:cstheme="minorHAnsi"/>
          <w:sz w:val="22"/>
        </w:rPr>
        <w:t>Develop collaborative mechanism between NTEP and MCH for addressing TB among pregnant women</w:t>
      </w:r>
    </w:p>
    <w:p w14:paraId="32A58365" w14:textId="371B21AE"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4.3.9.2 </w:t>
      </w:r>
      <w:r w:rsidR="008858C9" w:rsidRPr="00E52874">
        <w:rPr>
          <w:rFonts w:asciiTheme="minorHAnsi" w:hAnsiTheme="minorHAnsi" w:cstheme="minorHAnsi"/>
          <w:sz w:val="22"/>
        </w:rPr>
        <w:t>Ensure screening and detection of active TB cases among pregnant and postpartum women</w:t>
      </w:r>
    </w:p>
    <w:p w14:paraId="12AE7BEE" w14:textId="2AE81C70"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4.3.9.3 </w:t>
      </w:r>
      <w:r w:rsidR="008858C9" w:rsidRPr="00E52874">
        <w:rPr>
          <w:rFonts w:asciiTheme="minorHAnsi" w:hAnsiTheme="minorHAnsi" w:cstheme="minorHAnsi"/>
          <w:sz w:val="22"/>
        </w:rPr>
        <w:t>Providing appropriate counselling to address nutrition and lifestyle aspects</w:t>
      </w:r>
    </w:p>
    <w:p w14:paraId="4AD522D1" w14:textId="4A3A1577"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4.3.9.4 </w:t>
      </w:r>
      <w:r w:rsidR="008858C9" w:rsidRPr="00E52874">
        <w:rPr>
          <w:rFonts w:asciiTheme="minorHAnsi" w:hAnsiTheme="minorHAnsi" w:cstheme="minorHAnsi"/>
          <w:sz w:val="22"/>
        </w:rPr>
        <w:t xml:space="preserve">Strengthen referral linkages between NTEP and MCH program </w:t>
      </w:r>
    </w:p>
    <w:p w14:paraId="6DA57F18" w14:textId="5A894ED6"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4.3.9.5 </w:t>
      </w:r>
      <w:r w:rsidR="008858C9" w:rsidRPr="00E52874">
        <w:rPr>
          <w:rFonts w:asciiTheme="minorHAnsi" w:hAnsiTheme="minorHAnsi" w:cstheme="minorHAnsi"/>
          <w:sz w:val="22"/>
        </w:rPr>
        <w:t>Augment treatment of TB among pregnant women</w:t>
      </w:r>
    </w:p>
    <w:p w14:paraId="0109AD64" w14:textId="4B67668D" w:rsidR="008858C9" w:rsidRPr="00E52874" w:rsidRDefault="00E52874" w:rsidP="00E52874">
      <w:pPr>
        <w:spacing w:before="0" w:after="0"/>
        <w:ind w:left="270"/>
        <w:jc w:val="both"/>
        <w:rPr>
          <w:rFonts w:asciiTheme="minorHAnsi" w:hAnsiTheme="minorHAnsi" w:cstheme="minorHAnsi"/>
          <w:sz w:val="22"/>
        </w:rPr>
      </w:pPr>
      <w:r>
        <w:rPr>
          <w:rFonts w:asciiTheme="minorHAnsi" w:hAnsiTheme="minorHAnsi" w:cstheme="minorHAnsi"/>
          <w:b/>
          <w:sz w:val="22"/>
        </w:rPr>
        <w:t xml:space="preserve">4.3.9.6 </w:t>
      </w:r>
      <w:r w:rsidR="008858C9" w:rsidRPr="00E52874">
        <w:rPr>
          <w:rFonts w:asciiTheme="minorHAnsi" w:hAnsiTheme="minorHAnsi" w:cstheme="minorHAnsi"/>
          <w:sz w:val="22"/>
        </w:rPr>
        <w:t>Address TB and obstetric complications</w:t>
      </w:r>
    </w:p>
    <w:p w14:paraId="6B4D7791" w14:textId="711EAD6A" w:rsidR="008858C9" w:rsidRPr="00A2044B" w:rsidRDefault="009215C4" w:rsidP="009136E5">
      <w:pPr>
        <w:pStyle w:val="ListParagraph"/>
        <w:numPr>
          <w:ilvl w:val="0"/>
          <w:numId w:val="128"/>
        </w:numPr>
        <w:spacing w:before="0" w:after="0"/>
        <w:jc w:val="both"/>
        <w:rPr>
          <w:rFonts w:asciiTheme="minorHAnsi" w:hAnsiTheme="minorHAnsi" w:cstheme="minorHAnsi"/>
          <w:sz w:val="22"/>
        </w:rPr>
      </w:pPr>
      <w:r w:rsidRPr="00A2044B">
        <w:rPr>
          <w:rFonts w:asciiTheme="minorHAnsi" w:hAnsiTheme="minorHAnsi" w:cstheme="minorHAnsi"/>
          <w:sz w:val="22"/>
        </w:rPr>
        <w:t>Ensure</w:t>
      </w:r>
      <w:r w:rsidR="008858C9" w:rsidRPr="00A2044B">
        <w:rPr>
          <w:rFonts w:asciiTheme="minorHAnsi" w:hAnsiTheme="minorHAnsi" w:cstheme="minorHAnsi"/>
          <w:sz w:val="22"/>
        </w:rPr>
        <w:t xml:space="preserve"> screening for active TB, vaccination and chemoprophylaxis/TB treatment to newborn of pregnant mothers affected by active TB</w:t>
      </w:r>
    </w:p>
    <w:p w14:paraId="15F0F642" w14:textId="44DC2B13" w:rsidR="008858C9" w:rsidRPr="00A2044B" w:rsidRDefault="009215C4" w:rsidP="009136E5">
      <w:pPr>
        <w:pStyle w:val="ListParagraph"/>
        <w:numPr>
          <w:ilvl w:val="0"/>
          <w:numId w:val="128"/>
        </w:numPr>
        <w:spacing w:before="0" w:after="0"/>
        <w:jc w:val="both"/>
        <w:rPr>
          <w:rFonts w:asciiTheme="minorHAnsi" w:hAnsiTheme="minorHAnsi" w:cstheme="minorHAnsi"/>
          <w:sz w:val="22"/>
        </w:rPr>
      </w:pPr>
      <w:r w:rsidRPr="00A2044B">
        <w:rPr>
          <w:rFonts w:asciiTheme="minorHAnsi" w:hAnsiTheme="minorHAnsi" w:cstheme="minorHAnsi"/>
          <w:sz w:val="22"/>
        </w:rPr>
        <w:t>Establish</w:t>
      </w:r>
      <w:r w:rsidR="008858C9" w:rsidRPr="00A2044B">
        <w:rPr>
          <w:rFonts w:asciiTheme="minorHAnsi" w:hAnsiTheme="minorHAnsi" w:cstheme="minorHAnsi"/>
          <w:sz w:val="22"/>
        </w:rPr>
        <w:t xml:space="preserve"> surveillance, and monitoring </w:t>
      </w:r>
      <w:r w:rsidR="00AF41B5" w:rsidRPr="00A2044B">
        <w:rPr>
          <w:rFonts w:asciiTheme="minorHAnsi" w:hAnsiTheme="minorHAnsi" w:cstheme="minorHAnsi"/>
          <w:sz w:val="22"/>
        </w:rPr>
        <w:t>and</w:t>
      </w:r>
      <w:r w:rsidR="008858C9" w:rsidRPr="00A2044B">
        <w:rPr>
          <w:rFonts w:asciiTheme="minorHAnsi" w:hAnsiTheme="minorHAnsi" w:cstheme="minorHAnsi"/>
          <w:sz w:val="22"/>
        </w:rPr>
        <w:t xml:space="preserve"> evaluation (M</w:t>
      </w:r>
      <w:r w:rsidR="00B53728" w:rsidRPr="00A2044B">
        <w:rPr>
          <w:rFonts w:asciiTheme="minorHAnsi" w:hAnsiTheme="minorHAnsi" w:cstheme="minorHAnsi"/>
          <w:sz w:val="22"/>
        </w:rPr>
        <w:t>&amp;</w:t>
      </w:r>
      <w:r w:rsidR="008858C9" w:rsidRPr="00A2044B">
        <w:rPr>
          <w:rFonts w:asciiTheme="minorHAnsi" w:hAnsiTheme="minorHAnsi" w:cstheme="minorHAnsi"/>
          <w:sz w:val="22"/>
        </w:rPr>
        <w:t>E) mechanism for collaborative activities</w:t>
      </w:r>
    </w:p>
    <w:p w14:paraId="5823F54D" w14:textId="7752C745" w:rsidR="008858C9" w:rsidRPr="00A2044B" w:rsidRDefault="009215C4" w:rsidP="009136E5">
      <w:pPr>
        <w:pStyle w:val="ListParagraph"/>
        <w:numPr>
          <w:ilvl w:val="0"/>
          <w:numId w:val="128"/>
        </w:numPr>
        <w:spacing w:before="0" w:after="0"/>
        <w:jc w:val="both"/>
        <w:rPr>
          <w:rFonts w:asciiTheme="minorHAnsi" w:hAnsiTheme="minorHAnsi" w:cstheme="minorHAnsi"/>
          <w:sz w:val="22"/>
        </w:rPr>
      </w:pPr>
      <w:r w:rsidRPr="00A2044B">
        <w:rPr>
          <w:rFonts w:asciiTheme="minorHAnsi" w:hAnsiTheme="minorHAnsi" w:cstheme="minorHAnsi"/>
          <w:sz w:val="22"/>
        </w:rPr>
        <w:lastRenderedPageBreak/>
        <w:t>Promote</w:t>
      </w:r>
      <w:r w:rsidR="008858C9" w:rsidRPr="00A2044B">
        <w:rPr>
          <w:rFonts w:asciiTheme="minorHAnsi" w:hAnsiTheme="minorHAnsi" w:cstheme="minorHAnsi"/>
          <w:sz w:val="22"/>
        </w:rPr>
        <w:t xml:space="preserve"> research and training in issues related to TB in pregnancy</w:t>
      </w:r>
    </w:p>
    <w:p w14:paraId="76867511" w14:textId="2DB5CA61" w:rsidR="008858C9" w:rsidRPr="00A2044B" w:rsidRDefault="00236A80" w:rsidP="009136E5">
      <w:pPr>
        <w:pStyle w:val="ListParagraph"/>
        <w:numPr>
          <w:ilvl w:val="0"/>
          <w:numId w:val="128"/>
        </w:numPr>
        <w:spacing w:before="0" w:after="0"/>
        <w:jc w:val="both"/>
        <w:rPr>
          <w:rFonts w:asciiTheme="minorHAnsi" w:hAnsiTheme="minorHAnsi" w:cstheme="minorHAnsi"/>
          <w:sz w:val="22"/>
        </w:rPr>
      </w:pPr>
      <w:r w:rsidRPr="00A2044B">
        <w:rPr>
          <w:rFonts w:asciiTheme="minorHAnsi" w:hAnsiTheme="minorHAnsi" w:cstheme="minorHAnsi"/>
          <w:sz w:val="22"/>
        </w:rPr>
        <w:t>Engage</w:t>
      </w:r>
      <w:r w:rsidR="008858C9" w:rsidRPr="00A2044B">
        <w:rPr>
          <w:rFonts w:asciiTheme="minorHAnsi" w:hAnsiTheme="minorHAnsi" w:cstheme="minorHAnsi"/>
          <w:sz w:val="22"/>
        </w:rPr>
        <w:t xml:space="preserve"> with RMNCHA+ to effectively implement the collaborative framework</w:t>
      </w:r>
    </w:p>
    <w:p w14:paraId="1F46152C" w14:textId="77777777" w:rsidR="008858C9" w:rsidRPr="008858C9" w:rsidRDefault="008858C9" w:rsidP="00100F99">
      <w:pPr>
        <w:spacing w:before="0" w:after="0"/>
        <w:ind w:left="720"/>
        <w:jc w:val="both"/>
        <w:rPr>
          <w:rFonts w:asciiTheme="minorHAnsi" w:hAnsiTheme="minorHAnsi" w:cstheme="minorHAnsi"/>
          <w:sz w:val="22"/>
        </w:rPr>
      </w:pPr>
    </w:p>
    <w:p w14:paraId="5EA70689" w14:textId="1759D3D2" w:rsidR="008858C9" w:rsidRPr="00B816E9" w:rsidRDefault="00B816E9" w:rsidP="00B816E9">
      <w:pPr>
        <w:spacing w:before="0" w:after="0"/>
        <w:jc w:val="both"/>
        <w:rPr>
          <w:rFonts w:asciiTheme="minorHAnsi" w:hAnsiTheme="minorHAnsi" w:cstheme="minorHAnsi"/>
          <w:b/>
          <w:sz w:val="22"/>
        </w:rPr>
      </w:pPr>
      <w:r>
        <w:rPr>
          <w:rFonts w:asciiTheme="minorHAnsi" w:hAnsiTheme="minorHAnsi" w:cstheme="minorHAnsi"/>
          <w:b/>
          <w:sz w:val="22"/>
        </w:rPr>
        <w:t xml:space="preserve">4.3.10 </w:t>
      </w:r>
      <w:r w:rsidR="008858C9" w:rsidRPr="00B816E9">
        <w:rPr>
          <w:rFonts w:asciiTheme="minorHAnsi" w:hAnsiTheme="minorHAnsi" w:cstheme="minorHAnsi"/>
          <w:b/>
          <w:sz w:val="22"/>
        </w:rPr>
        <w:t xml:space="preserve">TB in Congregate settings/incarcerated population </w:t>
      </w:r>
      <w:r w:rsidR="008858C9" w:rsidRPr="00B816E9">
        <w:rPr>
          <w:rFonts w:asciiTheme="minorHAnsi" w:hAnsiTheme="minorHAnsi" w:cstheme="minorHAnsi"/>
          <w:sz w:val="22"/>
        </w:rPr>
        <w:t xml:space="preserve">- </w:t>
      </w:r>
      <w:r w:rsidR="008858C9" w:rsidRPr="00B816E9">
        <w:rPr>
          <w:rFonts w:asciiTheme="minorHAnsi" w:hAnsiTheme="minorHAnsi" w:cstheme="minorHAnsi"/>
          <w:b/>
          <w:sz w:val="22"/>
        </w:rPr>
        <w:t>strategic interventions</w:t>
      </w:r>
    </w:p>
    <w:p w14:paraId="48B28F89" w14:textId="66B220F0" w:rsidR="008858C9" w:rsidRPr="00B816E9" w:rsidRDefault="00B816E9" w:rsidP="00B816E9">
      <w:pPr>
        <w:spacing w:before="0" w:after="0"/>
        <w:ind w:left="270"/>
        <w:jc w:val="both"/>
        <w:rPr>
          <w:rFonts w:asciiTheme="minorHAnsi" w:hAnsiTheme="minorHAnsi" w:cstheme="minorHAnsi"/>
          <w:sz w:val="22"/>
        </w:rPr>
      </w:pPr>
      <w:r>
        <w:rPr>
          <w:rFonts w:asciiTheme="minorHAnsi" w:hAnsiTheme="minorHAnsi" w:cstheme="minorHAnsi"/>
          <w:b/>
          <w:sz w:val="22"/>
        </w:rPr>
        <w:t xml:space="preserve">4.3.10.1 </w:t>
      </w:r>
      <w:r w:rsidR="008858C9" w:rsidRPr="00B816E9">
        <w:rPr>
          <w:rFonts w:asciiTheme="minorHAnsi" w:hAnsiTheme="minorHAnsi" w:cstheme="minorHAnsi"/>
          <w:sz w:val="22"/>
        </w:rPr>
        <w:t>Ensure collaborative efforts through the constitution of working committees on between the prison and general health services.</w:t>
      </w:r>
    </w:p>
    <w:p w14:paraId="0539457A" w14:textId="2D7E2731" w:rsidR="008858C9" w:rsidRPr="00B816E9" w:rsidRDefault="00B816E9" w:rsidP="00B816E9">
      <w:pPr>
        <w:spacing w:before="0" w:after="0"/>
        <w:ind w:left="270"/>
        <w:jc w:val="both"/>
        <w:rPr>
          <w:rFonts w:asciiTheme="minorHAnsi" w:hAnsiTheme="minorHAnsi" w:cstheme="minorHAnsi"/>
          <w:sz w:val="22"/>
        </w:rPr>
      </w:pPr>
      <w:r>
        <w:rPr>
          <w:rFonts w:asciiTheme="minorHAnsi" w:hAnsiTheme="minorHAnsi" w:cstheme="minorHAnsi"/>
          <w:b/>
          <w:sz w:val="22"/>
        </w:rPr>
        <w:t xml:space="preserve">4.3.10.2 </w:t>
      </w:r>
      <w:r w:rsidR="008858C9" w:rsidRPr="00B816E9">
        <w:rPr>
          <w:rFonts w:asciiTheme="minorHAnsi" w:hAnsiTheme="minorHAnsi" w:cstheme="minorHAnsi"/>
          <w:sz w:val="22"/>
        </w:rPr>
        <w:t>Strengthen screening of new inmates and periodic screening of prisoners and penitentiary services staff to detect active TB and HIV in a timely manner.</w:t>
      </w:r>
    </w:p>
    <w:p w14:paraId="012B1079" w14:textId="2A76091D" w:rsidR="008858C9" w:rsidRPr="00B816E9" w:rsidRDefault="00B816E9" w:rsidP="00B816E9">
      <w:pPr>
        <w:spacing w:before="0" w:after="0"/>
        <w:ind w:left="270"/>
        <w:jc w:val="both"/>
        <w:rPr>
          <w:rFonts w:asciiTheme="minorHAnsi" w:hAnsiTheme="minorHAnsi" w:cstheme="minorHAnsi"/>
          <w:sz w:val="22"/>
        </w:rPr>
      </w:pPr>
      <w:r>
        <w:rPr>
          <w:rFonts w:asciiTheme="minorHAnsi" w:hAnsiTheme="minorHAnsi" w:cstheme="minorHAnsi"/>
          <w:b/>
          <w:sz w:val="22"/>
        </w:rPr>
        <w:t xml:space="preserve">4.3.10.3 </w:t>
      </w:r>
      <w:r w:rsidR="008858C9" w:rsidRPr="00B816E9">
        <w:rPr>
          <w:rFonts w:asciiTheme="minorHAnsi" w:hAnsiTheme="minorHAnsi" w:cstheme="minorHAnsi"/>
          <w:sz w:val="22"/>
        </w:rPr>
        <w:t xml:space="preserve">Provision of adequate prevention through airborne infection </w:t>
      </w:r>
      <w:r w:rsidR="00DA6F3A">
        <w:rPr>
          <w:rFonts w:asciiTheme="minorHAnsi" w:hAnsiTheme="minorHAnsi" w:cstheme="minorHAnsi"/>
          <w:sz w:val="22"/>
        </w:rPr>
        <w:t>elimination,</w:t>
      </w:r>
      <w:r w:rsidR="008858C9" w:rsidRPr="00B816E9">
        <w:rPr>
          <w:rFonts w:asciiTheme="minorHAnsi" w:hAnsiTheme="minorHAnsi" w:cstheme="minorHAnsi"/>
          <w:sz w:val="22"/>
        </w:rPr>
        <w:t xml:space="preserve"> including protective measures for staff and preventive therapy for individuals with LTBI.</w:t>
      </w:r>
    </w:p>
    <w:p w14:paraId="6C239971" w14:textId="31730EF8" w:rsidR="008858C9" w:rsidRPr="00B816E9" w:rsidRDefault="00B816E9" w:rsidP="00B816E9">
      <w:pPr>
        <w:spacing w:before="0" w:after="0"/>
        <w:ind w:left="270"/>
        <w:jc w:val="both"/>
        <w:rPr>
          <w:rFonts w:asciiTheme="minorHAnsi" w:hAnsiTheme="minorHAnsi" w:cstheme="minorHAnsi"/>
          <w:sz w:val="22"/>
        </w:rPr>
      </w:pPr>
      <w:r>
        <w:rPr>
          <w:rFonts w:asciiTheme="minorHAnsi" w:hAnsiTheme="minorHAnsi" w:cstheme="minorHAnsi"/>
          <w:b/>
          <w:sz w:val="22"/>
        </w:rPr>
        <w:t xml:space="preserve">4.3.10.4 </w:t>
      </w:r>
      <w:r w:rsidR="008858C9" w:rsidRPr="00B816E9">
        <w:rPr>
          <w:rFonts w:asciiTheme="minorHAnsi" w:hAnsiTheme="minorHAnsi" w:cstheme="minorHAnsi"/>
          <w:sz w:val="22"/>
        </w:rPr>
        <w:t>Ensure continuity of care for released prisoners who are on treatment for TB and for individuals who are on treatment before entering the prisons.</w:t>
      </w:r>
    </w:p>
    <w:p w14:paraId="2CC279B1" w14:textId="437CFF84" w:rsidR="008858C9" w:rsidRPr="00B816E9" w:rsidRDefault="00B816E9" w:rsidP="00B816E9">
      <w:pPr>
        <w:spacing w:before="0" w:after="0"/>
        <w:ind w:left="270"/>
        <w:jc w:val="both"/>
        <w:rPr>
          <w:rFonts w:asciiTheme="minorHAnsi" w:hAnsiTheme="minorHAnsi" w:cstheme="minorHAnsi"/>
          <w:sz w:val="22"/>
        </w:rPr>
      </w:pPr>
      <w:r>
        <w:rPr>
          <w:rFonts w:asciiTheme="minorHAnsi" w:hAnsiTheme="minorHAnsi" w:cstheme="minorHAnsi"/>
          <w:b/>
          <w:sz w:val="22"/>
        </w:rPr>
        <w:t xml:space="preserve">4.3.10.5 </w:t>
      </w:r>
      <w:r w:rsidR="008858C9" w:rsidRPr="00B816E9">
        <w:rPr>
          <w:rFonts w:asciiTheme="minorHAnsi" w:hAnsiTheme="minorHAnsi" w:cstheme="minorHAnsi"/>
          <w:sz w:val="22"/>
        </w:rPr>
        <w:t>Provide psychological counselling and support for prisoners to improve TB treatment adherence.</w:t>
      </w:r>
    </w:p>
    <w:p w14:paraId="3BC3410F" w14:textId="7F6E8206" w:rsidR="008858C9" w:rsidRPr="009E59BF" w:rsidRDefault="009E59BF" w:rsidP="009E59BF">
      <w:pPr>
        <w:spacing w:before="0" w:after="0"/>
        <w:ind w:left="270"/>
        <w:jc w:val="both"/>
        <w:rPr>
          <w:rFonts w:asciiTheme="minorHAnsi" w:hAnsiTheme="minorHAnsi" w:cstheme="minorHAnsi"/>
          <w:sz w:val="22"/>
        </w:rPr>
      </w:pPr>
      <w:r>
        <w:rPr>
          <w:rFonts w:asciiTheme="minorHAnsi" w:hAnsiTheme="minorHAnsi" w:cstheme="minorHAnsi"/>
          <w:b/>
          <w:sz w:val="22"/>
        </w:rPr>
        <w:t xml:space="preserve">4.3.10.6 </w:t>
      </w:r>
      <w:r w:rsidR="008858C9" w:rsidRPr="009E59BF">
        <w:rPr>
          <w:rFonts w:asciiTheme="minorHAnsi" w:hAnsiTheme="minorHAnsi" w:cstheme="minorHAnsi"/>
          <w:sz w:val="22"/>
        </w:rPr>
        <w:t xml:space="preserve">Strengthen TB </w:t>
      </w:r>
      <w:r w:rsidR="00DA6F3A">
        <w:rPr>
          <w:rFonts w:asciiTheme="minorHAnsi" w:hAnsiTheme="minorHAnsi" w:cstheme="minorHAnsi"/>
          <w:sz w:val="22"/>
        </w:rPr>
        <w:t xml:space="preserve">elimination </w:t>
      </w:r>
      <w:r w:rsidR="00DA6F3A" w:rsidRPr="009E59BF">
        <w:rPr>
          <w:rFonts w:asciiTheme="minorHAnsi" w:hAnsiTheme="minorHAnsi" w:cstheme="minorHAnsi"/>
          <w:sz w:val="22"/>
        </w:rPr>
        <w:t>in</w:t>
      </w:r>
      <w:r w:rsidR="008858C9" w:rsidRPr="009E59BF">
        <w:rPr>
          <w:rFonts w:asciiTheme="minorHAnsi" w:hAnsiTheme="minorHAnsi" w:cstheme="minorHAnsi"/>
          <w:sz w:val="22"/>
        </w:rPr>
        <w:t xml:space="preserve"> prison-based programmes by raising awareness about TB among inmates and prison medical and non-medical staff. Avoid transfer of TB patients, but, in the case of transfer, improve communications between prisons to ensure treatment follow-up after transfer and facilitate transfer to community clinics for released prisoners.</w:t>
      </w:r>
    </w:p>
    <w:p w14:paraId="4CA3BA69" w14:textId="6442E0CA" w:rsidR="008858C9" w:rsidRPr="009E59BF" w:rsidRDefault="009E59BF" w:rsidP="009E59BF">
      <w:pPr>
        <w:spacing w:before="0" w:after="0"/>
        <w:ind w:left="270"/>
        <w:jc w:val="both"/>
        <w:rPr>
          <w:rFonts w:asciiTheme="minorHAnsi" w:hAnsiTheme="minorHAnsi" w:cstheme="minorHAnsi"/>
          <w:sz w:val="22"/>
        </w:rPr>
      </w:pPr>
      <w:r>
        <w:rPr>
          <w:rFonts w:asciiTheme="minorHAnsi" w:hAnsiTheme="minorHAnsi" w:cstheme="minorHAnsi"/>
          <w:b/>
          <w:sz w:val="22"/>
        </w:rPr>
        <w:t xml:space="preserve">4.3.10.7 </w:t>
      </w:r>
      <w:r w:rsidR="008858C9" w:rsidRPr="009E59BF">
        <w:rPr>
          <w:rFonts w:asciiTheme="minorHAnsi" w:hAnsiTheme="minorHAnsi" w:cstheme="minorHAnsi"/>
          <w:sz w:val="22"/>
        </w:rPr>
        <w:t>Link scientific research, including Operational Research to the development of specific knowledge about treating TB in the prison environment.</w:t>
      </w:r>
    </w:p>
    <w:p w14:paraId="282CD633" w14:textId="4CDAE900" w:rsidR="008858C9" w:rsidRPr="009E59BF" w:rsidRDefault="009E59BF" w:rsidP="009E59BF">
      <w:pPr>
        <w:spacing w:before="0" w:after="0"/>
        <w:ind w:left="270"/>
        <w:jc w:val="both"/>
        <w:rPr>
          <w:rFonts w:asciiTheme="minorHAnsi" w:hAnsiTheme="minorHAnsi" w:cstheme="minorHAnsi"/>
          <w:sz w:val="22"/>
        </w:rPr>
      </w:pPr>
      <w:r>
        <w:rPr>
          <w:rFonts w:asciiTheme="minorHAnsi" w:hAnsiTheme="minorHAnsi" w:cstheme="minorHAnsi"/>
          <w:b/>
          <w:sz w:val="22"/>
        </w:rPr>
        <w:t xml:space="preserve">4.3.10.8 </w:t>
      </w:r>
      <w:r w:rsidR="008858C9" w:rsidRPr="009E59BF">
        <w:rPr>
          <w:rFonts w:asciiTheme="minorHAnsi" w:hAnsiTheme="minorHAnsi" w:cstheme="minorHAnsi"/>
          <w:sz w:val="22"/>
        </w:rPr>
        <w:t>Engaging with Ministry of Home Affairs, Ministry of Women and Child Development in effectively addressing TB burden in Prison, Swadhar/Ujjwala homes respectively, apart from other related Ministries.</w:t>
      </w:r>
      <w:r w:rsidR="00FE380B" w:rsidRPr="009E59BF">
        <w:rPr>
          <w:rFonts w:asciiTheme="minorHAnsi" w:hAnsiTheme="minorHAnsi" w:cstheme="minorHAnsi"/>
          <w:sz w:val="22"/>
        </w:rPr>
        <w:t xml:space="preserve"> </w:t>
      </w:r>
    </w:p>
    <w:p w14:paraId="69DAF241" w14:textId="77777777" w:rsidR="000A1317" w:rsidRPr="00BD5D37" w:rsidRDefault="000A1317" w:rsidP="00FE380B">
      <w:pPr>
        <w:tabs>
          <w:tab w:val="left" w:pos="900"/>
        </w:tabs>
        <w:spacing w:before="0" w:after="0"/>
        <w:ind w:left="792"/>
        <w:jc w:val="both"/>
        <w:rPr>
          <w:rFonts w:asciiTheme="minorHAnsi" w:hAnsiTheme="minorHAnsi" w:cstheme="minorHAnsi"/>
          <w:sz w:val="22"/>
        </w:rPr>
      </w:pPr>
    </w:p>
    <w:p w14:paraId="5B222C68" w14:textId="215EE89D" w:rsidR="008858C9" w:rsidRPr="00F5297C" w:rsidRDefault="00F5297C" w:rsidP="00F5297C">
      <w:pPr>
        <w:spacing w:before="0" w:after="0"/>
        <w:jc w:val="both"/>
        <w:rPr>
          <w:rFonts w:asciiTheme="minorHAnsi" w:hAnsiTheme="minorHAnsi" w:cstheme="minorHAnsi"/>
          <w:b/>
          <w:sz w:val="22"/>
        </w:rPr>
      </w:pPr>
      <w:r>
        <w:rPr>
          <w:rFonts w:asciiTheme="minorHAnsi" w:hAnsiTheme="minorHAnsi" w:cstheme="minorHAnsi"/>
          <w:b/>
          <w:sz w:val="22"/>
        </w:rPr>
        <w:t xml:space="preserve">4.3.11 </w:t>
      </w:r>
      <w:r w:rsidR="008858C9" w:rsidRPr="00F5297C">
        <w:rPr>
          <w:rFonts w:asciiTheme="minorHAnsi" w:hAnsiTheme="minorHAnsi" w:cstheme="minorHAnsi"/>
          <w:b/>
          <w:sz w:val="22"/>
        </w:rPr>
        <w:t>TB-Geriatrics</w:t>
      </w:r>
    </w:p>
    <w:p w14:paraId="490E6F5E" w14:textId="399FAB7E"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4.3.11.1 </w:t>
      </w:r>
      <w:r w:rsidR="00236A80" w:rsidRPr="00F5297C">
        <w:rPr>
          <w:rFonts w:asciiTheme="minorHAnsi" w:hAnsiTheme="minorHAnsi" w:cstheme="minorHAnsi"/>
          <w:sz w:val="22"/>
        </w:rPr>
        <w:t>Develop</w:t>
      </w:r>
      <w:r w:rsidR="008858C9" w:rsidRPr="00F5297C">
        <w:rPr>
          <w:rFonts w:asciiTheme="minorHAnsi" w:hAnsiTheme="minorHAnsi" w:cstheme="minorHAnsi"/>
          <w:sz w:val="22"/>
        </w:rPr>
        <w:t xml:space="preserve"> framework to address TB among geriatric population and address special needs among the population</w:t>
      </w:r>
    </w:p>
    <w:p w14:paraId="49D33DF8" w14:textId="5DB3A59B"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4.3.11.2 </w:t>
      </w:r>
      <w:r w:rsidR="00236A80" w:rsidRPr="00F5297C">
        <w:rPr>
          <w:rFonts w:asciiTheme="minorHAnsi" w:hAnsiTheme="minorHAnsi" w:cstheme="minorHAnsi"/>
          <w:sz w:val="22"/>
        </w:rPr>
        <w:t>Institute e</w:t>
      </w:r>
      <w:r w:rsidR="008858C9" w:rsidRPr="00F5297C">
        <w:rPr>
          <w:rFonts w:asciiTheme="minorHAnsi" w:hAnsiTheme="minorHAnsi" w:cstheme="minorHAnsi"/>
          <w:sz w:val="22"/>
        </w:rPr>
        <w:t>ffective screening for TB in Old age homes and other settings and ensuring continuity of care</w:t>
      </w:r>
    </w:p>
    <w:p w14:paraId="47FD1E3F" w14:textId="08AB47D1"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4.3.11.3 </w:t>
      </w:r>
      <w:r w:rsidR="00236A80" w:rsidRPr="00F5297C">
        <w:rPr>
          <w:rFonts w:asciiTheme="minorHAnsi" w:hAnsiTheme="minorHAnsi" w:cstheme="minorHAnsi"/>
          <w:sz w:val="22"/>
        </w:rPr>
        <w:t>Establish</w:t>
      </w:r>
      <w:r w:rsidR="008858C9" w:rsidRPr="00F5297C">
        <w:rPr>
          <w:rFonts w:asciiTheme="minorHAnsi" w:hAnsiTheme="minorHAnsi" w:cstheme="minorHAnsi"/>
          <w:sz w:val="22"/>
        </w:rPr>
        <w:t xml:space="preserve"> collaboration with National Programme for Healthcare of the Elderly (MoHFW) and Integrated Programme for senior citizens (Ministry of Social Justice </w:t>
      </w:r>
      <w:r w:rsidR="00AF41B5" w:rsidRPr="00F5297C">
        <w:rPr>
          <w:rFonts w:asciiTheme="minorHAnsi" w:hAnsiTheme="minorHAnsi" w:cstheme="minorHAnsi"/>
          <w:sz w:val="22"/>
        </w:rPr>
        <w:t>and</w:t>
      </w:r>
      <w:r w:rsidR="008858C9" w:rsidRPr="00F5297C">
        <w:rPr>
          <w:rFonts w:asciiTheme="minorHAnsi" w:hAnsiTheme="minorHAnsi" w:cstheme="minorHAnsi"/>
          <w:sz w:val="22"/>
        </w:rPr>
        <w:t xml:space="preserve"> Empowerment)</w:t>
      </w:r>
    </w:p>
    <w:p w14:paraId="547E37D8" w14:textId="089359B2"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4.3.11.4 </w:t>
      </w:r>
      <w:r w:rsidR="00236A80" w:rsidRPr="00F5297C">
        <w:rPr>
          <w:rFonts w:asciiTheme="minorHAnsi" w:hAnsiTheme="minorHAnsi" w:cstheme="minorHAnsi"/>
          <w:sz w:val="22"/>
        </w:rPr>
        <w:t>Engage</w:t>
      </w:r>
      <w:r w:rsidR="008858C9" w:rsidRPr="00F5297C">
        <w:rPr>
          <w:rFonts w:asciiTheme="minorHAnsi" w:hAnsiTheme="minorHAnsi" w:cstheme="minorHAnsi"/>
          <w:sz w:val="22"/>
        </w:rPr>
        <w:t xml:space="preserve"> with Geriatric Society of India/Indian Academy of Geriatrics/Association of Gerontology in increasing awareness on TB burden and information on availability of services</w:t>
      </w:r>
    </w:p>
    <w:p w14:paraId="093134F6" w14:textId="56018306"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4.3.11.5 </w:t>
      </w:r>
      <w:r w:rsidR="00236A80" w:rsidRPr="00F5297C">
        <w:rPr>
          <w:rFonts w:asciiTheme="minorHAnsi" w:hAnsiTheme="minorHAnsi" w:cstheme="minorHAnsi"/>
          <w:sz w:val="22"/>
        </w:rPr>
        <w:t>Partner with N</w:t>
      </w:r>
      <w:r w:rsidR="008858C9" w:rsidRPr="00F5297C">
        <w:rPr>
          <w:rFonts w:asciiTheme="minorHAnsi" w:hAnsiTheme="minorHAnsi" w:cstheme="minorHAnsi"/>
          <w:sz w:val="22"/>
        </w:rPr>
        <w:t>GOs</w:t>
      </w:r>
      <w:r w:rsidR="00236A80" w:rsidRPr="00F5297C">
        <w:rPr>
          <w:rFonts w:asciiTheme="minorHAnsi" w:hAnsiTheme="minorHAnsi" w:cstheme="minorHAnsi"/>
          <w:sz w:val="22"/>
        </w:rPr>
        <w:t xml:space="preserve"> already working with the geriatric population</w:t>
      </w:r>
      <w:r w:rsidR="008858C9" w:rsidRPr="00F5297C">
        <w:rPr>
          <w:rFonts w:asciiTheme="minorHAnsi" w:hAnsiTheme="minorHAnsi" w:cstheme="minorHAnsi"/>
          <w:sz w:val="22"/>
        </w:rPr>
        <w:t xml:space="preserve"> </w:t>
      </w:r>
      <w:r>
        <w:rPr>
          <w:rFonts w:asciiTheme="minorHAnsi" w:hAnsiTheme="minorHAnsi" w:cstheme="minorHAnsi"/>
          <w:sz w:val="22"/>
        </w:rPr>
        <w:t>–</w:t>
      </w:r>
      <w:r w:rsidR="008858C9" w:rsidRPr="00F5297C">
        <w:rPr>
          <w:rFonts w:asciiTheme="minorHAnsi" w:hAnsiTheme="minorHAnsi" w:cstheme="minorHAnsi"/>
          <w:sz w:val="22"/>
        </w:rPr>
        <w:t xml:space="preserve"> HelpAge India, Manavlok, Abhoy M</w:t>
      </w:r>
      <w:r w:rsidRPr="00F5297C">
        <w:rPr>
          <w:rFonts w:asciiTheme="minorHAnsi" w:hAnsiTheme="minorHAnsi" w:cstheme="minorHAnsi"/>
          <w:sz w:val="22"/>
        </w:rPr>
        <w:t>i</w:t>
      </w:r>
      <w:r w:rsidR="008858C9" w:rsidRPr="00F5297C">
        <w:rPr>
          <w:rFonts w:asciiTheme="minorHAnsi" w:hAnsiTheme="minorHAnsi" w:cstheme="minorHAnsi"/>
          <w:sz w:val="22"/>
        </w:rPr>
        <w:t xml:space="preserve">ssion, Asha Kiran, Shraddhanand Mahilashram </w:t>
      </w:r>
      <w:r w:rsidR="00F51523" w:rsidRPr="00F5297C">
        <w:rPr>
          <w:rFonts w:asciiTheme="minorHAnsi" w:hAnsiTheme="minorHAnsi" w:cstheme="minorHAnsi"/>
          <w:sz w:val="22"/>
        </w:rPr>
        <w:t>etc.</w:t>
      </w:r>
      <w:r w:rsidR="008858C9" w:rsidRPr="00F5297C">
        <w:rPr>
          <w:rFonts w:asciiTheme="minorHAnsi" w:hAnsiTheme="minorHAnsi" w:cstheme="minorHAnsi"/>
          <w:sz w:val="22"/>
        </w:rPr>
        <w:t xml:space="preserve"> in screening of TB and linkage to appropriate care</w:t>
      </w:r>
    </w:p>
    <w:p w14:paraId="3FC96C87" w14:textId="77777777" w:rsidR="008858C9" w:rsidRPr="008858C9" w:rsidRDefault="008858C9" w:rsidP="00100F99">
      <w:pPr>
        <w:spacing w:before="0" w:after="0"/>
        <w:ind w:left="720"/>
        <w:jc w:val="both"/>
        <w:rPr>
          <w:rFonts w:asciiTheme="minorHAnsi" w:hAnsiTheme="minorHAnsi" w:cstheme="minorHAnsi"/>
          <w:sz w:val="22"/>
        </w:rPr>
      </w:pPr>
    </w:p>
    <w:p w14:paraId="2D55427F" w14:textId="7F8DB7D6" w:rsidR="008858C9" w:rsidRPr="00F5297C" w:rsidRDefault="00F5297C" w:rsidP="00F5297C">
      <w:pPr>
        <w:spacing w:before="0" w:after="0"/>
        <w:jc w:val="both"/>
        <w:rPr>
          <w:rFonts w:asciiTheme="minorHAnsi" w:hAnsiTheme="minorHAnsi" w:cstheme="minorHAnsi"/>
          <w:b/>
          <w:sz w:val="22"/>
        </w:rPr>
      </w:pPr>
      <w:r>
        <w:rPr>
          <w:rFonts w:asciiTheme="minorHAnsi" w:hAnsiTheme="minorHAnsi" w:cstheme="minorHAnsi"/>
          <w:b/>
          <w:sz w:val="22"/>
        </w:rPr>
        <w:t xml:space="preserve">4.3.12 </w:t>
      </w:r>
      <w:r w:rsidR="008858C9" w:rsidRPr="00F5297C">
        <w:rPr>
          <w:rFonts w:asciiTheme="minorHAnsi" w:hAnsiTheme="minorHAnsi" w:cstheme="minorHAnsi"/>
          <w:b/>
          <w:sz w:val="22"/>
        </w:rPr>
        <w:t>TB-Mental Health</w:t>
      </w:r>
    </w:p>
    <w:p w14:paraId="3AE4D89B" w14:textId="172B4C3C"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4.3.12.1 </w:t>
      </w:r>
      <w:r w:rsidR="008858C9" w:rsidRPr="00F5297C">
        <w:rPr>
          <w:rFonts w:asciiTheme="minorHAnsi" w:hAnsiTheme="minorHAnsi" w:cstheme="minorHAnsi"/>
          <w:sz w:val="22"/>
        </w:rPr>
        <w:t>Incorporate mental health counseling component for all TB patients</w:t>
      </w:r>
    </w:p>
    <w:p w14:paraId="78567D4F" w14:textId="555BEB64"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4.3.12.2 </w:t>
      </w:r>
      <w:r w:rsidR="008858C9" w:rsidRPr="00F5297C">
        <w:rPr>
          <w:rFonts w:asciiTheme="minorHAnsi" w:hAnsiTheme="minorHAnsi" w:cstheme="minorHAnsi"/>
          <w:sz w:val="22"/>
        </w:rPr>
        <w:t>Building capacity of health personnel/counsellors at all levels in identifying</w:t>
      </w:r>
      <w:r w:rsidR="00A2044B">
        <w:rPr>
          <w:rFonts w:asciiTheme="minorHAnsi" w:hAnsiTheme="minorHAnsi" w:cstheme="minorHAnsi"/>
          <w:sz w:val="22"/>
        </w:rPr>
        <w:t xml:space="preserve"> TB among patients with</w:t>
      </w:r>
      <w:r w:rsidR="008858C9" w:rsidRPr="00F5297C">
        <w:rPr>
          <w:rFonts w:asciiTheme="minorHAnsi" w:hAnsiTheme="minorHAnsi" w:cstheme="minorHAnsi"/>
          <w:sz w:val="22"/>
        </w:rPr>
        <w:t xml:space="preserve"> mental disorders</w:t>
      </w:r>
    </w:p>
    <w:p w14:paraId="29123916" w14:textId="1FA61C17"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4.3.12.3 </w:t>
      </w:r>
      <w:r w:rsidR="008858C9" w:rsidRPr="00F5297C">
        <w:rPr>
          <w:rFonts w:asciiTheme="minorHAnsi" w:hAnsiTheme="minorHAnsi" w:cstheme="minorHAnsi"/>
          <w:sz w:val="22"/>
        </w:rPr>
        <w:t xml:space="preserve">Screening of all TB patients for mental </w:t>
      </w:r>
      <w:r w:rsidR="00A2044B">
        <w:rPr>
          <w:rFonts w:asciiTheme="minorHAnsi" w:hAnsiTheme="minorHAnsi" w:cstheme="minorHAnsi"/>
          <w:sz w:val="22"/>
        </w:rPr>
        <w:t>health issues</w:t>
      </w:r>
      <w:r w:rsidR="008858C9" w:rsidRPr="00F5297C">
        <w:rPr>
          <w:rFonts w:asciiTheme="minorHAnsi" w:hAnsiTheme="minorHAnsi" w:cstheme="minorHAnsi"/>
          <w:sz w:val="22"/>
        </w:rPr>
        <w:t xml:space="preserve"> and linkage to services</w:t>
      </w:r>
    </w:p>
    <w:p w14:paraId="3B24BE5C" w14:textId="402BCCEA"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4.3.12.4 </w:t>
      </w:r>
      <w:r w:rsidR="008858C9" w:rsidRPr="00F5297C">
        <w:rPr>
          <w:rFonts w:asciiTheme="minorHAnsi" w:hAnsiTheme="minorHAnsi" w:cstheme="minorHAnsi"/>
          <w:sz w:val="22"/>
        </w:rPr>
        <w:t>Screening of inmates of Institutions for mental disorders for TB and linkage to services</w:t>
      </w:r>
    </w:p>
    <w:p w14:paraId="0BA7A033" w14:textId="1A62933F"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4.3.12.5 </w:t>
      </w:r>
      <w:r w:rsidR="008858C9" w:rsidRPr="00F5297C">
        <w:rPr>
          <w:rFonts w:asciiTheme="minorHAnsi" w:hAnsiTheme="minorHAnsi" w:cstheme="minorHAnsi"/>
          <w:sz w:val="22"/>
        </w:rPr>
        <w:t xml:space="preserve">Leverage wellness component of Health and Wellness centres to provide support </w:t>
      </w:r>
    </w:p>
    <w:p w14:paraId="38B970A9" w14:textId="61583995"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4.3.12.6 </w:t>
      </w:r>
      <w:r w:rsidR="008858C9" w:rsidRPr="00F5297C">
        <w:rPr>
          <w:rFonts w:asciiTheme="minorHAnsi" w:hAnsiTheme="minorHAnsi" w:cstheme="minorHAnsi"/>
          <w:sz w:val="22"/>
        </w:rPr>
        <w:t xml:space="preserve">Undertake research on burden of TB among those with mental disorders and operational research on modalities for screening/ensuring continuum of care. </w:t>
      </w:r>
    </w:p>
    <w:p w14:paraId="3D23DCB6" w14:textId="21913B59"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4.3.12.7 </w:t>
      </w:r>
      <w:r w:rsidR="008858C9" w:rsidRPr="00F5297C">
        <w:rPr>
          <w:rFonts w:asciiTheme="minorHAnsi" w:hAnsiTheme="minorHAnsi" w:cstheme="minorHAnsi"/>
          <w:sz w:val="22"/>
        </w:rPr>
        <w:t xml:space="preserve">Establish linkage with National Mental Health programme for linkage to </w:t>
      </w:r>
      <w:r w:rsidR="00DA6F3A" w:rsidRPr="00F5297C">
        <w:rPr>
          <w:rFonts w:asciiTheme="minorHAnsi" w:hAnsiTheme="minorHAnsi" w:cstheme="minorHAnsi"/>
          <w:sz w:val="22"/>
        </w:rPr>
        <w:t>mental</w:t>
      </w:r>
      <w:r w:rsidR="008858C9" w:rsidRPr="00F5297C">
        <w:rPr>
          <w:rFonts w:asciiTheme="minorHAnsi" w:hAnsiTheme="minorHAnsi" w:cstheme="minorHAnsi"/>
          <w:sz w:val="22"/>
        </w:rPr>
        <w:t xml:space="preserve"> health support services among TB patients </w:t>
      </w:r>
    </w:p>
    <w:p w14:paraId="23D6F960" w14:textId="77777777" w:rsidR="008858C9" w:rsidRPr="008858C9" w:rsidRDefault="008858C9" w:rsidP="00100F99">
      <w:pPr>
        <w:spacing w:before="0" w:after="0"/>
        <w:ind w:left="720"/>
        <w:jc w:val="both"/>
        <w:rPr>
          <w:rFonts w:asciiTheme="minorHAnsi" w:hAnsiTheme="minorHAnsi" w:cstheme="minorHAnsi"/>
          <w:sz w:val="22"/>
        </w:rPr>
      </w:pPr>
    </w:p>
    <w:p w14:paraId="0929A7C1" w14:textId="5BC3270A" w:rsidR="008858C9" w:rsidRPr="00F5297C" w:rsidRDefault="00F5297C" w:rsidP="00F5297C">
      <w:pPr>
        <w:spacing w:before="0" w:after="0"/>
        <w:jc w:val="both"/>
        <w:rPr>
          <w:rFonts w:asciiTheme="minorHAnsi" w:hAnsiTheme="minorHAnsi" w:cstheme="minorHAnsi"/>
          <w:b/>
          <w:sz w:val="22"/>
        </w:rPr>
      </w:pPr>
      <w:r>
        <w:rPr>
          <w:rFonts w:asciiTheme="minorHAnsi" w:hAnsiTheme="minorHAnsi" w:cstheme="minorHAnsi"/>
          <w:b/>
          <w:sz w:val="22"/>
        </w:rPr>
        <w:t xml:space="preserve">4.3.13 </w:t>
      </w:r>
      <w:r w:rsidR="008858C9" w:rsidRPr="00F5297C">
        <w:rPr>
          <w:rFonts w:asciiTheme="minorHAnsi" w:hAnsiTheme="minorHAnsi" w:cstheme="minorHAnsi"/>
          <w:b/>
          <w:sz w:val="22"/>
        </w:rPr>
        <w:t>TB-Hepatitis</w:t>
      </w:r>
    </w:p>
    <w:p w14:paraId="1E153C5B" w14:textId="4A94F061"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lastRenderedPageBreak/>
        <w:t xml:space="preserve">4.3.13.1 </w:t>
      </w:r>
      <w:r w:rsidR="008858C9" w:rsidRPr="00F5297C">
        <w:rPr>
          <w:rFonts w:asciiTheme="minorHAnsi" w:hAnsiTheme="minorHAnsi" w:cstheme="minorHAnsi"/>
          <w:sz w:val="22"/>
        </w:rPr>
        <w:t>Develop framework to address TB and Hepatitis comorbidity and issues related to the same</w:t>
      </w:r>
    </w:p>
    <w:p w14:paraId="2FB92D1A" w14:textId="1C3DD350"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4.3.13.2 </w:t>
      </w:r>
      <w:r w:rsidR="007F7384" w:rsidRPr="00F5297C">
        <w:rPr>
          <w:rFonts w:asciiTheme="minorHAnsi" w:hAnsiTheme="minorHAnsi" w:cstheme="minorHAnsi"/>
          <w:sz w:val="22"/>
        </w:rPr>
        <w:t>Roll</w:t>
      </w:r>
      <w:r w:rsidR="008858C9" w:rsidRPr="00F5297C">
        <w:rPr>
          <w:rFonts w:asciiTheme="minorHAnsi" w:hAnsiTheme="minorHAnsi" w:cstheme="minorHAnsi"/>
          <w:sz w:val="22"/>
        </w:rPr>
        <w:t xml:space="preserve"> out services for screening and management for viral hepatitis among TB patients</w:t>
      </w:r>
    </w:p>
    <w:p w14:paraId="6E040134" w14:textId="478F9E99"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4.3.13.3 </w:t>
      </w:r>
      <w:r w:rsidR="008858C9" w:rsidRPr="00F5297C">
        <w:rPr>
          <w:rFonts w:asciiTheme="minorHAnsi" w:hAnsiTheme="minorHAnsi" w:cstheme="minorHAnsi"/>
          <w:sz w:val="22"/>
        </w:rPr>
        <w:t>Undertake research on the burden of TB among those with Hepatitis and operational research on linkage to appropriate care.</w:t>
      </w:r>
    </w:p>
    <w:p w14:paraId="2AAF2206" w14:textId="6927E394"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4.3.13.4 </w:t>
      </w:r>
      <w:r w:rsidR="008858C9" w:rsidRPr="00F5297C">
        <w:rPr>
          <w:rFonts w:asciiTheme="minorHAnsi" w:hAnsiTheme="minorHAnsi" w:cstheme="minorHAnsi"/>
          <w:sz w:val="22"/>
        </w:rPr>
        <w:t>Establish linkage with National Viral Hepatitis Control Programme, Centre for Excellence in Mental Health</w:t>
      </w:r>
    </w:p>
    <w:p w14:paraId="1BB91D05" w14:textId="32F9734D"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4.3.13.5 </w:t>
      </w:r>
      <w:r w:rsidR="008858C9" w:rsidRPr="00F5297C">
        <w:rPr>
          <w:rFonts w:asciiTheme="minorHAnsi" w:hAnsiTheme="minorHAnsi" w:cstheme="minorHAnsi"/>
          <w:sz w:val="22"/>
        </w:rPr>
        <w:t xml:space="preserve">Roping in support of NGOs - Manas, Snehi, Roshini, MNGO, ISSS, Prayas </w:t>
      </w:r>
      <w:r w:rsidR="00F51523" w:rsidRPr="00F5297C">
        <w:rPr>
          <w:rFonts w:asciiTheme="minorHAnsi" w:hAnsiTheme="minorHAnsi" w:cstheme="minorHAnsi"/>
          <w:sz w:val="22"/>
        </w:rPr>
        <w:t>etc.</w:t>
      </w:r>
      <w:r w:rsidR="008858C9" w:rsidRPr="00F5297C">
        <w:rPr>
          <w:rFonts w:asciiTheme="minorHAnsi" w:hAnsiTheme="minorHAnsi" w:cstheme="minorHAnsi"/>
          <w:sz w:val="22"/>
        </w:rPr>
        <w:t xml:space="preserve"> in screening of TB and linkage to appropriate care</w:t>
      </w:r>
    </w:p>
    <w:p w14:paraId="279AFE51" w14:textId="77777777" w:rsidR="008858C9" w:rsidRPr="008858C9" w:rsidRDefault="008858C9" w:rsidP="00100F99">
      <w:pPr>
        <w:spacing w:before="0" w:after="0"/>
        <w:ind w:left="720"/>
        <w:jc w:val="both"/>
        <w:rPr>
          <w:rFonts w:asciiTheme="minorHAnsi" w:hAnsiTheme="minorHAnsi" w:cstheme="minorHAnsi"/>
          <w:sz w:val="22"/>
        </w:rPr>
      </w:pPr>
    </w:p>
    <w:p w14:paraId="001B376E" w14:textId="0B8E52FE" w:rsidR="008858C9" w:rsidRPr="00F5297C" w:rsidRDefault="00F5297C" w:rsidP="00F5297C">
      <w:pPr>
        <w:spacing w:before="0" w:after="0"/>
        <w:jc w:val="both"/>
        <w:rPr>
          <w:rFonts w:asciiTheme="minorHAnsi" w:hAnsiTheme="minorHAnsi" w:cstheme="minorHAnsi"/>
          <w:b/>
          <w:sz w:val="22"/>
        </w:rPr>
      </w:pPr>
      <w:r>
        <w:rPr>
          <w:rFonts w:asciiTheme="minorHAnsi" w:hAnsiTheme="minorHAnsi" w:cstheme="minorHAnsi"/>
          <w:b/>
          <w:sz w:val="22"/>
        </w:rPr>
        <w:t xml:space="preserve">4.3.14 </w:t>
      </w:r>
      <w:r w:rsidR="008858C9" w:rsidRPr="00F5297C">
        <w:rPr>
          <w:rFonts w:asciiTheme="minorHAnsi" w:hAnsiTheme="minorHAnsi" w:cstheme="minorHAnsi"/>
          <w:b/>
          <w:sz w:val="22"/>
        </w:rPr>
        <w:t>TB-Silicosis</w:t>
      </w:r>
    </w:p>
    <w:p w14:paraId="2F2A2DCF" w14:textId="55055D0B"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4.3.14.1 </w:t>
      </w:r>
      <w:r w:rsidR="002C2F38" w:rsidRPr="00F5297C">
        <w:rPr>
          <w:rFonts w:asciiTheme="minorHAnsi" w:hAnsiTheme="minorHAnsi" w:cstheme="minorHAnsi"/>
          <w:sz w:val="22"/>
        </w:rPr>
        <w:t>Conduct p</w:t>
      </w:r>
      <w:r w:rsidR="008858C9" w:rsidRPr="00F5297C">
        <w:rPr>
          <w:rFonts w:asciiTheme="minorHAnsi" w:hAnsiTheme="minorHAnsi" w:cstheme="minorHAnsi"/>
          <w:sz w:val="22"/>
        </w:rPr>
        <w:t xml:space="preserve">eriodic screening of workers in high risk settings for Silicosis for Tuberculosis </w:t>
      </w:r>
    </w:p>
    <w:p w14:paraId="002C368C" w14:textId="21C513C2"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4.3.14.2 </w:t>
      </w:r>
      <w:r w:rsidR="008858C9" w:rsidRPr="00F5297C">
        <w:rPr>
          <w:rFonts w:asciiTheme="minorHAnsi" w:hAnsiTheme="minorHAnsi" w:cstheme="minorHAnsi"/>
          <w:sz w:val="22"/>
        </w:rPr>
        <w:t>Capacity building of health personnel in high-risk areas for ensure early diagnosis and detection of silicosis and sensitization on occupational history documentation</w:t>
      </w:r>
    </w:p>
    <w:p w14:paraId="3B353A47" w14:textId="7E9D22BB"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4.3.14.3 </w:t>
      </w:r>
      <w:r w:rsidR="008858C9" w:rsidRPr="00F5297C">
        <w:rPr>
          <w:rFonts w:asciiTheme="minorHAnsi" w:hAnsiTheme="minorHAnsi" w:cstheme="minorHAnsi"/>
          <w:sz w:val="22"/>
        </w:rPr>
        <w:t xml:space="preserve">Appropriate follow-up and counselling </w:t>
      </w:r>
      <w:r w:rsidR="002C2F38" w:rsidRPr="00F5297C">
        <w:rPr>
          <w:rFonts w:asciiTheme="minorHAnsi" w:hAnsiTheme="minorHAnsi" w:cstheme="minorHAnsi"/>
          <w:sz w:val="22"/>
        </w:rPr>
        <w:t>to</w:t>
      </w:r>
      <w:r w:rsidR="008858C9" w:rsidRPr="00F5297C">
        <w:rPr>
          <w:rFonts w:asciiTheme="minorHAnsi" w:hAnsiTheme="minorHAnsi" w:cstheme="minorHAnsi"/>
          <w:sz w:val="22"/>
        </w:rPr>
        <w:t xml:space="preserve"> be provided to patients affected by silicosis</w:t>
      </w:r>
    </w:p>
    <w:p w14:paraId="7DE95921" w14:textId="3FE2C196"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4.3.14.4 </w:t>
      </w:r>
      <w:r w:rsidR="007F7384" w:rsidRPr="00F5297C">
        <w:rPr>
          <w:rFonts w:asciiTheme="minorHAnsi" w:hAnsiTheme="minorHAnsi" w:cstheme="minorHAnsi"/>
          <w:sz w:val="22"/>
        </w:rPr>
        <w:t>Engage</w:t>
      </w:r>
      <w:r w:rsidR="008858C9" w:rsidRPr="00F5297C">
        <w:rPr>
          <w:rFonts w:asciiTheme="minorHAnsi" w:hAnsiTheme="minorHAnsi" w:cstheme="minorHAnsi"/>
          <w:sz w:val="22"/>
        </w:rPr>
        <w:t xml:space="preserve"> with Ministry of Labour and Employment to address burden of TB among Silicosis patients, ensuring appropriate dust control measures in workplace and payment of compensation to all those affected by Silicosis</w:t>
      </w:r>
    </w:p>
    <w:p w14:paraId="25B2E611" w14:textId="77777777" w:rsidR="008858C9" w:rsidRPr="008858C9" w:rsidRDefault="008858C9" w:rsidP="00F5297C">
      <w:pPr>
        <w:spacing w:before="0" w:after="0"/>
        <w:ind w:left="720"/>
        <w:jc w:val="both"/>
        <w:rPr>
          <w:rFonts w:asciiTheme="minorHAnsi" w:hAnsiTheme="minorHAnsi" w:cstheme="minorHAnsi"/>
          <w:b/>
          <w:sz w:val="22"/>
        </w:rPr>
      </w:pPr>
    </w:p>
    <w:p w14:paraId="5B30D30C" w14:textId="4E8D6ED5" w:rsidR="008858C9" w:rsidRPr="00F5297C" w:rsidRDefault="00F5297C" w:rsidP="00F5297C">
      <w:pPr>
        <w:spacing w:before="0" w:after="0"/>
        <w:jc w:val="both"/>
        <w:rPr>
          <w:rFonts w:asciiTheme="minorHAnsi" w:hAnsiTheme="minorHAnsi" w:cstheme="minorHAnsi"/>
          <w:b/>
          <w:sz w:val="22"/>
        </w:rPr>
      </w:pPr>
      <w:r>
        <w:rPr>
          <w:rFonts w:asciiTheme="minorHAnsi" w:hAnsiTheme="minorHAnsi" w:cstheme="minorHAnsi"/>
          <w:b/>
          <w:sz w:val="22"/>
        </w:rPr>
        <w:t xml:space="preserve">4.3.15 </w:t>
      </w:r>
      <w:r w:rsidR="008858C9" w:rsidRPr="00F5297C">
        <w:rPr>
          <w:rFonts w:asciiTheme="minorHAnsi" w:hAnsiTheme="minorHAnsi" w:cstheme="minorHAnsi"/>
          <w:b/>
          <w:sz w:val="22"/>
        </w:rPr>
        <w:t>Tribal TB</w:t>
      </w:r>
    </w:p>
    <w:p w14:paraId="7B1D4806" w14:textId="364B3A5E"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4.3.15.1 </w:t>
      </w:r>
      <w:r w:rsidR="008858C9" w:rsidRPr="00F5297C">
        <w:rPr>
          <w:rFonts w:asciiTheme="minorHAnsi" w:hAnsiTheme="minorHAnsi" w:cstheme="minorHAnsi"/>
          <w:sz w:val="22"/>
        </w:rPr>
        <w:t>Mobilize political will and involvement at local levels through involvement of local elected representatives, and PRIs</w:t>
      </w:r>
    </w:p>
    <w:p w14:paraId="2D611820" w14:textId="51BF77F1"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4.3.15.2 </w:t>
      </w:r>
      <w:r w:rsidR="008858C9" w:rsidRPr="00F5297C">
        <w:rPr>
          <w:rFonts w:asciiTheme="minorHAnsi" w:hAnsiTheme="minorHAnsi" w:cstheme="minorHAnsi"/>
          <w:sz w:val="22"/>
        </w:rPr>
        <w:t>Use community meetings of PRIs as a forum to initiate community-based activities like early detection, sputum collection, facilitate treatment, monitoring and social support for needy patients</w:t>
      </w:r>
    </w:p>
    <w:p w14:paraId="4389D77A" w14:textId="6AB2D7BD"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4.3.15.3 </w:t>
      </w:r>
      <w:r w:rsidR="002C2F38" w:rsidRPr="00F5297C">
        <w:rPr>
          <w:rFonts w:asciiTheme="minorHAnsi" w:hAnsiTheme="minorHAnsi" w:cstheme="minorHAnsi"/>
          <w:sz w:val="22"/>
        </w:rPr>
        <w:t>Involve</w:t>
      </w:r>
      <w:r w:rsidR="008858C9" w:rsidRPr="00F5297C">
        <w:rPr>
          <w:rFonts w:asciiTheme="minorHAnsi" w:hAnsiTheme="minorHAnsi" w:cstheme="minorHAnsi"/>
          <w:sz w:val="22"/>
        </w:rPr>
        <w:t xml:space="preserve"> primary school teachers in disseminating IEC material</w:t>
      </w:r>
    </w:p>
    <w:p w14:paraId="1A1C37C5" w14:textId="67D0CB0E"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4.3.15.4 </w:t>
      </w:r>
      <w:r w:rsidR="002C2F38" w:rsidRPr="00F5297C">
        <w:rPr>
          <w:rFonts w:asciiTheme="minorHAnsi" w:hAnsiTheme="minorHAnsi" w:cstheme="minorHAnsi"/>
          <w:sz w:val="22"/>
        </w:rPr>
        <w:t>Use</w:t>
      </w:r>
      <w:r w:rsidR="008858C9" w:rsidRPr="00F5297C">
        <w:rPr>
          <w:rFonts w:asciiTheme="minorHAnsi" w:hAnsiTheme="minorHAnsi" w:cstheme="minorHAnsi"/>
          <w:sz w:val="22"/>
        </w:rPr>
        <w:t xml:space="preserve"> chemists, grocers’ shops and other places frequented by tribals to disseminate information </w:t>
      </w:r>
    </w:p>
    <w:p w14:paraId="47943457" w14:textId="44559149"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4.3.15.5 </w:t>
      </w:r>
      <w:r w:rsidR="002C2F38" w:rsidRPr="00F5297C">
        <w:rPr>
          <w:rFonts w:asciiTheme="minorHAnsi" w:hAnsiTheme="minorHAnsi" w:cstheme="minorHAnsi"/>
          <w:sz w:val="22"/>
        </w:rPr>
        <w:t>Increase</w:t>
      </w:r>
      <w:r w:rsidR="008858C9" w:rsidRPr="00F5297C">
        <w:rPr>
          <w:rFonts w:asciiTheme="minorHAnsi" w:hAnsiTheme="minorHAnsi" w:cstheme="minorHAnsi"/>
          <w:sz w:val="22"/>
        </w:rPr>
        <w:t xml:space="preserve"> uptake of incentives for Tribal TB patients for transport support</w:t>
      </w:r>
    </w:p>
    <w:p w14:paraId="1BA8DB27" w14:textId="3C2CACA0"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4.3.15.6 </w:t>
      </w:r>
      <w:r w:rsidR="007F7384" w:rsidRPr="00F5297C">
        <w:rPr>
          <w:rFonts w:asciiTheme="minorHAnsi" w:hAnsiTheme="minorHAnsi" w:cstheme="minorHAnsi"/>
          <w:sz w:val="22"/>
        </w:rPr>
        <w:t>Engage</w:t>
      </w:r>
      <w:r w:rsidR="008858C9" w:rsidRPr="00F5297C">
        <w:rPr>
          <w:rFonts w:asciiTheme="minorHAnsi" w:hAnsiTheme="minorHAnsi" w:cstheme="minorHAnsi"/>
          <w:sz w:val="22"/>
        </w:rPr>
        <w:t xml:space="preserve"> with Ministry of Tribal Affairs</w:t>
      </w:r>
    </w:p>
    <w:p w14:paraId="37EC3013" w14:textId="77777777" w:rsidR="008858C9" w:rsidRPr="008858C9" w:rsidRDefault="008858C9" w:rsidP="00F5297C">
      <w:pPr>
        <w:spacing w:before="0" w:after="0"/>
        <w:ind w:left="720"/>
        <w:jc w:val="both"/>
        <w:rPr>
          <w:rFonts w:asciiTheme="minorHAnsi" w:hAnsiTheme="minorHAnsi" w:cstheme="minorHAnsi"/>
          <w:b/>
          <w:sz w:val="22"/>
        </w:rPr>
      </w:pPr>
    </w:p>
    <w:p w14:paraId="7AFD189F" w14:textId="11DBCD29" w:rsidR="008858C9" w:rsidRPr="00F5297C" w:rsidRDefault="00F5297C" w:rsidP="00F5297C">
      <w:pPr>
        <w:spacing w:before="0" w:after="0"/>
        <w:jc w:val="both"/>
        <w:rPr>
          <w:rFonts w:asciiTheme="minorHAnsi" w:hAnsiTheme="minorHAnsi" w:cstheme="minorHAnsi"/>
          <w:b/>
          <w:sz w:val="22"/>
        </w:rPr>
      </w:pPr>
      <w:r>
        <w:rPr>
          <w:rFonts w:asciiTheme="minorHAnsi" w:hAnsiTheme="minorHAnsi" w:cstheme="minorHAnsi"/>
          <w:b/>
          <w:sz w:val="22"/>
        </w:rPr>
        <w:t xml:space="preserve">4.3.16 </w:t>
      </w:r>
      <w:r w:rsidR="008858C9" w:rsidRPr="00F5297C">
        <w:rPr>
          <w:rFonts w:asciiTheme="minorHAnsi" w:hAnsiTheme="minorHAnsi" w:cstheme="minorHAnsi"/>
          <w:b/>
          <w:sz w:val="22"/>
        </w:rPr>
        <w:t>TB in urban slums</w:t>
      </w:r>
    </w:p>
    <w:p w14:paraId="43DB42E4" w14:textId="1448AE2E" w:rsidR="008858C9"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4.3.16.1 </w:t>
      </w:r>
      <w:r w:rsidR="00B53728" w:rsidRPr="00F5297C">
        <w:rPr>
          <w:rFonts w:asciiTheme="minorHAnsi" w:hAnsiTheme="minorHAnsi" w:cstheme="minorHAnsi"/>
          <w:sz w:val="22"/>
        </w:rPr>
        <w:t xml:space="preserve">Constitute a committee under the chairmanship of City Commissioner with all the inter-sectoral department heads as members. It will design short term objectives and review on action taken once in </w:t>
      </w:r>
      <w:r w:rsidR="007F7384" w:rsidRPr="00F5297C">
        <w:rPr>
          <w:rFonts w:asciiTheme="minorHAnsi" w:hAnsiTheme="minorHAnsi" w:cstheme="minorHAnsi"/>
          <w:sz w:val="22"/>
        </w:rPr>
        <w:t>three</w:t>
      </w:r>
      <w:r w:rsidR="00B53728" w:rsidRPr="00F5297C">
        <w:rPr>
          <w:rFonts w:asciiTheme="minorHAnsi" w:hAnsiTheme="minorHAnsi" w:cstheme="minorHAnsi"/>
          <w:sz w:val="22"/>
        </w:rPr>
        <w:t xml:space="preserve"> months. It will also direct that TB agenda is included in all the ward corporators meetings to garner necessary support </w:t>
      </w:r>
    </w:p>
    <w:p w14:paraId="09D5887D" w14:textId="4041BA8F" w:rsidR="00B53728"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4.3.16.2 </w:t>
      </w:r>
      <w:r w:rsidR="0034400E" w:rsidRPr="00F5297C">
        <w:rPr>
          <w:rFonts w:asciiTheme="minorHAnsi" w:hAnsiTheme="minorHAnsi" w:cstheme="minorHAnsi"/>
          <w:sz w:val="22"/>
        </w:rPr>
        <w:t xml:space="preserve">Ensure that </w:t>
      </w:r>
      <w:r w:rsidR="009215C4" w:rsidRPr="00F5297C">
        <w:rPr>
          <w:rFonts w:asciiTheme="minorHAnsi" w:hAnsiTheme="minorHAnsi" w:cstheme="minorHAnsi"/>
          <w:sz w:val="22"/>
        </w:rPr>
        <w:t>coordinated</w:t>
      </w:r>
      <w:r w:rsidR="0034400E" w:rsidRPr="00F5297C">
        <w:rPr>
          <w:rFonts w:asciiTheme="minorHAnsi" w:hAnsiTheme="minorHAnsi" w:cstheme="minorHAnsi"/>
          <w:sz w:val="22"/>
        </w:rPr>
        <w:t xml:space="preserve"> action plans are prepared while making PIPs by NUHM and </w:t>
      </w:r>
      <w:r w:rsidR="0096187C" w:rsidRPr="00F5297C">
        <w:rPr>
          <w:rFonts w:asciiTheme="minorHAnsi" w:hAnsiTheme="minorHAnsi" w:cstheme="minorHAnsi"/>
          <w:sz w:val="22"/>
        </w:rPr>
        <w:t>NTEP</w:t>
      </w:r>
      <w:r w:rsidR="0034400E" w:rsidRPr="00F5297C">
        <w:rPr>
          <w:rFonts w:asciiTheme="minorHAnsi" w:hAnsiTheme="minorHAnsi" w:cstheme="minorHAnsi"/>
          <w:sz w:val="22"/>
        </w:rPr>
        <w:t xml:space="preserve"> to secure budgets in NUHM PIPS specifically for TB control activities under specific line items over and above </w:t>
      </w:r>
      <w:r w:rsidR="0096187C" w:rsidRPr="00F5297C">
        <w:rPr>
          <w:rFonts w:asciiTheme="minorHAnsi" w:hAnsiTheme="minorHAnsi" w:cstheme="minorHAnsi"/>
          <w:sz w:val="22"/>
        </w:rPr>
        <w:t>NTEP</w:t>
      </w:r>
      <w:r w:rsidR="0034400E" w:rsidRPr="00F5297C">
        <w:rPr>
          <w:rFonts w:asciiTheme="minorHAnsi" w:hAnsiTheme="minorHAnsi" w:cstheme="minorHAnsi"/>
          <w:sz w:val="22"/>
        </w:rPr>
        <w:t xml:space="preserve"> budget </w:t>
      </w:r>
    </w:p>
    <w:p w14:paraId="0CB0A177" w14:textId="1072A9DA" w:rsidR="0034400E"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4.3.16.3 </w:t>
      </w:r>
      <w:r w:rsidR="009215C4" w:rsidRPr="00F5297C">
        <w:rPr>
          <w:rFonts w:asciiTheme="minorHAnsi" w:hAnsiTheme="minorHAnsi" w:cstheme="minorHAnsi"/>
          <w:sz w:val="22"/>
        </w:rPr>
        <w:t>Promote Inter departmental coordination for a systematic approach to</w:t>
      </w:r>
      <w:r w:rsidR="0034400E" w:rsidRPr="00F5297C">
        <w:rPr>
          <w:rFonts w:asciiTheme="minorHAnsi" w:hAnsiTheme="minorHAnsi" w:cstheme="minorHAnsi"/>
          <w:sz w:val="22"/>
        </w:rPr>
        <w:t xml:space="preserve"> “Urban TB Campaign” in Urban Slums</w:t>
      </w:r>
      <w:r w:rsidR="009215C4" w:rsidRPr="00F5297C">
        <w:rPr>
          <w:rFonts w:asciiTheme="minorHAnsi" w:hAnsiTheme="minorHAnsi" w:cstheme="minorHAnsi"/>
          <w:sz w:val="22"/>
        </w:rPr>
        <w:t xml:space="preserve">. </w:t>
      </w:r>
      <w:r w:rsidR="0034400E" w:rsidRPr="00F5297C">
        <w:rPr>
          <w:rFonts w:asciiTheme="minorHAnsi" w:hAnsiTheme="minorHAnsi" w:cstheme="minorHAnsi"/>
          <w:sz w:val="22"/>
        </w:rPr>
        <w:t xml:space="preserve">Focus on greater coordination between the Department of Health </w:t>
      </w:r>
      <w:r w:rsidR="009215C4" w:rsidRPr="00F5297C">
        <w:rPr>
          <w:rFonts w:asciiTheme="minorHAnsi" w:hAnsiTheme="minorHAnsi" w:cstheme="minorHAnsi"/>
          <w:sz w:val="22"/>
        </w:rPr>
        <w:t>(</w:t>
      </w:r>
      <w:r w:rsidR="0034400E" w:rsidRPr="00F5297C">
        <w:rPr>
          <w:rFonts w:asciiTheme="minorHAnsi" w:hAnsiTheme="minorHAnsi" w:cstheme="minorHAnsi"/>
          <w:sz w:val="22"/>
        </w:rPr>
        <w:t>NUHM, NTEP and the Medical Colleges</w:t>
      </w:r>
      <w:r w:rsidR="009215C4" w:rsidRPr="00F5297C">
        <w:rPr>
          <w:rFonts w:asciiTheme="minorHAnsi" w:hAnsiTheme="minorHAnsi" w:cstheme="minorHAnsi"/>
          <w:sz w:val="22"/>
        </w:rPr>
        <w:t>) and the</w:t>
      </w:r>
      <w:r w:rsidR="0034400E" w:rsidRPr="00F5297C">
        <w:rPr>
          <w:rFonts w:asciiTheme="minorHAnsi" w:hAnsiTheme="minorHAnsi" w:cstheme="minorHAnsi"/>
          <w:sz w:val="22"/>
        </w:rPr>
        <w:t xml:space="preserve"> Department of Urban Development and Administration; for unorganized Sectors</w:t>
      </w:r>
      <w:r w:rsidR="009215C4" w:rsidRPr="00F5297C">
        <w:rPr>
          <w:rFonts w:asciiTheme="minorHAnsi" w:hAnsiTheme="minorHAnsi" w:cstheme="minorHAnsi"/>
          <w:sz w:val="22"/>
        </w:rPr>
        <w:t xml:space="preserve"> (</w:t>
      </w:r>
      <w:r w:rsidR="0034400E" w:rsidRPr="00F5297C">
        <w:rPr>
          <w:rFonts w:asciiTheme="minorHAnsi" w:hAnsiTheme="minorHAnsi" w:cstheme="minorHAnsi"/>
          <w:sz w:val="22"/>
        </w:rPr>
        <w:t>taxi association, construction Workers, workers in MSME; etc.</w:t>
      </w:r>
      <w:r w:rsidR="009215C4" w:rsidRPr="00F5297C">
        <w:rPr>
          <w:rFonts w:asciiTheme="minorHAnsi" w:hAnsiTheme="minorHAnsi" w:cstheme="minorHAnsi"/>
          <w:sz w:val="22"/>
        </w:rPr>
        <w:t>)</w:t>
      </w:r>
    </w:p>
    <w:p w14:paraId="402A8873" w14:textId="241CBEBF" w:rsidR="0034400E"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4.3.16.4 </w:t>
      </w:r>
      <w:r w:rsidR="0034400E" w:rsidRPr="00F5297C">
        <w:rPr>
          <w:rFonts w:asciiTheme="minorHAnsi" w:hAnsiTheme="minorHAnsi" w:cstheme="minorHAnsi"/>
          <w:sz w:val="22"/>
        </w:rPr>
        <w:t xml:space="preserve">Use IT tools for identification of hot spots </w:t>
      </w:r>
    </w:p>
    <w:p w14:paraId="087DA8E0" w14:textId="4F850697" w:rsidR="00777885" w:rsidRPr="00F5297C" w:rsidRDefault="00F5297C" w:rsidP="00F5297C">
      <w:pPr>
        <w:spacing w:before="0" w:after="0"/>
        <w:ind w:left="270"/>
        <w:jc w:val="both"/>
        <w:rPr>
          <w:rFonts w:asciiTheme="minorHAnsi" w:hAnsiTheme="minorHAnsi" w:cstheme="minorHAnsi"/>
          <w:sz w:val="22"/>
        </w:rPr>
      </w:pPr>
      <w:r w:rsidRPr="00F5297C">
        <w:rPr>
          <w:rFonts w:asciiTheme="minorHAnsi" w:hAnsiTheme="minorHAnsi" w:cstheme="minorHAnsi"/>
          <w:b/>
          <w:sz w:val="22"/>
        </w:rPr>
        <w:t xml:space="preserve">4.3.16.5 </w:t>
      </w:r>
      <w:r w:rsidR="00777885" w:rsidRPr="00F5297C">
        <w:rPr>
          <w:rFonts w:asciiTheme="minorHAnsi" w:hAnsiTheme="minorHAnsi" w:cstheme="minorHAnsi"/>
          <w:sz w:val="22"/>
        </w:rPr>
        <w:t>Advocate for ‘TB free slums’ initiative on the lines of TB free blocks and districts.</w:t>
      </w:r>
    </w:p>
    <w:p w14:paraId="68C7399C" w14:textId="77777777" w:rsidR="0034400E" w:rsidRPr="00B53728" w:rsidRDefault="0034400E" w:rsidP="00F5297C">
      <w:pPr>
        <w:tabs>
          <w:tab w:val="left" w:pos="900"/>
        </w:tabs>
        <w:spacing w:before="0" w:after="0"/>
        <w:ind w:left="792"/>
        <w:jc w:val="both"/>
        <w:rPr>
          <w:rFonts w:asciiTheme="minorHAnsi" w:hAnsiTheme="minorHAnsi" w:cstheme="minorHAnsi"/>
          <w:sz w:val="22"/>
        </w:rPr>
      </w:pPr>
    </w:p>
    <w:p w14:paraId="4DA1EDCF" w14:textId="08B8FBC1" w:rsidR="008858C9" w:rsidRPr="00F5297C" w:rsidRDefault="00F5297C" w:rsidP="00F5297C">
      <w:pPr>
        <w:spacing w:before="0" w:after="0"/>
        <w:jc w:val="both"/>
        <w:rPr>
          <w:rFonts w:asciiTheme="minorHAnsi" w:hAnsiTheme="minorHAnsi" w:cstheme="minorHAnsi"/>
          <w:b/>
          <w:sz w:val="22"/>
        </w:rPr>
      </w:pPr>
      <w:r>
        <w:rPr>
          <w:rFonts w:asciiTheme="minorHAnsi" w:hAnsiTheme="minorHAnsi" w:cstheme="minorHAnsi"/>
          <w:b/>
          <w:sz w:val="22"/>
        </w:rPr>
        <w:t xml:space="preserve">4.3.17 </w:t>
      </w:r>
      <w:r w:rsidR="008858C9" w:rsidRPr="00F5297C">
        <w:rPr>
          <w:rFonts w:asciiTheme="minorHAnsi" w:hAnsiTheme="minorHAnsi" w:cstheme="minorHAnsi"/>
          <w:b/>
          <w:sz w:val="22"/>
        </w:rPr>
        <w:t>TB among migrants</w:t>
      </w:r>
    </w:p>
    <w:p w14:paraId="5C4E7BC4" w14:textId="6D29EA76" w:rsidR="00CD3222"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4.3.17.1 </w:t>
      </w:r>
      <w:r w:rsidR="00CD3222" w:rsidRPr="00F5297C">
        <w:rPr>
          <w:rFonts w:asciiTheme="minorHAnsi" w:hAnsiTheme="minorHAnsi" w:cstheme="minorHAnsi"/>
          <w:sz w:val="22"/>
        </w:rPr>
        <w:t>Develop guidelines on Programmatic Management of TB among Mobile Populations</w:t>
      </w:r>
      <w:r w:rsidR="00FC16BF">
        <w:rPr>
          <w:rFonts w:asciiTheme="minorHAnsi" w:hAnsiTheme="minorHAnsi" w:cstheme="minorHAnsi"/>
          <w:sz w:val="22"/>
        </w:rPr>
        <w:t xml:space="preserve"> and define as well as implement essential TB service package for migrant population.</w:t>
      </w:r>
    </w:p>
    <w:p w14:paraId="3105F2A8" w14:textId="5DB03AA4" w:rsidR="0034400E"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lastRenderedPageBreak/>
        <w:t xml:space="preserve">4.3.17.2 </w:t>
      </w:r>
      <w:r w:rsidR="003B728D" w:rsidRPr="00F5297C">
        <w:rPr>
          <w:rFonts w:asciiTheme="minorHAnsi" w:hAnsiTheme="minorHAnsi" w:cstheme="minorHAnsi"/>
          <w:sz w:val="22"/>
        </w:rPr>
        <w:t>I</w:t>
      </w:r>
      <w:r w:rsidR="0034400E" w:rsidRPr="00F5297C">
        <w:rPr>
          <w:rFonts w:asciiTheme="minorHAnsi" w:hAnsiTheme="minorHAnsi" w:cstheme="minorHAnsi"/>
          <w:sz w:val="22"/>
        </w:rPr>
        <w:t>dentify and line list all the areas in Panchayats and wards where migratory labors come and work and do not stay back, for e.g. farm laborers, brick kilns etc.</w:t>
      </w:r>
    </w:p>
    <w:p w14:paraId="0D0C231E" w14:textId="5BD71858" w:rsidR="0034400E"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4.3.17.3 </w:t>
      </w:r>
      <w:r w:rsidR="0034400E" w:rsidRPr="00F5297C">
        <w:rPr>
          <w:rFonts w:asciiTheme="minorHAnsi" w:hAnsiTheme="minorHAnsi" w:cstheme="minorHAnsi"/>
          <w:sz w:val="22"/>
        </w:rPr>
        <w:t>Maintain surveillance data separately for migrant population for periodic review</w:t>
      </w:r>
      <w:r w:rsidR="003B728D" w:rsidRPr="00F5297C">
        <w:rPr>
          <w:rFonts w:asciiTheme="minorHAnsi" w:hAnsiTheme="minorHAnsi" w:cstheme="minorHAnsi"/>
          <w:sz w:val="22"/>
        </w:rPr>
        <w:t xml:space="preserve"> to create a </w:t>
      </w:r>
      <w:r w:rsidR="0034400E" w:rsidRPr="00F5297C">
        <w:rPr>
          <w:rFonts w:asciiTheme="minorHAnsi" w:hAnsiTheme="minorHAnsi" w:cstheme="minorHAnsi"/>
          <w:sz w:val="22"/>
        </w:rPr>
        <w:t>data base to work on improving service delivery especially outcome.</w:t>
      </w:r>
    </w:p>
    <w:p w14:paraId="25ABEAE0" w14:textId="5F9AD916" w:rsidR="0034400E"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4.3.17.4 </w:t>
      </w:r>
      <w:r w:rsidR="003B728D" w:rsidRPr="00F5297C">
        <w:rPr>
          <w:rFonts w:asciiTheme="minorHAnsi" w:hAnsiTheme="minorHAnsi" w:cstheme="minorHAnsi"/>
          <w:sz w:val="22"/>
        </w:rPr>
        <w:t xml:space="preserve">Institute </w:t>
      </w:r>
      <w:r w:rsidR="0034400E" w:rsidRPr="00F5297C">
        <w:rPr>
          <w:rFonts w:asciiTheme="minorHAnsi" w:hAnsiTheme="minorHAnsi" w:cstheme="minorHAnsi"/>
          <w:sz w:val="22"/>
        </w:rPr>
        <w:t xml:space="preserve">activities to detect and treat LTBI </w:t>
      </w:r>
      <w:r w:rsidR="003B728D" w:rsidRPr="00F5297C">
        <w:rPr>
          <w:rFonts w:asciiTheme="minorHAnsi" w:hAnsiTheme="minorHAnsi" w:cstheme="minorHAnsi"/>
          <w:sz w:val="22"/>
        </w:rPr>
        <w:t>at the beginning of a migration season</w:t>
      </w:r>
      <w:r w:rsidR="0034400E" w:rsidRPr="00F5297C">
        <w:rPr>
          <w:rFonts w:asciiTheme="minorHAnsi" w:hAnsiTheme="minorHAnsi" w:cstheme="minorHAnsi"/>
          <w:sz w:val="22"/>
        </w:rPr>
        <w:t xml:space="preserve"> for laborers who sta</w:t>
      </w:r>
      <w:r w:rsidR="003B728D" w:rsidRPr="00F5297C">
        <w:rPr>
          <w:rFonts w:asciiTheme="minorHAnsi" w:hAnsiTheme="minorHAnsi" w:cstheme="minorHAnsi"/>
          <w:sz w:val="22"/>
        </w:rPr>
        <w:t>y / work at the same place for six</w:t>
      </w:r>
      <w:r w:rsidR="0034400E" w:rsidRPr="00F5297C">
        <w:rPr>
          <w:rFonts w:asciiTheme="minorHAnsi" w:hAnsiTheme="minorHAnsi" w:cstheme="minorHAnsi"/>
          <w:sz w:val="22"/>
        </w:rPr>
        <w:t xml:space="preserve"> months. This will help in bringing down the infection pool.</w:t>
      </w:r>
    </w:p>
    <w:p w14:paraId="713AEF0F" w14:textId="297ECD80" w:rsidR="0034400E"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4.3.17.5 </w:t>
      </w:r>
      <w:r w:rsidR="003B728D" w:rsidRPr="00F5297C">
        <w:rPr>
          <w:rFonts w:asciiTheme="minorHAnsi" w:hAnsiTheme="minorHAnsi" w:cstheme="minorHAnsi"/>
          <w:sz w:val="22"/>
        </w:rPr>
        <w:t>Create, publish and provide c</w:t>
      </w:r>
      <w:r w:rsidR="0034400E" w:rsidRPr="00F5297C">
        <w:rPr>
          <w:rFonts w:asciiTheme="minorHAnsi" w:hAnsiTheme="minorHAnsi" w:cstheme="minorHAnsi"/>
          <w:sz w:val="22"/>
        </w:rPr>
        <w:t xml:space="preserve">ustomized IEC materials for advocacy and public education to inform about TB (transmission and care) </w:t>
      </w:r>
      <w:r w:rsidR="003B728D" w:rsidRPr="00F5297C">
        <w:rPr>
          <w:rFonts w:asciiTheme="minorHAnsi" w:hAnsiTheme="minorHAnsi" w:cstheme="minorHAnsi"/>
          <w:sz w:val="22"/>
        </w:rPr>
        <w:t>and</w:t>
      </w:r>
      <w:r w:rsidR="0034400E" w:rsidRPr="00F5297C">
        <w:rPr>
          <w:rFonts w:asciiTheme="minorHAnsi" w:hAnsiTheme="minorHAnsi" w:cstheme="minorHAnsi"/>
          <w:sz w:val="22"/>
        </w:rPr>
        <w:t xml:space="preserve"> also to raise health service providers’ and professionals’ cultural and gender sensitivity to migrants’ health issues. </w:t>
      </w:r>
      <w:r w:rsidR="003B728D" w:rsidRPr="00F5297C">
        <w:rPr>
          <w:rFonts w:asciiTheme="minorHAnsi" w:hAnsiTheme="minorHAnsi" w:cstheme="minorHAnsi"/>
          <w:sz w:val="22"/>
        </w:rPr>
        <w:t xml:space="preserve">Also </w:t>
      </w:r>
      <w:r w:rsidR="00876569" w:rsidRPr="00F5297C">
        <w:rPr>
          <w:rFonts w:asciiTheme="minorHAnsi" w:hAnsiTheme="minorHAnsi" w:cstheme="minorHAnsi"/>
          <w:sz w:val="22"/>
        </w:rPr>
        <w:t>conduct</w:t>
      </w:r>
      <w:r w:rsidR="003B728D" w:rsidRPr="00F5297C">
        <w:rPr>
          <w:rFonts w:asciiTheme="minorHAnsi" w:hAnsiTheme="minorHAnsi" w:cstheme="minorHAnsi"/>
          <w:sz w:val="22"/>
        </w:rPr>
        <w:t xml:space="preserve"> </w:t>
      </w:r>
      <w:r w:rsidR="0034400E" w:rsidRPr="00F5297C">
        <w:rPr>
          <w:rFonts w:asciiTheme="minorHAnsi" w:hAnsiTheme="minorHAnsi" w:cstheme="minorHAnsi"/>
          <w:sz w:val="22"/>
        </w:rPr>
        <w:t>IEC activities at places of stay and work for migrants.</w:t>
      </w:r>
    </w:p>
    <w:p w14:paraId="01765A52" w14:textId="237DFDFB" w:rsidR="00BD5D37" w:rsidRPr="00F5297C" w:rsidRDefault="00F5297C" w:rsidP="00F5297C">
      <w:pPr>
        <w:spacing w:before="0" w:after="0"/>
        <w:ind w:left="270"/>
        <w:jc w:val="both"/>
        <w:rPr>
          <w:rFonts w:asciiTheme="minorHAnsi" w:hAnsiTheme="minorHAnsi" w:cstheme="minorHAnsi"/>
          <w:sz w:val="22"/>
        </w:rPr>
      </w:pPr>
      <w:r>
        <w:rPr>
          <w:rFonts w:asciiTheme="minorHAnsi" w:hAnsiTheme="minorHAnsi" w:cstheme="minorHAnsi"/>
          <w:b/>
          <w:sz w:val="22"/>
        </w:rPr>
        <w:t xml:space="preserve">4.3.17.6 </w:t>
      </w:r>
      <w:r w:rsidR="009215C4" w:rsidRPr="00F5297C">
        <w:rPr>
          <w:rFonts w:asciiTheme="minorHAnsi" w:hAnsiTheme="minorHAnsi" w:cstheme="minorHAnsi"/>
          <w:sz w:val="22"/>
        </w:rPr>
        <w:t>Arrange for on-site</w:t>
      </w:r>
      <w:r w:rsidR="0034400E" w:rsidRPr="00F5297C">
        <w:rPr>
          <w:rFonts w:asciiTheme="minorHAnsi" w:hAnsiTheme="minorHAnsi" w:cstheme="minorHAnsi"/>
          <w:sz w:val="22"/>
        </w:rPr>
        <w:t xml:space="preserve"> sample collection and provision of treatment as far as practicable, keeping in mind that the migrants are usually daily laborers and cannot afford to lose daily wages.</w:t>
      </w:r>
    </w:p>
    <w:p w14:paraId="1B9164DB" w14:textId="77777777" w:rsidR="008858C9" w:rsidRPr="008858C9" w:rsidRDefault="008858C9" w:rsidP="00100F99">
      <w:pPr>
        <w:pStyle w:val="Heading1"/>
        <w:keepNext w:val="0"/>
        <w:keepLines w:val="0"/>
        <w:spacing w:after="0"/>
        <w:jc w:val="both"/>
        <w:rPr>
          <w:rFonts w:asciiTheme="minorHAnsi" w:hAnsiTheme="minorHAnsi" w:cstheme="minorHAnsi"/>
          <w:sz w:val="22"/>
          <w:szCs w:val="22"/>
        </w:rPr>
      </w:pPr>
      <w:bookmarkStart w:id="71" w:name="_ol503tj9s1ju" w:colFirst="0" w:colLast="0"/>
      <w:bookmarkEnd w:id="71"/>
    </w:p>
    <w:p w14:paraId="18D17877" w14:textId="77777777" w:rsidR="00C67B72" w:rsidRDefault="00C67B72" w:rsidP="00AE4638">
      <w:pPr>
        <w:spacing w:before="0" w:after="0"/>
        <w:jc w:val="both"/>
        <w:rPr>
          <w:rFonts w:asciiTheme="minorHAnsi" w:hAnsiTheme="minorHAnsi" w:cstheme="minorHAnsi"/>
          <w:sz w:val="22"/>
        </w:rPr>
      </w:pPr>
      <w:bookmarkStart w:id="72" w:name="_imq9zy53jlnl" w:colFirst="0" w:colLast="0"/>
      <w:bookmarkStart w:id="73" w:name="_jx3t08p7cfs1" w:colFirst="0" w:colLast="0"/>
      <w:bookmarkEnd w:id="72"/>
      <w:bookmarkEnd w:id="73"/>
    </w:p>
    <w:p w14:paraId="37073AB5" w14:textId="77777777" w:rsidR="00C67B72" w:rsidRDefault="00C67B72" w:rsidP="00AE4638">
      <w:pPr>
        <w:spacing w:before="0" w:after="0"/>
        <w:jc w:val="both"/>
        <w:rPr>
          <w:rFonts w:asciiTheme="minorHAnsi" w:hAnsiTheme="minorHAnsi" w:cstheme="minorHAnsi"/>
          <w:sz w:val="22"/>
        </w:rPr>
      </w:pPr>
    </w:p>
    <w:p w14:paraId="39EA38A6" w14:textId="77777777" w:rsidR="00A2044B" w:rsidRDefault="00A2044B">
      <w:pPr>
        <w:spacing w:before="0" w:after="0"/>
        <w:rPr>
          <w:rFonts w:asciiTheme="minorHAnsi" w:eastAsia="Times New Roman" w:hAnsiTheme="minorHAnsi" w:cstheme="minorHAnsi"/>
          <w:b/>
          <w:caps/>
          <w:snapToGrid w:val="0"/>
          <w:sz w:val="36"/>
          <w:szCs w:val="28"/>
        </w:rPr>
      </w:pPr>
      <w:r>
        <w:rPr>
          <w:rFonts w:asciiTheme="minorHAnsi" w:hAnsiTheme="minorHAnsi" w:cstheme="minorHAnsi"/>
          <w:b/>
          <w:snapToGrid w:val="0"/>
          <w:sz w:val="36"/>
        </w:rPr>
        <w:br w:type="page"/>
      </w:r>
    </w:p>
    <w:p w14:paraId="7C10BFF0" w14:textId="42906E74" w:rsidR="007B4AB3" w:rsidRDefault="00C67B72" w:rsidP="00C67B72">
      <w:pPr>
        <w:pStyle w:val="Heading1"/>
        <w:tabs>
          <w:tab w:val="num" w:pos="5670"/>
        </w:tabs>
        <w:spacing w:after="0"/>
        <w:rPr>
          <w:rFonts w:asciiTheme="minorHAnsi" w:hAnsiTheme="minorHAnsi" w:cstheme="minorHAnsi"/>
          <w:b/>
          <w:snapToGrid w:val="0"/>
          <w:color w:val="auto"/>
          <w:sz w:val="36"/>
        </w:rPr>
      </w:pPr>
      <w:r w:rsidRPr="00734B6A">
        <w:rPr>
          <w:rFonts w:asciiTheme="minorHAnsi" w:hAnsiTheme="minorHAnsi" w:cstheme="minorHAnsi"/>
          <w:b/>
          <w:snapToGrid w:val="0"/>
          <w:color w:val="auto"/>
          <w:sz w:val="36"/>
        </w:rPr>
        <w:lastRenderedPageBreak/>
        <w:t xml:space="preserve">Chapter </w:t>
      </w:r>
      <w:r w:rsidR="00D514CD">
        <w:rPr>
          <w:rFonts w:asciiTheme="minorHAnsi" w:hAnsiTheme="minorHAnsi" w:cstheme="minorHAnsi"/>
          <w:b/>
          <w:snapToGrid w:val="0"/>
          <w:color w:val="auto"/>
          <w:sz w:val="36"/>
        </w:rPr>
        <w:t>2</w:t>
      </w:r>
      <w:r w:rsidR="00E85991">
        <w:rPr>
          <w:rFonts w:asciiTheme="minorHAnsi" w:hAnsiTheme="minorHAnsi" w:cstheme="minorHAnsi"/>
          <w:b/>
          <w:snapToGrid w:val="0"/>
          <w:color w:val="auto"/>
          <w:sz w:val="36"/>
        </w:rPr>
        <w:t>9</w:t>
      </w:r>
    </w:p>
    <w:p w14:paraId="08614167" w14:textId="5907111E" w:rsidR="00C67B72" w:rsidRPr="007B4AB3" w:rsidRDefault="007B4AB3" w:rsidP="007B4AB3">
      <w:pPr>
        <w:shd w:val="clear" w:color="auto" w:fill="17365D" w:themeFill="text2" w:themeFillShade="BF"/>
        <w:spacing w:before="0" w:after="0"/>
        <w:jc w:val="right"/>
        <w:rPr>
          <w:b/>
          <w:sz w:val="28"/>
        </w:rPr>
      </w:pPr>
      <w:r>
        <w:rPr>
          <w:b/>
          <w:sz w:val="28"/>
        </w:rPr>
        <w:t xml:space="preserve">NSP </w:t>
      </w:r>
      <w:r w:rsidRPr="006B7923">
        <w:rPr>
          <w:b/>
          <w:sz w:val="28"/>
        </w:rPr>
        <w:t xml:space="preserve">STRATEGIC AREA </w:t>
      </w:r>
      <w:r>
        <w:rPr>
          <w:b/>
          <w:sz w:val="28"/>
        </w:rPr>
        <w:t>4.4</w:t>
      </w:r>
      <w:r w:rsidR="00C67B72" w:rsidRPr="00734B6A">
        <w:rPr>
          <w:rFonts w:asciiTheme="minorHAnsi" w:hAnsiTheme="minorHAnsi" w:cstheme="minorHAnsi"/>
          <w:b/>
          <w:snapToGrid w:val="0"/>
          <w:sz w:val="36"/>
        </w:rPr>
        <w:t xml:space="preserve"> </w:t>
      </w:r>
    </w:p>
    <w:p w14:paraId="1616B242" w14:textId="1807DE3F" w:rsidR="00C67B72" w:rsidRDefault="00C67B72" w:rsidP="00C67B72">
      <w:pPr>
        <w:pStyle w:val="Heading1"/>
        <w:tabs>
          <w:tab w:val="num" w:pos="5670"/>
        </w:tabs>
        <w:rPr>
          <w:rFonts w:asciiTheme="minorHAnsi" w:hAnsiTheme="minorHAnsi" w:cstheme="minorHAnsi"/>
          <w:b/>
          <w:snapToGrid w:val="0"/>
          <w:color w:val="auto"/>
        </w:rPr>
      </w:pPr>
      <w:r>
        <w:rPr>
          <w:rFonts w:asciiTheme="minorHAnsi" w:hAnsiTheme="minorHAnsi" w:cstheme="minorHAnsi"/>
          <w:b/>
          <w:snapToGrid w:val="0"/>
          <w:color w:val="auto"/>
        </w:rPr>
        <w:t>Patient support systems</w:t>
      </w:r>
    </w:p>
    <w:p w14:paraId="5072C282" w14:textId="77777777" w:rsidR="00C67B72" w:rsidRPr="006642CF" w:rsidRDefault="00C67B72" w:rsidP="00AB5192">
      <w:pPr>
        <w:spacing w:before="0" w:after="0"/>
        <w:jc w:val="both"/>
        <w:rPr>
          <w:rFonts w:asciiTheme="minorHAnsi" w:hAnsiTheme="minorHAnsi" w:cstheme="minorHAnsi"/>
          <w:sz w:val="22"/>
        </w:rPr>
      </w:pPr>
    </w:p>
    <w:p w14:paraId="7B8FD323" w14:textId="231B96D3" w:rsidR="00DD4576" w:rsidRPr="00C0403B" w:rsidRDefault="00D756D3" w:rsidP="00C0403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E85991">
        <w:rPr>
          <w:rFonts w:asciiTheme="minorHAnsi" w:hAnsiTheme="minorHAnsi" w:cstheme="minorHAnsi"/>
          <w:b/>
          <w:color w:val="C86A07" w:themeColor="accent2" w:themeShade="BF"/>
          <w:sz w:val="28"/>
          <w:lang w:val="en"/>
        </w:rPr>
        <w:t>9</w:t>
      </w:r>
      <w:r>
        <w:rPr>
          <w:rFonts w:asciiTheme="minorHAnsi" w:hAnsiTheme="minorHAnsi" w:cstheme="minorHAnsi"/>
          <w:b/>
          <w:color w:val="C86A07" w:themeColor="accent2" w:themeShade="BF"/>
          <w:sz w:val="28"/>
          <w:lang w:val="en"/>
        </w:rPr>
        <w:t xml:space="preserve">.1 </w:t>
      </w:r>
      <w:r w:rsidR="00DD4576" w:rsidRPr="00C0403B">
        <w:rPr>
          <w:rFonts w:asciiTheme="minorHAnsi" w:hAnsiTheme="minorHAnsi" w:cstheme="minorHAnsi"/>
          <w:b/>
          <w:color w:val="C86A07" w:themeColor="accent2" w:themeShade="BF"/>
          <w:sz w:val="28"/>
          <w:lang w:val="en"/>
        </w:rPr>
        <w:t>INTRODUCTION</w:t>
      </w:r>
    </w:p>
    <w:p w14:paraId="340659A6" w14:textId="32AE05E9" w:rsidR="0037236C" w:rsidRDefault="00426B13" w:rsidP="00AB5192">
      <w:pPr>
        <w:spacing w:before="0" w:after="0"/>
        <w:jc w:val="both"/>
        <w:rPr>
          <w:rFonts w:asciiTheme="minorHAnsi" w:hAnsiTheme="minorHAnsi" w:cstheme="minorHAnsi"/>
          <w:sz w:val="22"/>
        </w:rPr>
      </w:pPr>
      <w:r w:rsidRPr="00426B13">
        <w:rPr>
          <w:rFonts w:asciiTheme="minorHAnsi" w:hAnsiTheme="minorHAnsi" w:cstheme="minorHAnsi"/>
          <w:sz w:val="22"/>
        </w:rPr>
        <w:t>Enabling patient/people-</w:t>
      </w:r>
      <w:r w:rsidR="00F51523" w:rsidRPr="00426B13">
        <w:rPr>
          <w:rFonts w:asciiTheme="minorHAnsi" w:hAnsiTheme="minorHAnsi" w:cstheme="minorHAnsi"/>
          <w:sz w:val="22"/>
        </w:rPr>
        <w:t>centered</w:t>
      </w:r>
      <w:r w:rsidRPr="00426B13">
        <w:rPr>
          <w:rFonts w:asciiTheme="minorHAnsi" w:hAnsiTheme="minorHAnsi" w:cstheme="minorHAnsi"/>
          <w:sz w:val="22"/>
        </w:rPr>
        <w:t xml:space="preserve"> care and prevention is an enormous challenge as India seeks to eliminate TB by 2025 but also offers tremendous opportunities to improve outcomes for patients, their families and communities. Patient support systems are fundamental to integrated patient-centered care.</w:t>
      </w:r>
      <w:r w:rsidR="00460DCE">
        <w:rPr>
          <w:rFonts w:asciiTheme="minorHAnsi" w:hAnsiTheme="minorHAnsi" w:cstheme="minorHAnsi"/>
          <w:sz w:val="22"/>
        </w:rPr>
        <w:t xml:space="preserve"> </w:t>
      </w:r>
      <w:r w:rsidR="00460DCE" w:rsidRPr="00460DCE">
        <w:rPr>
          <w:rFonts w:asciiTheme="minorHAnsi" w:hAnsiTheme="minorHAnsi" w:cstheme="minorHAnsi"/>
          <w:sz w:val="22"/>
        </w:rPr>
        <w:t>A disproportionate burden of the disease incidence, mortality and the costs of care are borne by the poor in India. Among the poor, those from marginalized communities like tribals who often live in remote and inaccessible locations, and migrant workers who often develop the disease working in locations distant from home require special attention.</w:t>
      </w:r>
      <w:r w:rsidR="0037236C">
        <w:rPr>
          <w:rFonts w:asciiTheme="minorHAnsi" w:hAnsiTheme="minorHAnsi" w:cstheme="minorHAnsi"/>
          <w:sz w:val="22"/>
        </w:rPr>
        <w:t xml:space="preserve"> </w:t>
      </w:r>
    </w:p>
    <w:p w14:paraId="2A37D16E" w14:textId="6AA3C6C8" w:rsidR="007137CC" w:rsidRPr="00C0403B" w:rsidRDefault="00D756D3" w:rsidP="00C0403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E85991">
        <w:rPr>
          <w:rFonts w:asciiTheme="minorHAnsi" w:hAnsiTheme="minorHAnsi" w:cstheme="minorHAnsi"/>
          <w:b/>
          <w:color w:val="C86A07" w:themeColor="accent2" w:themeShade="BF"/>
          <w:sz w:val="28"/>
          <w:lang w:val="en"/>
        </w:rPr>
        <w:t>9</w:t>
      </w:r>
      <w:r>
        <w:rPr>
          <w:rFonts w:asciiTheme="minorHAnsi" w:hAnsiTheme="minorHAnsi" w:cstheme="minorHAnsi"/>
          <w:b/>
          <w:color w:val="C86A07" w:themeColor="accent2" w:themeShade="BF"/>
          <w:sz w:val="28"/>
          <w:lang w:val="en"/>
        </w:rPr>
        <w:t xml:space="preserve">.2 </w:t>
      </w:r>
      <w:r w:rsidR="007137CC" w:rsidRPr="00C0403B">
        <w:rPr>
          <w:rFonts w:asciiTheme="minorHAnsi" w:hAnsiTheme="minorHAnsi" w:cstheme="minorHAnsi"/>
          <w:b/>
          <w:color w:val="C86A07" w:themeColor="accent2" w:themeShade="BF"/>
          <w:sz w:val="28"/>
          <w:lang w:val="en"/>
        </w:rPr>
        <w:t>THE PROGRESS SO FAR:</w:t>
      </w:r>
    </w:p>
    <w:p w14:paraId="18BA1101" w14:textId="64E4AE0B" w:rsidR="0037236C" w:rsidRPr="0037236C" w:rsidRDefault="0037236C" w:rsidP="009136E5">
      <w:pPr>
        <w:pStyle w:val="ListParagraph"/>
        <w:numPr>
          <w:ilvl w:val="0"/>
          <w:numId w:val="71"/>
        </w:numPr>
        <w:spacing w:before="0" w:after="0"/>
        <w:jc w:val="both"/>
        <w:rPr>
          <w:rFonts w:asciiTheme="minorHAnsi" w:hAnsiTheme="minorHAnsi" w:cstheme="minorHAnsi"/>
          <w:sz w:val="22"/>
        </w:rPr>
      </w:pPr>
      <w:r w:rsidRPr="0037236C">
        <w:rPr>
          <w:rFonts w:asciiTheme="minorHAnsi" w:hAnsiTheme="minorHAnsi" w:cstheme="minorHAnsi"/>
          <w:sz w:val="22"/>
        </w:rPr>
        <w:t>The progress in the last three years underscores the importance of social protection interventions in ending tuberculosis. The interventions represent a critical investment</w:t>
      </w:r>
      <w:r>
        <w:rPr>
          <w:rFonts w:asciiTheme="minorHAnsi" w:hAnsiTheme="minorHAnsi" w:cstheme="minorHAnsi"/>
          <w:sz w:val="22"/>
        </w:rPr>
        <w:t xml:space="preserve"> in the pathway to elimination of TB.</w:t>
      </w:r>
      <w:r w:rsidRPr="0037236C">
        <w:rPr>
          <w:rFonts w:asciiTheme="minorHAnsi" w:hAnsiTheme="minorHAnsi" w:cstheme="minorHAnsi"/>
          <w:sz w:val="22"/>
        </w:rPr>
        <w:t xml:space="preserve"> </w:t>
      </w:r>
    </w:p>
    <w:p w14:paraId="3AAF0CF3" w14:textId="25B759C5" w:rsidR="00460DCE" w:rsidRDefault="00460DCE" w:rsidP="009136E5">
      <w:pPr>
        <w:pStyle w:val="ListParagraph"/>
        <w:numPr>
          <w:ilvl w:val="0"/>
          <w:numId w:val="71"/>
        </w:numPr>
        <w:spacing w:before="0" w:after="0"/>
        <w:jc w:val="both"/>
        <w:rPr>
          <w:rFonts w:asciiTheme="minorHAnsi" w:eastAsia="Times New Roman" w:hAnsiTheme="minorHAnsi" w:cstheme="minorHAnsi"/>
          <w:sz w:val="22"/>
        </w:rPr>
      </w:pPr>
      <w:r w:rsidRPr="00460DCE">
        <w:rPr>
          <w:rFonts w:asciiTheme="minorHAnsi" w:eastAsia="Times New Roman" w:hAnsiTheme="minorHAnsi" w:cstheme="minorHAnsi"/>
          <w:sz w:val="22"/>
        </w:rPr>
        <w:t xml:space="preserve">In 2017, the </w:t>
      </w:r>
      <w:r w:rsidR="00FC16BF">
        <w:rPr>
          <w:rFonts w:asciiTheme="minorHAnsi" w:eastAsia="Times New Roman" w:hAnsiTheme="minorHAnsi" w:cstheme="minorHAnsi"/>
          <w:sz w:val="22"/>
        </w:rPr>
        <w:t>NTEP</w:t>
      </w:r>
      <w:r w:rsidRPr="00460DCE">
        <w:rPr>
          <w:rFonts w:asciiTheme="minorHAnsi" w:eastAsia="Times New Roman" w:hAnsiTheme="minorHAnsi" w:cstheme="minorHAnsi"/>
          <w:sz w:val="22"/>
        </w:rPr>
        <w:t xml:space="preserve"> released a Guidance Document for Nutritional Care and Support for patients with active tuberculosis in India, which recommended that a nutritious diet adequate in calories and proteins is required as an adjunct to the therapy of TB patients in India. </w:t>
      </w:r>
    </w:p>
    <w:p w14:paraId="75830BF9" w14:textId="77777777" w:rsidR="0087106D" w:rsidRDefault="00460DCE" w:rsidP="009136E5">
      <w:pPr>
        <w:pStyle w:val="ListParagraph"/>
        <w:numPr>
          <w:ilvl w:val="0"/>
          <w:numId w:val="71"/>
        </w:numPr>
        <w:spacing w:before="0" w:after="0"/>
        <w:jc w:val="both"/>
        <w:rPr>
          <w:rFonts w:asciiTheme="minorHAnsi" w:eastAsia="Times New Roman" w:hAnsiTheme="minorHAnsi" w:cstheme="minorHAnsi"/>
          <w:sz w:val="22"/>
        </w:rPr>
      </w:pPr>
      <w:r w:rsidRPr="00460DCE">
        <w:rPr>
          <w:rFonts w:asciiTheme="minorHAnsi" w:eastAsia="Times New Roman" w:hAnsiTheme="minorHAnsi" w:cstheme="minorHAnsi"/>
          <w:sz w:val="22"/>
        </w:rPr>
        <w:t>In 2018, the Government of India launched a direct benefit transfer scheme – the Nikshay Poshan Yojana, and provided a monthly benefit of Rs. 500 to enable a nutritious diet for TB patients for both patients in the public and private sector.</w:t>
      </w:r>
      <w:r w:rsidR="00DC7297">
        <w:rPr>
          <w:rFonts w:asciiTheme="minorHAnsi" w:eastAsia="Times New Roman" w:hAnsiTheme="minorHAnsi" w:cstheme="minorHAnsi"/>
          <w:sz w:val="22"/>
        </w:rPr>
        <w:t xml:space="preserve"> </w:t>
      </w:r>
      <w:r w:rsidR="00DC7297" w:rsidRPr="00DC7297">
        <w:rPr>
          <w:rFonts w:asciiTheme="minorHAnsi" w:eastAsia="Times New Roman" w:hAnsiTheme="minorHAnsi" w:cstheme="minorHAnsi"/>
          <w:sz w:val="22"/>
        </w:rPr>
        <w:t xml:space="preserve">In the first year, more than 2 million patients received at least one instalment of incentives worth US$ 55 million. </w:t>
      </w:r>
    </w:p>
    <w:p w14:paraId="2A1FD7EB" w14:textId="5E229192" w:rsidR="00DC7297" w:rsidRPr="0087106D" w:rsidRDefault="00DC7297" w:rsidP="009136E5">
      <w:pPr>
        <w:pStyle w:val="ListParagraph"/>
        <w:numPr>
          <w:ilvl w:val="0"/>
          <w:numId w:val="71"/>
        </w:numPr>
        <w:spacing w:before="0" w:after="0"/>
        <w:jc w:val="both"/>
        <w:rPr>
          <w:rFonts w:asciiTheme="minorHAnsi" w:eastAsia="Times New Roman" w:hAnsiTheme="minorHAnsi" w:cstheme="minorHAnsi"/>
          <w:sz w:val="22"/>
        </w:rPr>
      </w:pPr>
      <w:r w:rsidRPr="0087106D">
        <w:rPr>
          <w:rFonts w:asciiTheme="minorHAnsi" w:eastAsia="Times New Roman" w:hAnsiTheme="minorHAnsi" w:cstheme="minorHAnsi"/>
          <w:sz w:val="22"/>
        </w:rPr>
        <w:t>A basic</w:t>
      </w:r>
      <w:r w:rsidR="00FC16BF">
        <w:rPr>
          <w:rFonts w:asciiTheme="minorHAnsi" w:eastAsia="Times New Roman" w:hAnsiTheme="minorHAnsi" w:cstheme="minorHAnsi"/>
          <w:sz w:val="22"/>
        </w:rPr>
        <w:t xml:space="preserve"> deduplication module, and all four</w:t>
      </w:r>
      <w:r w:rsidRPr="0087106D">
        <w:rPr>
          <w:rFonts w:asciiTheme="minorHAnsi" w:eastAsia="Times New Roman" w:hAnsiTheme="minorHAnsi" w:cstheme="minorHAnsi"/>
          <w:sz w:val="22"/>
        </w:rPr>
        <w:t xml:space="preserve"> payment modules for Nikshay Poshan Yojana (NPY), Tribal Scheme, Treatment supporter, and payment to private providers were developed and deployed in Nikshay. These have been since verified by the Independent Verification Agency (IVA) as a part of the Bank credit to the TB program. </w:t>
      </w:r>
    </w:p>
    <w:p w14:paraId="096A007D" w14:textId="5C0265FA" w:rsidR="00460DCE" w:rsidRDefault="00460DCE" w:rsidP="009136E5">
      <w:pPr>
        <w:pStyle w:val="ListParagraph"/>
        <w:numPr>
          <w:ilvl w:val="0"/>
          <w:numId w:val="71"/>
        </w:numPr>
        <w:spacing w:before="0" w:after="0"/>
        <w:jc w:val="both"/>
        <w:rPr>
          <w:rFonts w:asciiTheme="minorHAnsi" w:eastAsia="Times New Roman" w:hAnsiTheme="minorHAnsi" w:cstheme="minorHAnsi"/>
          <w:sz w:val="22"/>
        </w:rPr>
      </w:pPr>
      <w:r w:rsidRPr="00460DCE">
        <w:rPr>
          <w:rFonts w:asciiTheme="minorHAnsi" w:eastAsia="Times New Roman" w:hAnsiTheme="minorHAnsi" w:cstheme="minorHAnsi"/>
          <w:sz w:val="22"/>
        </w:rPr>
        <w:t xml:space="preserve">In 2018, the </w:t>
      </w:r>
      <w:r w:rsidR="00FC16BF">
        <w:rPr>
          <w:rFonts w:asciiTheme="minorHAnsi" w:eastAsia="Times New Roman" w:hAnsiTheme="minorHAnsi" w:cstheme="minorHAnsi"/>
          <w:sz w:val="22"/>
        </w:rPr>
        <w:t>NTEP</w:t>
      </w:r>
      <w:r w:rsidRPr="00460DCE">
        <w:rPr>
          <w:rFonts w:asciiTheme="minorHAnsi" w:eastAsia="Times New Roman" w:hAnsiTheme="minorHAnsi" w:cstheme="minorHAnsi"/>
          <w:sz w:val="22"/>
        </w:rPr>
        <w:t xml:space="preserve"> also released the results of a study on “ State Initiatives on Patient Support Systems for TB elimination in India, “which documented the various initiatives of cash assistance, nutritional support, livelihood assistance being implemented in different states</w:t>
      </w:r>
      <w:r w:rsidR="00AB5192">
        <w:rPr>
          <w:rFonts w:asciiTheme="minorHAnsi" w:eastAsia="Times New Roman" w:hAnsiTheme="minorHAnsi" w:cstheme="minorHAnsi"/>
          <w:sz w:val="22"/>
        </w:rPr>
        <w:t>.</w:t>
      </w:r>
      <w:r w:rsidRPr="00460DCE">
        <w:rPr>
          <w:rFonts w:asciiTheme="minorHAnsi" w:eastAsia="Times New Roman" w:hAnsiTheme="minorHAnsi" w:cstheme="minorHAnsi"/>
          <w:sz w:val="22"/>
        </w:rPr>
        <w:t xml:space="preserve">  </w:t>
      </w:r>
    </w:p>
    <w:p w14:paraId="425A64D4" w14:textId="36BAAA7A" w:rsidR="00DC7297" w:rsidRPr="00C0403B" w:rsidRDefault="00D756D3" w:rsidP="00C0403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E85991">
        <w:rPr>
          <w:rFonts w:asciiTheme="minorHAnsi" w:hAnsiTheme="minorHAnsi" w:cstheme="minorHAnsi"/>
          <w:b/>
          <w:color w:val="C86A07" w:themeColor="accent2" w:themeShade="BF"/>
          <w:sz w:val="28"/>
          <w:lang w:val="en"/>
        </w:rPr>
        <w:t>9</w:t>
      </w:r>
      <w:r>
        <w:rPr>
          <w:rFonts w:asciiTheme="minorHAnsi" w:hAnsiTheme="minorHAnsi" w:cstheme="minorHAnsi"/>
          <w:b/>
          <w:color w:val="C86A07" w:themeColor="accent2" w:themeShade="BF"/>
          <w:sz w:val="28"/>
          <w:lang w:val="en"/>
        </w:rPr>
        <w:t xml:space="preserve">.3 </w:t>
      </w:r>
      <w:r w:rsidR="00DC7297" w:rsidRPr="00C0403B">
        <w:rPr>
          <w:rFonts w:asciiTheme="minorHAnsi" w:hAnsiTheme="minorHAnsi" w:cstheme="minorHAnsi"/>
          <w:b/>
          <w:color w:val="C86A07" w:themeColor="accent2" w:themeShade="BF"/>
          <w:sz w:val="28"/>
          <w:lang w:val="en"/>
        </w:rPr>
        <w:t>CHALLENGES</w:t>
      </w:r>
    </w:p>
    <w:p w14:paraId="0887C1BA" w14:textId="0803C3AD" w:rsidR="0091281F" w:rsidRPr="0091281F" w:rsidRDefault="0091281F" w:rsidP="009136E5">
      <w:pPr>
        <w:numPr>
          <w:ilvl w:val="0"/>
          <w:numId w:val="72"/>
        </w:numPr>
        <w:spacing w:before="0" w:after="0"/>
        <w:jc w:val="both"/>
        <w:rPr>
          <w:rFonts w:asciiTheme="minorHAnsi" w:hAnsiTheme="minorHAnsi" w:cstheme="minorHAnsi"/>
          <w:bCs/>
          <w:sz w:val="22"/>
        </w:rPr>
      </w:pPr>
      <w:r w:rsidRPr="0091281F">
        <w:rPr>
          <w:rFonts w:asciiTheme="minorHAnsi" w:hAnsiTheme="minorHAnsi" w:cstheme="minorHAnsi"/>
          <w:bCs/>
          <w:sz w:val="22"/>
        </w:rPr>
        <w:t>Patients with drug-susceptible tuberculosis, who comprise the vast majority of patients in India do not have an assured system of patient education supplemented by patient information material which addresses the varying information needs related to the disease, treatment and prevention during the course of treatment</w:t>
      </w:r>
    </w:p>
    <w:p w14:paraId="5C190335" w14:textId="77777777" w:rsidR="0087106D" w:rsidRPr="00D6221A" w:rsidRDefault="0087106D" w:rsidP="009136E5">
      <w:pPr>
        <w:pStyle w:val="ListParagraph"/>
        <w:numPr>
          <w:ilvl w:val="0"/>
          <w:numId w:val="72"/>
        </w:numPr>
        <w:spacing w:after="0"/>
        <w:jc w:val="both"/>
        <w:rPr>
          <w:rFonts w:asciiTheme="minorHAnsi" w:hAnsiTheme="minorHAnsi" w:cstheme="minorHAnsi"/>
          <w:bCs/>
          <w:sz w:val="22"/>
        </w:rPr>
      </w:pPr>
      <w:r w:rsidRPr="00D6221A">
        <w:rPr>
          <w:rFonts w:asciiTheme="minorHAnsi" w:hAnsiTheme="minorHAnsi" w:cstheme="minorHAnsi"/>
          <w:bCs/>
          <w:sz w:val="22"/>
        </w:rPr>
        <w:t xml:space="preserve">Patient support by DBT via NPY </w:t>
      </w:r>
    </w:p>
    <w:p w14:paraId="53545680" w14:textId="40823E9C" w:rsidR="0087106D" w:rsidRPr="0087106D" w:rsidRDefault="0087106D" w:rsidP="009136E5">
      <w:pPr>
        <w:pStyle w:val="ListParagraph"/>
        <w:numPr>
          <w:ilvl w:val="0"/>
          <w:numId w:val="94"/>
        </w:numPr>
        <w:spacing w:before="0" w:after="0"/>
        <w:jc w:val="both"/>
        <w:rPr>
          <w:rFonts w:asciiTheme="minorHAnsi" w:hAnsiTheme="minorHAnsi" w:cstheme="minorHAnsi"/>
          <w:sz w:val="22"/>
        </w:rPr>
      </w:pPr>
      <w:r w:rsidRPr="0087106D">
        <w:rPr>
          <w:rFonts w:asciiTheme="minorHAnsi" w:hAnsiTheme="minorHAnsi" w:cstheme="minorHAnsi"/>
          <w:b/>
          <w:bCs/>
          <w:sz w:val="22"/>
        </w:rPr>
        <w:t xml:space="preserve">Timeliness and coverage: </w:t>
      </w:r>
      <w:r w:rsidRPr="0087106D">
        <w:rPr>
          <w:rFonts w:asciiTheme="minorHAnsi" w:hAnsiTheme="minorHAnsi" w:cstheme="minorHAnsi"/>
          <w:bCs/>
          <w:sz w:val="22"/>
        </w:rPr>
        <w:t xml:space="preserve">There are differences in initial and subsequent payments </w:t>
      </w:r>
      <w:r w:rsidRPr="0087106D">
        <w:rPr>
          <w:rFonts w:asciiTheme="minorHAnsi" w:hAnsiTheme="minorHAnsi" w:cstheme="minorHAnsi"/>
          <w:sz w:val="22"/>
        </w:rPr>
        <w:t xml:space="preserve">across public and private sector. </w:t>
      </w:r>
      <w:r>
        <w:rPr>
          <w:rFonts w:asciiTheme="minorHAnsi" w:hAnsiTheme="minorHAnsi" w:cstheme="minorHAnsi"/>
          <w:sz w:val="22"/>
        </w:rPr>
        <w:t>Timeliness needs to be improved too.</w:t>
      </w:r>
    </w:p>
    <w:p w14:paraId="65875DDD" w14:textId="77777777" w:rsidR="0087106D" w:rsidRPr="0087106D" w:rsidRDefault="0087106D" w:rsidP="009136E5">
      <w:pPr>
        <w:pStyle w:val="ListParagraph"/>
        <w:numPr>
          <w:ilvl w:val="0"/>
          <w:numId w:val="94"/>
        </w:numPr>
        <w:spacing w:before="0" w:after="0"/>
        <w:jc w:val="both"/>
        <w:rPr>
          <w:rFonts w:asciiTheme="minorHAnsi" w:hAnsiTheme="minorHAnsi" w:cstheme="minorHAnsi"/>
          <w:sz w:val="22"/>
        </w:rPr>
      </w:pPr>
      <w:r w:rsidRPr="0087106D">
        <w:rPr>
          <w:rFonts w:asciiTheme="minorHAnsi" w:hAnsiTheme="minorHAnsi" w:cstheme="minorHAnsi"/>
          <w:b/>
          <w:bCs/>
          <w:sz w:val="22"/>
        </w:rPr>
        <w:t>Equity:</w:t>
      </w:r>
      <w:r w:rsidRPr="0087106D">
        <w:rPr>
          <w:rFonts w:asciiTheme="minorHAnsi" w:hAnsiTheme="minorHAnsi" w:cstheme="minorHAnsi"/>
          <w:sz w:val="22"/>
        </w:rPr>
        <w:t xml:space="preserve"> Access to benefits in remote/ tribal areas is a challenge (no bank accounts, cooperative banks etc.)</w:t>
      </w:r>
    </w:p>
    <w:p w14:paraId="5C3FE3D9" w14:textId="289CD0A9" w:rsidR="0087106D" w:rsidRPr="0087106D" w:rsidRDefault="0087106D" w:rsidP="009136E5">
      <w:pPr>
        <w:pStyle w:val="ListParagraph"/>
        <w:numPr>
          <w:ilvl w:val="0"/>
          <w:numId w:val="94"/>
        </w:numPr>
        <w:spacing w:before="0" w:after="0"/>
        <w:jc w:val="both"/>
        <w:rPr>
          <w:rFonts w:asciiTheme="minorHAnsi" w:hAnsiTheme="minorHAnsi" w:cstheme="minorHAnsi"/>
          <w:sz w:val="22"/>
        </w:rPr>
      </w:pPr>
      <w:r w:rsidRPr="0087106D">
        <w:rPr>
          <w:rFonts w:asciiTheme="minorHAnsi" w:hAnsiTheme="minorHAnsi" w:cstheme="minorHAnsi"/>
          <w:b/>
          <w:bCs/>
          <w:sz w:val="22"/>
        </w:rPr>
        <w:lastRenderedPageBreak/>
        <w:t xml:space="preserve">Impact on core function of patient supervision in </w:t>
      </w:r>
      <w:r w:rsidR="0096187C">
        <w:rPr>
          <w:rFonts w:asciiTheme="minorHAnsi" w:hAnsiTheme="minorHAnsi" w:cstheme="minorHAnsi"/>
          <w:b/>
          <w:bCs/>
          <w:sz w:val="22"/>
        </w:rPr>
        <w:t>NTEP</w:t>
      </w:r>
      <w:r w:rsidRPr="0087106D">
        <w:rPr>
          <w:rFonts w:asciiTheme="minorHAnsi" w:hAnsiTheme="minorHAnsi" w:cstheme="minorHAnsi"/>
          <w:b/>
          <w:bCs/>
          <w:sz w:val="22"/>
        </w:rPr>
        <w:t xml:space="preserve">:  </w:t>
      </w:r>
      <w:r w:rsidRPr="0087106D">
        <w:rPr>
          <w:rFonts w:asciiTheme="minorHAnsi" w:hAnsiTheme="minorHAnsi" w:cstheme="minorHAnsi"/>
          <w:bCs/>
          <w:sz w:val="22"/>
        </w:rPr>
        <w:t>The STS is unable to spend adequate time to focus on core patient supervision functions due to responsibilities on supporting enrolment for DBT.</w:t>
      </w:r>
    </w:p>
    <w:p w14:paraId="383E8581" w14:textId="309CE04B" w:rsidR="00B20F2F" w:rsidRPr="00C0403B" w:rsidRDefault="00D756D3" w:rsidP="00C0403B">
      <w:pPr>
        <w:jc w:val="both"/>
        <w:rPr>
          <w:rFonts w:asciiTheme="minorHAnsi" w:hAnsiTheme="minorHAnsi" w:cstheme="minorHAnsi"/>
          <w:b/>
          <w:color w:val="C86A07" w:themeColor="accent2" w:themeShade="BF"/>
          <w:sz w:val="28"/>
          <w:lang w:val="en"/>
        </w:rPr>
      </w:pPr>
      <w:r>
        <w:rPr>
          <w:rFonts w:asciiTheme="minorHAnsi" w:hAnsiTheme="minorHAnsi" w:cstheme="minorHAnsi"/>
          <w:b/>
          <w:color w:val="C86A07" w:themeColor="accent2" w:themeShade="BF"/>
          <w:sz w:val="28"/>
          <w:lang w:val="en"/>
        </w:rPr>
        <w:t>2</w:t>
      </w:r>
      <w:r w:rsidR="00E85991">
        <w:rPr>
          <w:rFonts w:asciiTheme="minorHAnsi" w:hAnsiTheme="minorHAnsi" w:cstheme="minorHAnsi"/>
          <w:b/>
          <w:color w:val="C86A07" w:themeColor="accent2" w:themeShade="BF"/>
          <w:sz w:val="28"/>
          <w:lang w:val="en"/>
        </w:rPr>
        <w:t>9</w:t>
      </w:r>
      <w:r>
        <w:rPr>
          <w:rFonts w:asciiTheme="minorHAnsi" w:hAnsiTheme="minorHAnsi" w:cstheme="minorHAnsi"/>
          <w:b/>
          <w:color w:val="C86A07" w:themeColor="accent2" w:themeShade="BF"/>
          <w:sz w:val="28"/>
          <w:lang w:val="en"/>
        </w:rPr>
        <w:t xml:space="preserve">.4 </w:t>
      </w:r>
      <w:r w:rsidR="00B20F2F" w:rsidRPr="00C0403B">
        <w:rPr>
          <w:rFonts w:asciiTheme="minorHAnsi" w:hAnsiTheme="minorHAnsi" w:cstheme="minorHAnsi"/>
          <w:b/>
          <w:color w:val="C86A07" w:themeColor="accent2" w:themeShade="BF"/>
          <w:sz w:val="28"/>
          <w:lang w:val="en"/>
        </w:rPr>
        <w:t xml:space="preserve">THE WAY FORWARD </w:t>
      </w:r>
    </w:p>
    <w:p w14:paraId="3F4AB9ED" w14:textId="380EAAC2" w:rsidR="0091281F" w:rsidRPr="0091281F" w:rsidRDefault="007C30D9" w:rsidP="00E06664">
      <w:pPr>
        <w:pStyle w:val="ListParagraph"/>
        <w:numPr>
          <w:ilvl w:val="2"/>
          <w:numId w:val="75"/>
        </w:numPr>
        <w:spacing w:before="0" w:after="0"/>
        <w:jc w:val="both"/>
        <w:rPr>
          <w:rFonts w:asciiTheme="minorHAnsi" w:hAnsiTheme="minorHAnsi" w:cstheme="minorHAnsi"/>
          <w:sz w:val="22"/>
        </w:rPr>
      </w:pPr>
      <w:r>
        <w:rPr>
          <w:rFonts w:asciiTheme="minorHAnsi" w:hAnsiTheme="minorHAnsi" w:cstheme="minorHAnsi"/>
          <w:b/>
          <w:bCs/>
          <w:sz w:val="22"/>
        </w:rPr>
        <w:t xml:space="preserve">Expand the coverage of </w:t>
      </w:r>
      <w:r w:rsidR="0091281F" w:rsidRPr="0091281F">
        <w:rPr>
          <w:rFonts w:asciiTheme="minorHAnsi" w:hAnsiTheme="minorHAnsi" w:cstheme="minorHAnsi"/>
          <w:b/>
          <w:bCs/>
          <w:sz w:val="22"/>
        </w:rPr>
        <w:t>treatment adherence</w:t>
      </w:r>
      <w:r w:rsidR="004A791E">
        <w:rPr>
          <w:rFonts w:asciiTheme="minorHAnsi" w:hAnsiTheme="minorHAnsi" w:cstheme="minorHAnsi"/>
          <w:b/>
          <w:bCs/>
          <w:sz w:val="22"/>
        </w:rPr>
        <w:t xml:space="preserve"> support</w:t>
      </w:r>
      <w:r>
        <w:rPr>
          <w:rFonts w:asciiTheme="minorHAnsi" w:hAnsiTheme="minorHAnsi" w:cstheme="minorHAnsi"/>
          <w:b/>
          <w:bCs/>
          <w:sz w:val="22"/>
        </w:rPr>
        <w:t xml:space="preserve"> mechanisms for all TB patients. </w:t>
      </w:r>
    </w:p>
    <w:p w14:paraId="3C48090A" w14:textId="3FDB34C6" w:rsidR="004A791E" w:rsidRPr="004A791E" w:rsidRDefault="0091281F" w:rsidP="009136E5">
      <w:pPr>
        <w:pStyle w:val="ListParagraph"/>
        <w:numPr>
          <w:ilvl w:val="3"/>
          <w:numId w:val="75"/>
        </w:numPr>
        <w:spacing w:before="0" w:after="0"/>
        <w:ind w:left="1170" w:hanging="900"/>
        <w:jc w:val="both"/>
        <w:rPr>
          <w:rFonts w:asciiTheme="minorHAnsi" w:hAnsiTheme="minorHAnsi" w:cstheme="minorHAnsi"/>
          <w:sz w:val="22"/>
        </w:rPr>
      </w:pPr>
      <w:r w:rsidRPr="0091281F">
        <w:rPr>
          <w:rFonts w:asciiTheme="minorHAnsi" w:hAnsiTheme="minorHAnsi" w:cstheme="minorHAnsi"/>
          <w:b/>
          <w:bCs/>
          <w:sz w:val="22"/>
        </w:rPr>
        <w:t xml:space="preserve">Provide TB prevention and treatment literacy support: </w:t>
      </w:r>
      <w:r w:rsidRPr="0091281F">
        <w:rPr>
          <w:rFonts w:asciiTheme="minorHAnsi" w:hAnsiTheme="minorHAnsi" w:cstheme="minorHAnsi"/>
          <w:sz w:val="22"/>
        </w:rPr>
        <w:t>(in local languages) to all patients and families at the point of diagnosis and in the continuum of care which covers disease, treatment and adherence, TPT, and social benefits including DBT.</w:t>
      </w:r>
    </w:p>
    <w:p w14:paraId="1F01294F" w14:textId="1182B9A7" w:rsidR="0091281F" w:rsidRPr="004A791E" w:rsidRDefault="0091281F" w:rsidP="009136E5">
      <w:pPr>
        <w:pStyle w:val="ListParagraph"/>
        <w:numPr>
          <w:ilvl w:val="3"/>
          <w:numId w:val="75"/>
        </w:numPr>
        <w:spacing w:before="0" w:after="0"/>
        <w:ind w:left="1170" w:hanging="900"/>
        <w:jc w:val="both"/>
        <w:rPr>
          <w:rFonts w:asciiTheme="minorHAnsi" w:hAnsiTheme="minorHAnsi" w:cstheme="minorHAnsi"/>
          <w:b/>
          <w:bCs/>
          <w:sz w:val="22"/>
        </w:rPr>
      </w:pPr>
      <w:r w:rsidRPr="004A791E">
        <w:rPr>
          <w:rFonts w:asciiTheme="minorHAnsi" w:hAnsiTheme="minorHAnsi" w:cstheme="minorHAnsi"/>
          <w:b/>
          <w:bCs/>
          <w:sz w:val="22"/>
        </w:rPr>
        <w:t xml:space="preserve">Strengthen community-based patient support </w:t>
      </w:r>
      <w:r w:rsidRPr="004A791E">
        <w:rPr>
          <w:rFonts w:asciiTheme="minorHAnsi" w:hAnsiTheme="minorHAnsi" w:cstheme="minorHAnsi"/>
          <w:sz w:val="22"/>
        </w:rPr>
        <w:t xml:space="preserve">by the health system (ASHA, MPW and STS) supplemented with </w:t>
      </w:r>
      <w:r w:rsidRPr="004A791E">
        <w:rPr>
          <w:rFonts w:asciiTheme="minorHAnsi" w:hAnsiTheme="minorHAnsi" w:cstheme="minorHAnsi"/>
          <w:b/>
          <w:bCs/>
          <w:sz w:val="22"/>
        </w:rPr>
        <w:t xml:space="preserve">Digital adherence tools (DAT). </w:t>
      </w:r>
      <w:r w:rsidR="004A791E" w:rsidRPr="004A791E">
        <w:rPr>
          <w:rFonts w:asciiTheme="minorHAnsi" w:hAnsiTheme="minorHAnsi" w:cstheme="minorHAnsi"/>
          <w:b/>
          <w:bCs/>
          <w:sz w:val="22"/>
        </w:rPr>
        <w:t xml:space="preserve">This also includes various patient support groups formed at local levels, leveraging existing community structures for improved TB case management. </w:t>
      </w:r>
    </w:p>
    <w:p w14:paraId="0A9A8056" w14:textId="313451C3" w:rsidR="0091281F" w:rsidRPr="0091281F" w:rsidRDefault="00FF66A2" w:rsidP="009136E5">
      <w:pPr>
        <w:pStyle w:val="ListParagraph"/>
        <w:numPr>
          <w:ilvl w:val="2"/>
          <w:numId w:val="75"/>
        </w:numPr>
        <w:spacing w:before="0" w:after="0"/>
        <w:ind w:left="504"/>
        <w:jc w:val="both"/>
        <w:rPr>
          <w:rFonts w:asciiTheme="minorHAnsi" w:hAnsiTheme="minorHAnsi" w:cstheme="minorHAnsi"/>
          <w:sz w:val="22"/>
        </w:rPr>
      </w:pPr>
      <w:r>
        <w:rPr>
          <w:rFonts w:asciiTheme="minorHAnsi" w:hAnsiTheme="minorHAnsi" w:cstheme="minorHAnsi"/>
          <w:b/>
          <w:bCs/>
          <w:sz w:val="22"/>
        </w:rPr>
        <w:t>Provide social b</w:t>
      </w:r>
      <w:r w:rsidR="0091281F" w:rsidRPr="0091281F">
        <w:rPr>
          <w:rFonts w:asciiTheme="minorHAnsi" w:hAnsiTheme="minorHAnsi" w:cstheme="minorHAnsi"/>
          <w:b/>
          <w:bCs/>
          <w:sz w:val="22"/>
        </w:rPr>
        <w:t>enefits</w:t>
      </w:r>
      <w:r>
        <w:rPr>
          <w:rFonts w:asciiTheme="minorHAnsi" w:hAnsiTheme="minorHAnsi" w:cstheme="minorHAnsi"/>
          <w:b/>
          <w:bCs/>
          <w:sz w:val="22"/>
        </w:rPr>
        <w:t xml:space="preserve"> to patients</w:t>
      </w:r>
      <w:r w:rsidR="0091281F" w:rsidRPr="0091281F">
        <w:rPr>
          <w:rFonts w:asciiTheme="minorHAnsi" w:hAnsiTheme="minorHAnsi" w:cstheme="minorHAnsi"/>
          <w:b/>
          <w:bCs/>
          <w:sz w:val="22"/>
        </w:rPr>
        <w:t xml:space="preserve"> </w:t>
      </w:r>
    </w:p>
    <w:p w14:paraId="643A2567" w14:textId="5F190818" w:rsidR="0091281F" w:rsidRPr="0091281F" w:rsidRDefault="0091281F" w:rsidP="009136E5">
      <w:pPr>
        <w:pStyle w:val="ListParagraph"/>
        <w:numPr>
          <w:ilvl w:val="3"/>
          <w:numId w:val="75"/>
        </w:numPr>
        <w:spacing w:before="0" w:after="0"/>
        <w:ind w:left="1170" w:hanging="900"/>
        <w:jc w:val="both"/>
        <w:rPr>
          <w:rFonts w:asciiTheme="minorHAnsi" w:hAnsiTheme="minorHAnsi" w:cstheme="minorHAnsi"/>
          <w:sz w:val="22"/>
        </w:rPr>
      </w:pPr>
      <w:r w:rsidRPr="0091281F">
        <w:rPr>
          <w:rFonts w:asciiTheme="minorHAnsi" w:hAnsiTheme="minorHAnsi" w:cstheme="minorHAnsi"/>
          <w:b/>
          <w:bCs/>
          <w:sz w:val="22"/>
        </w:rPr>
        <w:t xml:space="preserve">States are encouraged to provide social benefits and nutritional support beyond NPY (Hybrid model) </w:t>
      </w:r>
      <w:r w:rsidRPr="0091281F">
        <w:rPr>
          <w:rFonts w:asciiTheme="minorHAnsi" w:hAnsiTheme="minorHAnsi" w:cstheme="minorHAnsi"/>
          <w:sz w:val="22"/>
        </w:rPr>
        <w:t>in keeping with</w:t>
      </w:r>
      <w:r w:rsidR="004A791E">
        <w:rPr>
          <w:rFonts w:asciiTheme="minorHAnsi" w:hAnsiTheme="minorHAnsi" w:cstheme="minorHAnsi"/>
          <w:sz w:val="22"/>
        </w:rPr>
        <w:t xml:space="preserve"> the</w:t>
      </w:r>
      <w:r w:rsidRPr="0091281F">
        <w:rPr>
          <w:rFonts w:asciiTheme="minorHAnsi" w:hAnsiTheme="minorHAnsi" w:cstheme="minorHAnsi"/>
          <w:sz w:val="22"/>
        </w:rPr>
        <w:t xml:space="preserve"> current best practice document on “State Initiatives on Patient Support Systems for TB in India”. Also explore options for delivery of nutritional support including public distribution system</w:t>
      </w:r>
    </w:p>
    <w:p w14:paraId="63674DE9" w14:textId="774B5750" w:rsidR="0091281F" w:rsidRPr="007C30D9" w:rsidRDefault="0091281F" w:rsidP="009136E5">
      <w:pPr>
        <w:pStyle w:val="ListParagraph"/>
        <w:numPr>
          <w:ilvl w:val="3"/>
          <w:numId w:val="75"/>
        </w:numPr>
        <w:spacing w:before="0"/>
        <w:ind w:left="1181" w:hanging="907"/>
        <w:contextualSpacing w:val="0"/>
        <w:jc w:val="both"/>
        <w:rPr>
          <w:rFonts w:asciiTheme="minorHAnsi" w:hAnsiTheme="minorHAnsi" w:cstheme="minorHAnsi"/>
          <w:sz w:val="22"/>
        </w:rPr>
      </w:pPr>
      <w:r w:rsidRPr="0091281F">
        <w:rPr>
          <w:rFonts w:asciiTheme="minorHAnsi" w:hAnsiTheme="minorHAnsi" w:cstheme="minorHAnsi"/>
          <w:b/>
          <w:bCs/>
          <w:sz w:val="22"/>
        </w:rPr>
        <w:t xml:space="preserve">The Ministry of Health and Family Welfare </w:t>
      </w:r>
      <w:r w:rsidR="00FC16BF">
        <w:rPr>
          <w:rFonts w:asciiTheme="minorHAnsi" w:hAnsiTheme="minorHAnsi" w:cstheme="minorHAnsi"/>
          <w:b/>
          <w:bCs/>
          <w:sz w:val="22"/>
        </w:rPr>
        <w:t>need to</w:t>
      </w:r>
      <w:r w:rsidRPr="0091281F">
        <w:rPr>
          <w:rFonts w:asciiTheme="minorHAnsi" w:hAnsiTheme="minorHAnsi" w:cstheme="minorHAnsi"/>
          <w:b/>
          <w:bCs/>
          <w:sz w:val="22"/>
        </w:rPr>
        <w:t xml:space="preserve"> provide access to comprehensive inpatient care without cost for all TB patients </w:t>
      </w:r>
      <w:r w:rsidRPr="0091281F">
        <w:rPr>
          <w:rFonts w:asciiTheme="minorHAnsi" w:hAnsiTheme="minorHAnsi" w:cstheme="minorHAnsi"/>
          <w:sz w:val="22"/>
        </w:rPr>
        <w:t>under Ayushman Bharat, and continue its work towards outpatient packages</w:t>
      </w:r>
      <w:r w:rsidR="00FD275E">
        <w:rPr>
          <w:rFonts w:asciiTheme="minorHAnsi" w:hAnsiTheme="minorHAnsi" w:cstheme="minorHAnsi"/>
          <w:sz w:val="22"/>
        </w:rPr>
        <w:t>.</w:t>
      </w:r>
    </w:p>
    <w:p w14:paraId="0D24D4F1" w14:textId="14B6CE3B" w:rsidR="0091281F" w:rsidRPr="0091281F" w:rsidRDefault="0091281F" w:rsidP="009136E5">
      <w:pPr>
        <w:pStyle w:val="ListParagraph"/>
        <w:numPr>
          <w:ilvl w:val="2"/>
          <w:numId w:val="75"/>
        </w:numPr>
        <w:spacing w:before="0" w:after="0"/>
        <w:ind w:left="504"/>
        <w:jc w:val="both"/>
        <w:rPr>
          <w:rFonts w:asciiTheme="minorHAnsi" w:hAnsiTheme="minorHAnsi" w:cstheme="minorHAnsi"/>
          <w:sz w:val="22"/>
        </w:rPr>
      </w:pPr>
      <w:r w:rsidRPr="0091281F">
        <w:rPr>
          <w:rFonts w:asciiTheme="minorHAnsi" w:hAnsiTheme="minorHAnsi" w:cstheme="minorHAnsi"/>
          <w:b/>
          <w:bCs/>
          <w:sz w:val="22"/>
        </w:rPr>
        <w:t>Initial Screening and re</w:t>
      </w:r>
      <w:r w:rsidR="00ED70CC">
        <w:rPr>
          <w:rFonts w:asciiTheme="minorHAnsi" w:hAnsiTheme="minorHAnsi" w:cstheme="minorHAnsi"/>
          <w:b/>
          <w:bCs/>
          <w:sz w:val="22"/>
        </w:rPr>
        <w:t>view of data</w:t>
      </w:r>
    </w:p>
    <w:p w14:paraId="5909C73D" w14:textId="7CEBB76A" w:rsidR="0091281F" w:rsidRPr="0091281F" w:rsidRDefault="009215C4" w:rsidP="009136E5">
      <w:pPr>
        <w:pStyle w:val="ListParagraph"/>
        <w:numPr>
          <w:ilvl w:val="3"/>
          <w:numId w:val="75"/>
        </w:numPr>
        <w:spacing w:before="0" w:after="0"/>
        <w:ind w:left="1170" w:hanging="900"/>
        <w:jc w:val="both"/>
        <w:rPr>
          <w:rFonts w:asciiTheme="minorHAnsi" w:hAnsiTheme="minorHAnsi" w:cstheme="minorHAnsi"/>
          <w:sz w:val="22"/>
        </w:rPr>
      </w:pPr>
      <w:r>
        <w:rPr>
          <w:rFonts w:asciiTheme="minorHAnsi" w:hAnsiTheme="minorHAnsi" w:cstheme="minorHAnsi"/>
          <w:sz w:val="22"/>
        </w:rPr>
        <w:t>I</w:t>
      </w:r>
      <w:r w:rsidR="007C30D9" w:rsidRPr="0091281F">
        <w:rPr>
          <w:rFonts w:asciiTheme="minorHAnsi" w:hAnsiTheme="minorHAnsi" w:cstheme="minorHAnsi"/>
          <w:sz w:val="22"/>
        </w:rPr>
        <w:t>mplement</w:t>
      </w:r>
      <w:r w:rsidR="0091281F" w:rsidRPr="0091281F">
        <w:rPr>
          <w:rFonts w:asciiTheme="minorHAnsi" w:hAnsiTheme="minorHAnsi" w:cstheme="minorHAnsi"/>
          <w:b/>
          <w:bCs/>
          <w:sz w:val="22"/>
        </w:rPr>
        <w:t xml:space="preserve"> a triage tool for severity assessment </w:t>
      </w:r>
      <w:r w:rsidR="0091281F" w:rsidRPr="0091281F">
        <w:rPr>
          <w:rFonts w:asciiTheme="minorHAnsi" w:hAnsiTheme="minorHAnsi" w:cstheme="minorHAnsi"/>
          <w:sz w:val="22"/>
        </w:rPr>
        <w:t>to identify severely ill patients and support their access to care</w:t>
      </w:r>
      <w:r w:rsidR="00FD275E">
        <w:rPr>
          <w:rFonts w:asciiTheme="minorHAnsi" w:hAnsiTheme="minorHAnsi" w:cstheme="minorHAnsi"/>
          <w:sz w:val="22"/>
        </w:rPr>
        <w:t xml:space="preserve">. </w:t>
      </w:r>
      <w:r w:rsidR="0091281F" w:rsidRPr="0091281F">
        <w:rPr>
          <w:rFonts w:asciiTheme="minorHAnsi" w:hAnsiTheme="minorHAnsi" w:cstheme="minorHAnsi"/>
          <w:sz w:val="22"/>
        </w:rPr>
        <w:t xml:space="preserve">A triage tool based on nutritional status, vital signs and presence of anemia has been suggested in the </w:t>
      </w:r>
      <w:r w:rsidR="0096187C">
        <w:rPr>
          <w:rFonts w:asciiTheme="minorHAnsi" w:hAnsiTheme="minorHAnsi" w:cstheme="minorHAnsi"/>
          <w:sz w:val="22"/>
        </w:rPr>
        <w:t>NTEP</w:t>
      </w:r>
      <w:r w:rsidR="0091281F" w:rsidRPr="0091281F">
        <w:rPr>
          <w:rFonts w:asciiTheme="minorHAnsi" w:hAnsiTheme="minorHAnsi" w:cstheme="minorHAnsi"/>
          <w:sz w:val="22"/>
        </w:rPr>
        <w:t xml:space="preserve"> document on nutritional care and support.</w:t>
      </w:r>
    </w:p>
    <w:p w14:paraId="672D5702" w14:textId="3394FE68" w:rsidR="0091281F" w:rsidRPr="0091281F" w:rsidRDefault="0091281F" w:rsidP="009136E5">
      <w:pPr>
        <w:pStyle w:val="ListParagraph"/>
        <w:numPr>
          <w:ilvl w:val="3"/>
          <w:numId w:val="75"/>
        </w:numPr>
        <w:spacing w:before="0" w:after="0"/>
        <w:ind w:left="1170" w:hanging="900"/>
        <w:jc w:val="both"/>
        <w:rPr>
          <w:rFonts w:asciiTheme="minorHAnsi" w:hAnsiTheme="minorHAnsi" w:cstheme="minorHAnsi"/>
          <w:sz w:val="22"/>
        </w:rPr>
      </w:pPr>
      <w:r w:rsidRPr="0091281F">
        <w:rPr>
          <w:rFonts w:asciiTheme="minorHAnsi" w:hAnsiTheme="minorHAnsi" w:cstheme="minorHAnsi"/>
          <w:b/>
          <w:bCs/>
          <w:sz w:val="22"/>
        </w:rPr>
        <w:t xml:space="preserve">Implement a differentiated care approach </w:t>
      </w:r>
      <w:r w:rsidRPr="0091281F">
        <w:rPr>
          <w:rFonts w:asciiTheme="minorHAnsi" w:hAnsiTheme="minorHAnsi" w:cstheme="minorHAnsi"/>
          <w:sz w:val="22"/>
        </w:rPr>
        <w:t>for patients with comorbidities and complications to improve treatment outcomes.</w:t>
      </w:r>
    </w:p>
    <w:p w14:paraId="516FDE7D" w14:textId="27435B03" w:rsidR="0091281F" w:rsidRPr="0091281F" w:rsidRDefault="0091281F" w:rsidP="009136E5">
      <w:pPr>
        <w:pStyle w:val="ListParagraph"/>
        <w:numPr>
          <w:ilvl w:val="3"/>
          <w:numId w:val="75"/>
        </w:numPr>
        <w:spacing w:before="0" w:after="0"/>
        <w:ind w:left="1170" w:hanging="900"/>
        <w:jc w:val="both"/>
        <w:rPr>
          <w:rFonts w:asciiTheme="minorHAnsi" w:hAnsiTheme="minorHAnsi" w:cstheme="minorHAnsi"/>
          <w:sz w:val="22"/>
        </w:rPr>
      </w:pPr>
      <w:r w:rsidRPr="0091281F">
        <w:rPr>
          <w:rFonts w:asciiTheme="minorHAnsi" w:hAnsiTheme="minorHAnsi" w:cstheme="minorHAnsi"/>
          <w:b/>
          <w:bCs/>
          <w:sz w:val="22"/>
        </w:rPr>
        <w:t>Assess disability at the end of treatment</w:t>
      </w:r>
      <w:r w:rsidRPr="0091281F">
        <w:rPr>
          <w:rFonts w:asciiTheme="minorHAnsi" w:hAnsiTheme="minorHAnsi" w:cstheme="minorHAnsi"/>
          <w:sz w:val="22"/>
        </w:rPr>
        <w:t xml:space="preserve"> and link those identified with disabilities to rehabilitation schemes (provided by government and/or others</w:t>
      </w:r>
      <w:r w:rsidR="007C30D9" w:rsidRPr="0091281F">
        <w:rPr>
          <w:rFonts w:asciiTheme="minorHAnsi" w:hAnsiTheme="minorHAnsi" w:cstheme="minorHAnsi"/>
          <w:sz w:val="22"/>
        </w:rPr>
        <w:t>).</w:t>
      </w:r>
    </w:p>
    <w:p w14:paraId="4ED63E84" w14:textId="68D09C10" w:rsidR="0091281F" w:rsidRPr="007C30D9" w:rsidRDefault="0091281F" w:rsidP="009136E5">
      <w:pPr>
        <w:pStyle w:val="ListParagraph"/>
        <w:numPr>
          <w:ilvl w:val="3"/>
          <w:numId w:val="75"/>
        </w:numPr>
        <w:spacing w:before="0"/>
        <w:ind w:left="1181" w:hanging="907"/>
        <w:contextualSpacing w:val="0"/>
        <w:jc w:val="both"/>
        <w:rPr>
          <w:rFonts w:asciiTheme="minorHAnsi" w:hAnsiTheme="minorHAnsi" w:cstheme="minorHAnsi"/>
          <w:sz w:val="22"/>
        </w:rPr>
      </w:pPr>
      <w:r w:rsidRPr="0091281F">
        <w:rPr>
          <w:rFonts w:asciiTheme="minorHAnsi" w:hAnsiTheme="minorHAnsi" w:cstheme="minorHAnsi"/>
          <w:b/>
          <w:bCs/>
          <w:sz w:val="22"/>
        </w:rPr>
        <w:t>Implement simple systematic relapse surveillance via phone calls made to patient cohorts at regular intervals to</w:t>
      </w:r>
      <w:r w:rsidRPr="0091281F">
        <w:rPr>
          <w:rFonts w:asciiTheme="minorHAnsi" w:hAnsiTheme="minorHAnsi" w:cstheme="minorHAnsi"/>
          <w:sz w:val="22"/>
        </w:rPr>
        <w:t xml:space="preserve"> ascertain if relapse has taken place over a 2 year period.</w:t>
      </w:r>
    </w:p>
    <w:p w14:paraId="0C2939B4" w14:textId="77777777" w:rsidR="0091281F" w:rsidRPr="0091281F" w:rsidRDefault="0091281F" w:rsidP="009136E5">
      <w:pPr>
        <w:pStyle w:val="ListParagraph"/>
        <w:numPr>
          <w:ilvl w:val="2"/>
          <w:numId w:val="75"/>
        </w:numPr>
        <w:spacing w:before="0" w:after="0"/>
        <w:ind w:left="504"/>
        <w:jc w:val="both"/>
        <w:rPr>
          <w:rFonts w:asciiTheme="minorHAnsi" w:hAnsiTheme="minorHAnsi" w:cstheme="minorHAnsi"/>
          <w:sz w:val="22"/>
        </w:rPr>
      </w:pPr>
      <w:r w:rsidRPr="0091281F">
        <w:rPr>
          <w:rFonts w:asciiTheme="minorHAnsi" w:hAnsiTheme="minorHAnsi" w:cstheme="minorHAnsi"/>
          <w:b/>
          <w:bCs/>
          <w:sz w:val="22"/>
        </w:rPr>
        <w:t>Nikshay improvements:</w:t>
      </w:r>
    </w:p>
    <w:p w14:paraId="24976983" w14:textId="0CD7968E" w:rsidR="0091281F" w:rsidRPr="0091281F" w:rsidRDefault="0091281F" w:rsidP="009136E5">
      <w:pPr>
        <w:pStyle w:val="ListParagraph"/>
        <w:numPr>
          <w:ilvl w:val="3"/>
          <w:numId w:val="75"/>
        </w:numPr>
        <w:spacing w:before="0" w:after="0"/>
        <w:ind w:left="1170" w:hanging="900"/>
        <w:jc w:val="both"/>
        <w:rPr>
          <w:rFonts w:asciiTheme="minorHAnsi" w:hAnsiTheme="minorHAnsi" w:cstheme="minorHAnsi"/>
          <w:sz w:val="22"/>
        </w:rPr>
      </w:pPr>
      <w:r w:rsidRPr="0091281F">
        <w:rPr>
          <w:rFonts w:asciiTheme="minorHAnsi" w:hAnsiTheme="minorHAnsi" w:cstheme="minorHAnsi"/>
          <w:b/>
          <w:bCs/>
          <w:sz w:val="22"/>
        </w:rPr>
        <w:t>Develop patient transfer module</w:t>
      </w:r>
      <w:r w:rsidRPr="0091281F">
        <w:rPr>
          <w:rFonts w:asciiTheme="minorHAnsi" w:hAnsiTheme="minorHAnsi" w:cstheme="minorHAnsi"/>
          <w:sz w:val="22"/>
        </w:rPr>
        <w:t xml:space="preserve"> to ensure initiation and tracking of patients who move from one TU to another. This is particularly important in the case of migrant workers who require to be transferred quickly.  The </w:t>
      </w:r>
      <w:r w:rsidR="0096187C">
        <w:rPr>
          <w:rFonts w:asciiTheme="minorHAnsi" w:hAnsiTheme="minorHAnsi" w:cstheme="minorHAnsi"/>
          <w:sz w:val="22"/>
        </w:rPr>
        <w:t>NTEP</w:t>
      </w:r>
      <w:r w:rsidRPr="0091281F">
        <w:rPr>
          <w:rFonts w:asciiTheme="minorHAnsi" w:hAnsiTheme="minorHAnsi" w:cstheme="minorHAnsi"/>
          <w:sz w:val="22"/>
        </w:rPr>
        <w:t xml:space="preserve"> </w:t>
      </w:r>
      <w:r w:rsidR="00D66B88">
        <w:rPr>
          <w:rFonts w:asciiTheme="minorHAnsi" w:hAnsiTheme="minorHAnsi" w:cstheme="minorHAnsi"/>
          <w:sz w:val="22"/>
        </w:rPr>
        <w:t>will</w:t>
      </w:r>
      <w:r w:rsidRPr="0091281F">
        <w:rPr>
          <w:rFonts w:asciiTheme="minorHAnsi" w:hAnsiTheme="minorHAnsi" w:cstheme="minorHAnsi"/>
          <w:sz w:val="22"/>
        </w:rPr>
        <w:t xml:space="preserve"> consider a patient transfer module which will provide seamless access to initiation </w:t>
      </w:r>
    </w:p>
    <w:p w14:paraId="5FB78621" w14:textId="3664BE4E" w:rsidR="0091281F" w:rsidRPr="0091281F" w:rsidRDefault="0091281F" w:rsidP="009136E5">
      <w:pPr>
        <w:pStyle w:val="ListParagraph"/>
        <w:numPr>
          <w:ilvl w:val="3"/>
          <w:numId w:val="75"/>
        </w:numPr>
        <w:spacing w:before="0" w:after="0"/>
        <w:ind w:left="1170" w:hanging="900"/>
        <w:jc w:val="both"/>
        <w:rPr>
          <w:rFonts w:asciiTheme="minorHAnsi" w:hAnsiTheme="minorHAnsi" w:cstheme="minorHAnsi"/>
          <w:sz w:val="22"/>
        </w:rPr>
      </w:pPr>
      <w:r w:rsidRPr="0091281F">
        <w:rPr>
          <w:rFonts w:asciiTheme="minorHAnsi" w:hAnsiTheme="minorHAnsi" w:cstheme="minorHAnsi"/>
          <w:b/>
          <w:bCs/>
          <w:sz w:val="22"/>
        </w:rPr>
        <w:t xml:space="preserve">Develop Task lists in Nikshay </w:t>
      </w:r>
      <w:r w:rsidRPr="0091281F">
        <w:rPr>
          <w:rFonts w:asciiTheme="minorHAnsi" w:hAnsiTheme="minorHAnsi" w:cstheme="minorHAnsi"/>
          <w:sz w:val="22"/>
        </w:rPr>
        <w:t>for linking,</w:t>
      </w:r>
      <w:r w:rsidR="00FD275E">
        <w:rPr>
          <w:rFonts w:asciiTheme="minorHAnsi" w:hAnsiTheme="minorHAnsi" w:cstheme="minorHAnsi"/>
          <w:sz w:val="22"/>
        </w:rPr>
        <w:t xml:space="preserve"> and</w:t>
      </w:r>
      <w:r w:rsidRPr="0091281F">
        <w:rPr>
          <w:rFonts w:asciiTheme="minorHAnsi" w:hAnsiTheme="minorHAnsi" w:cstheme="minorHAnsi"/>
          <w:sz w:val="22"/>
        </w:rPr>
        <w:t xml:space="preserve"> tracking pediatric contacts</w:t>
      </w:r>
      <w:r w:rsidR="00FD275E">
        <w:rPr>
          <w:rFonts w:asciiTheme="minorHAnsi" w:hAnsiTheme="minorHAnsi" w:cstheme="minorHAnsi"/>
          <w:sz w:val="22"/>
        </w:rPr>
        <w:t>.</w:t>
      </w:r>
      <w:r w:rsidRPr="0091281F">
        <w:rPr>
          <w:rFonts w:asciiTheme="minorHAnsi" w:hAnsiTheme="minorHAnsi" w:cstheme="minorHAnsi"/>
          <w:sz w:val="22"/>
        </w:rPr>
        <w:t xml:space="preserve"> </w:t>
      </w:r>
    </w:p>
    <w:p w14:paraId="5F80A8B9" w14:textId="032EB66F" w:rsidR="00C67B72" w:rsidRPr="006642CF" w:rsidRDefault="00C67B72" w:rsidP="00AB5192">
      <w:pPr>
        <w:spacing w:before="0" w:after="0"/>
        <w:ind w:left="360"/>
        <w:rPr>
          <w:rFonts w:asciiTheme="minorHAnsi" w:hAnsiTheme="minorHAnsi" w:cstheme="minorHAnsi"/>
          <w:sz w:val="22"/>
        </w:rPr>
      </w:pPr>
      <w:r w:rsidRPr="006642CF">
        <w:rPr>
          <w:rFonts w:asciiTheme="minorHAnsi" w:hAnsiTheme="minorHAnsi" w:cstheme="minorHAnsi"/>
          <w:sz w:val="22"/>
        </w:rPr>
        <w:t xml:space="preserve">  </w:t>
      </w:r>
    </w:p>
    <w:p w14:paraId="0C072AFD" w14:textId="78941D16" w:rsidR="00D463F3" w:rsidRPr="00734B6A" w:rsidRDefault="00E85180" w:rsidP="00C129C4">
      <w:pPr>
        <w:spacing w:before="0" w:after="0"/>
        <w:jc w:val="both"/>
        <w:rPr>
          <w:rFonts w:asciiTheme="minorHAnsi" w:eastAsia="Times New Roman" w:hAnsiTheme="minorHAnsi" w:cstheme="minorHAnsi"/>
          <w:noProof/>
          <w:sz w:val="22"/>
        </w:rPr>
      </w:pPr>
      <w:r>
        <w:rPr>
          <w:rFonts w:asciiTheme="minorHAnsi" w:hAnsiTheme="minorHAnsi" w:cstheme="minorHAnsi"/>
          <w:b/>
          <w:noProof/>
          <w:sz w:val="28"/>
          <w:szCs w:val="28"/>
          <w:lang w:val="en-IN" w:eastAsia="en-IN"/>
        </w:rPr>
        <w:lastRenderedPageBreak/>
        <mc:AlternateContent>
          <mc:Choice Requires="wps">
            <w:drawing>
              <wp:anchor distT="45720" distB="45720" distL="114300" distR="114300" simplePos="0" relativeHeight="251650048" behindDoc="0" locked="0" layoutInCell="1" allowOverlap="1" wp14:anchorId="652CC109" wp14:editId="4503464E">
                <wp:simplePos x="0" y="0"/>
                <wp:positionH relativeFrom="column">
                  <wp:posOffset>0</wp:posOffset>
                </wp:positionH>
                <wp:positionV relativeFrom="paragraph">
                  <wp:posOffset>212090</wp:posOffset>
                </wp:positionV>
                <wp:extent cx="6171565" cy="8499475"/>
                <wp:effectExtent l="0" t="0" r="19685" b="158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8499475"/>
                        </a:xfrm>
                        <a:prstGeom prst="rect">
                          <a:avLst/>
                        </a:prstGeom>
                        <a:solidFill>
                          <a:schemeClr val="tx2">
                            <a:lumMod val="75000"/>
                          </a:schemeClr>
                        </a:solidFill>
                        <a:ln w="9525">
                          <a:solidFill>
                            <a:schemeClr val="tx2">
                              <a:lumMod val="75000"/>
                            </a:schemeClr>
                          </a:solidFill>
                          <a:miter lim="800000"/>
                          <a:headEnd/>
                          <a:tailEnd/>
                        </a:ln>
                      </wps:spPr>
                      <wps:txbx>
                        <w:txbxContent>
                          <w:p w14:paraId="333961DD" w14:textId="77777777" w:rsidR="00D55F8F" w:rsidRPr="00EF09B4" w:rsidRDefault="00D55F8F" w:rsidP="00F02C4C">
                            <w:pPr>
                              <w:shd w:val="clear" w:color="auto" w:fill="17365D" w:themeFill="text2" w:themeFillShade="BF"/>
                              <w:jc w:val="right"/>
                              <w:rPr>
                                <w:color w:val="FFFFFF" w:themeColor="background1"/>
                                <w:sz w:val="144"/>
                                <w:szCs w:val="144"/>
                                <w:lang w:val="en-GB"/>
                              </w:rPr>
                            </w:pPr>
                          </w:p>
                          <w:p w14:paraId="3B6C3A25" w14:textId="4C2F02D1" w:rsidR="00D55F8F" w:rsidRPr="00AF2BB1" w:rsidRDefault="00D55F8F" w:rsidP="00841EF2">
                            <w:pPr>
                              <w:shd w:val="clear" w:color="auto" w:fill="17365D" w:themeFill="text2" w:themeFillShade="BF"/>
                              <w:jc w:val="right"/>
                              <w:rPr>
                                <w:rFonts w:ascii="Bernard MT Condensed" w:hAnsi="Bernard MT Condensed"/>
                                <w:color w:val="FFFF00"/>
                                <w:sz w:val="144"/>
                                <w:szCs w:val="144"/>
                                <w:lang w:val="en-GB"/>
                              </w:rPr>
                            </w:pPr>
                            <w:r>
                              <w:rPr>
                                <w:rFonts w:ascii="Bernard MT Condensed" w:hAnsi="Bernard MT Condensed"/>
                                <w:color w:val="FFFF00"/>
                                <w:sz w:val="144"/>
                                <w:szCs w:val="144"/>
                                <w:lang w:val="en-GB"/>
                              </w:rPr>
                              <w:t>Section 3</w:t>
                            </w:r>
                          </w:p>
                          <w:p w14:paraId="41FF75A2"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005099AD"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2F2442D0"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1D23EB8D"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061034C0"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031ACC3E"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361A1FB2"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233EB9D9"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386C7D91"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5758E24D" w14:textId="3F17B24D" w:rsidR="00D55F8F" w:rsidRPr="00E85180"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r w:rsidRPr="00E85180">
                              <w:rPr>
                                <w:rFonts w:ascii="Bernard MT Condensed" w:hAnsi="Bernard MT Condensed"/>
                                <w:color w:val="FFFFFF" w:themeColor="background1"/>
                                <w:sz w:val="40"/>
                                <w:szCs w:val="48"/>
                                <w:lang w:val="en-GB"/>
                              </w:rPr>
                              <w:t>CHA</w:t>
                            </w:r>
                            <w:r>
                              <w:rPr>
                                <w:rFonts w:ascii="Bernard MT Condensed" w:hAnsi="Bernard MT Condensed"/>
                                <w:color w:val="FFFFFF" w:themeColor="background1"/>
                                <w:sz w:val="40"/>
                                <w:szCs w:val="48"/>
                                <w:lang w:val="en-GB"/>
                              </w:rPr>
                              <w:t>PTER 30</w:t>
                            </w:r>
                            <w:r w:rsidRPr="00E85180">
                              <w:rPr>
                                <w:rFonts w:ascii="Bernard MT Condensed" w:hAnsi="Bernard MT Condensed"/>
                                <w:color w:val="FFFFFF" w:themeColor="background1"/>
                                <w:sz w:val="40"/>
                                <w:szCs w:val="48"/>
                                <w:lang w:val="en-GB"/>
                              </w:rPr>
                              <w:t>: BUDGETING AND COSTING THE NSP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CC109" id="_x0000_s1032" type="#_x0000_t202" style="position:absolute;left:0;text-align:left;margin-left:0;margin-top:16.7pt;width:485.95pt;height:669.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" fillcolor="#17365d [2415]" strokecolor="#17365d [2415]">
                <v:textbox>
                  <w:txbxContent>
                    <w:p w14:paraId="333961DD" w14:textId="77777777" w:rsidR="00D55F8F" w:rsidRPr="00EF09B4" w:rsidRDefault="00D55F8F" w:rsidP="00F02C4C">
                      <w:pPr>
                        <w:shd w:val="clear" w:color="auto" w:fill="17365D" w:themeFill="text2" w:themeFillShade="BF"/>
                        <w:jc w:val="right"/>
                        <w:rPr>
                          <w:color w:val="FFFFFF" w:themeColor="background1"/>
                          <w:sz w:val="144"/>
                          <w:szCs w:val="144"/>
                          <w:lang w:val="en-GB"/>
                        </w:rPr>
                      </w:pPr>
                    </w:p>
                    <w:p w14:paraId="3B6C3A25" w14:textId="4C2F02D1" w:rsidR="00D55F8F" w:rsidRPr="00AF2BB1" w:rsidRDefault="00D55F8F" w:rsidP="00841EF2">
                      <w:pPr>
                        <w:shd w:val="clear" w:color="auto" w:fill="17365D" w:themeFill="text2" w:themeFillShade="BF"/>
                        <w:jc w:val="right"/>
                        <w:rPr>
                          <w:rFonts w:ascii="Bernard MT Condensed" w:hAnsi="Bernard MT Condensed"/>
                          <w:color w:val="FFFF00"/>
                          <w:sz w:val="144"/>
                          <w:szCs w:val="144"/>
                          <w:lang w:val="en-GB"/>
                        </w:rPr>
                      </w:pPr>
                      <w:r>
                        <w:rPr>
                          <w:rFonts w:ascii="Bernard MT Condensed" w:hAnsi="Bernard MT Condensed"/>
                          <w:color w:val="FFFF00"/>
                          <w:sz w:val="144"/>
                          <w:szCs w:val="144"/>
                          <w:lang w:val="en-GB"/>
                        </w:rPr>
                        <w:t>Section 3</w:t>
                      </w:r>
                    </w:p>
                    <w:p w14:paraId="41FF75A2"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005099AD"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2F2442D0"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1D23EB8D"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061034C0"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031ACC3E"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361A1FB2"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233EB9D9"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386C7D91" w14:textId="77777777" w:rsidR="00D55F8F"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p>
                    <w:p w14:paraId="5758E24D" w14:textId="3F17B24D" w:rsidR="00D55F8F" w:rsidRPr="00E85180" w:rsidRDefault="00D55F8F" w:rsidP="00F02C4C">
                      <w:pPr>
                        <w:shd w:val="clear" w:color="auto" w:fill="17365D" w:themeFill="text2" w:themeFillShade="BF"/>
                        <w:ind w:left="1440"/>
                        <w:rPr>
                          <w:rFonts w:ascii="Bernard MT Condensed" w:hAnsi="Bernard MT Condensed"/>
                          <w:color w:val="FFFFFF" w:themeColor="background1"/>
                          <w:sz w:val="40"/>
                          <w:szCs w:val="48"/>
                          <w:lang w:val="en-GB"/>
                        </w:rPr>
                      </w:pPr>
                      <w:r w:rsidRPr="00E85180">
                        <w:rPr>
                          <w:rFonts w:ascii="Bernard MT Condensed" w:hAnsi="Bernard MT Condensed"/>
                          <w:color w:val="FFFFFF" w:themeColor="background1"/>
                          <w:sz w:val="40"/>
                          <w:szCs w:val="48"/>
                          <w:lang w:val="en-GB"/>
                        </w:rPr>
                        <w:t>CHA</w:t>
                      </w:r>
                      <w:r>
                        <w:rPr>
                          <w:rFonts w:ascii="Bernard MT Condensed" w:hAnsi="Bernard MT Condensed"/>
                          <w:color w:val="FFFFFF" w:themeColor="background1"/>
                          <w:sz w:val="40"/>
                          <w:szCs w:val="48"/>
                          <w:lang w:val="en-GB"/>
                        </w:rPr>
                        <w:t>PTER 30</w:t>
                      </w:r>
                      <w:r w:rsidRPr="00E85180">
                        <w:rPr>
                          <w:rFonts w:ascii="Bernard MT Condensed" w:hAnsi="Bernard MT Condensed"/>
                          <w:color w:val="FFFFFF" w:themeColor="background1"/>
                          <w:sz w:val="40"/>
                          <w:szCs w:val="48"/>
                          <w:lang w:val="en-GB"/>
                        </w:rPr>
                        <w:t>: BUDGETING AND COSTING THE NSP</w:t>
                      </w:r>
                    </w:p>
                  </w:txbxContent>
                </v:textbox>
                <w10:wrap type="square"/>
              </v:shape>
            </w:pict>
          </mc:Fallback>
        </mc:AlternateContent>
      </w:r>
      <w:r w:rsidR="00D463F3" w:rsidRPr="00734B6A">
        <w:rPr>
          <w:rFonts w:asciiTheme="minorHAnsi" w:hAnsiTheme="minorHAnsi" w:cstheme="minorHAnsi"/>
        </w:rPr>
        <w:br w:type="page"/>
      </w:r>
    </w:p>
    <w:p w14:paraId="0C16FE45" w14:textId="6F37BD2D" w:rsidR="00F53663" w:rsidRPr="00734B6A" w:rsidRDefault="00F53663" w:rsidP="00D8123A">
      <w:pPr>
        <w:pStyle w:val="Heading1"/>
        <w:tabs>
          <w:tab w:val="num" w:pos="5670"/>
        </w:tabs>
        <w:spacing w:after="0"/>
        <w:rPr>
          <w:rFonts w:asciiTheme="minorHAnsi" w:hAnsiTheme="minorHAnsi" w:cstheme="minorHAnsi"/>
          <w:b/>
          <w:snapToGrid w:val="0"/>
          <w:color w:val="auto"/>
          <w:sz w:val="36"/>
        </w:rPr>
      </w:pPr>
      <w:bookmarkStart w:id="74" w:name="_Toc472976181"/>
      <w:bookmarkStart w:id="75" w:name="_Toc474783511"/>
      <w:bookmarkStart w:id="76" w:name="_Toc475081624"/>
      <w:bookmarkStart w:id="77" w:name="_Toc476668586"/>
      <w:bookmarkStart w:id="78" w:name="_Toc476680450"/>
      <w:bookmarkStart w:id="79" w:name="_Toc476681706"/>
      <w:bookmarkStart w:id="80" w:name="_Toc476682953"/>
      <w:bookmarkStart w:id="81" w:name="_Toc2777267"/>
      <w:r w:rsidRPr="00734B6A">
        <w:rPr>
          <w:rFonts w:asciiTheme="minorHAnsi" w:hAnsiTheme="minorHAnsi" w:cstheme="minorHAnsi"/>
          <w:b/>
          <w:snapToGrid w:val="0"/>
          <w:color w:val="auto"/>
          <w:sz w:val="36"/>
        </w:rPr>
        <w:lastRenderedPageBreak/>
        <w:t xml:space="preserve">Chapter </w:t>
      </w:r>
      <w:bookmarkEnd w:id="74"/>
      <w:bookmarkEnd w:id="75"/>
      <w:bookmarkEnd w:id="76"/>
      <w:bookmarkEnd w:id="77"/>
      <w:bookmarkEnd w:id="78"/>
      <w:bookmarkEnd w:id="79"/>
      <w:bookmarkEnd w:id="80"/>
      <w:bookmarkEnd w:id="81"/>
      <w:r w:rsidR="00E85991">
        <w:rPr>
          <w:rFonts w:asciiTheme="minorHAnsi" w:hAnsiTheme="minorHAnsi" w:cstheme="minorHAnsi"/>
          <w:b/>
          <w:snapToGrid w:val="0"/>
          <w:color w:val="auto"/>
          <w:sz w:val="36"/>
        </w:rPr>
        <w:t>30</w:t>
      </w:r>
      <w:r w:rsidRPr="00734B6A">
        <w:rPr>
          <w:rFonts w:asciiTheme="minorHAnsi" w:hAnsiTheme="minorHAnsi" w:cstheme="minorHAnsi"/>
          <w:b/>
          <w:snapToGrid w:val="0"/>
          <w:color w:val="auto"/>
          <w:sz w:val="36"/>
        </w:rPr>
        <w:t xml:space="preserve"> </w:t>
      </w:r>
    </w:p>
    <w:p w14:paraId="7E0786E2" w14:textId="77777777" w:rsidR="00F43E4E" w:rsidRDefault="00F43E4E" w:rsidP="00F43E4E">
      <w:pPr>
        <w:pStyle w:val="Heading1"/>
        <w:tabs>
          <w:tab w:val="num" w:pos="5670"/>
        </w:tabs>
        <w:ind w:left="3600"/>
        <w:rPr>
          <w:rFonts w:asciiTheme="minorHAnsi" w:hAnsiTheme="minorHAnsi" w:cstheme="minorHAnsi"/>
          <w:b/>
          <w:snapToGrid w:val="0"/>
          <w:color w:val="auto"/>
          <w:szCs w:val="56"/>
        </w:rPr>
      </w:pPr>
      <w:bookmarkStart w:id="82" w:name="_Toc2777295"/>
      <w:bookmarkStart w:id="83" w:name="_Toc472976192"/>
      <w:r>
        <w:rPr>
          <w:rFonts w:asciiTheme="minorHAnsi" w:hAnsiTheme="minorHAnsi" w:cstheme="minorHAnsi"/>
          <w:b/>
          <w:snapToGrid w:val="0"/>
          <w:color w:val="auto"/>
          <w:szCs w:val="56"/>
        </w:rPr>
        <w:t>Costing and Financing the NSP</w:t>
      </w:r>
      <w:bookmarkEnd w:id="82"/>
    </w:p>
    <w:p w14:paraId="1D99F3A2" w14:textId="77777777" w:rsidR="00A9591E" w:rsidRPr="00A9591E" w:rsidRDefault="00A9591E" w:rsidP="00A9591E">
      <w:pPr>
        <w:jc w:val="both"/>
        <w:rPr>
          <w:rFonts w:asciiTheme="minorHAnsi" w:hAnsiTheme="minorHAnsi" w:cstheme="minorHAnsi"/>
          <w:b/>
          <w:color w:val="C86A07"/>
          <w:sz w:val="28"/>
        </w:rPr>
      </w:pPr>
      <w:r w:rsidRPr="00A9591E">
        <w:rPr>
          <w:rFonts w:asciiTheme="minorHAnsi" w:hAnsiTheme="minorHAnsi" w:cstheme="minorHAnsi"/>
          <w:b/>
          <w:color w:val="C86A07"/>
          <w:sz w:val="28"/>
        </w:rPr>
        <w:t>Budget and Funding for National Strategic Plan for TB</w:t>
      </w:r>
    </w:p>
    <w:p w14:paraId="36245BA1" w14:textId="12169BBE" w:rsidR="00A9591E" w:rsidRPr="0087755F" w:rsidRDefault="00A9591E" w:rsidP="003252EB">
      <w:pPr>
        <w:spacing w:after="0"/>
        <w:jc w:val="both"/>
        <w:rPr>
          <w:rFonts w:asciiTheme="minorHAnsi" w:hAnsiTheme="minorHAnsi" w:cstheme="minorHAnsi"/>
          <w:sz w:val="22"/>
        </w:rPr>
      </w:pPr>
      <w:r w:rsidRPr="0087755F">
        <w:rPr>
          <w:rFonts w:asciiTheme="minorHAnsi" w:hAnsiTheme="minorHAnsi" w:cstheme="minorHAnsi"/>
          <w:sz w:val="22"/>
        </w:rPr>
        <w:t xml:space="preserve">To achieve Government of India’s ambitious targets of ending TB, the National TB programme require an escalated resource envelope to ensure uninterrupted and timely implementation of the programme activities. Political commitment demonstrated with more than doubling the investment over last three years needs further continuation with much more investments for TB care and control. An estimated budget of </w:t>
      </w:r>
      <w:r w:rsidRPr="00854D5E">
        <w:rPr>
          <w:rFonts w:asciiTheme="minorHAnsi" w:hAnsiTheme="minorHAnsi" w:cstheme="minorHAnsi"/>
          <w:b/>
          <w:sz w:val="22"/>
        </w:rPr>
        <w:t>₹24,091.5</w:t>
      </w:r>
      <w:r w:rsidR="00854D5E" w:rsidRPr="00854D5E">
        <w:rPr>
          <w:rFonts w:asciiTheme="minorHAnsi" w:hAnsiTheme="minorHAnsi" w:cstheme="minorHAnsi"/>
          <w:b/>
          <w:sz w:val="22"/>
        </w:rPr>
        <w:t>4</w:t>
      </w:r>
      <w:r w:rsidRPr="0087755F">
        <w:rPr>
          <w:rFonts w:asciiTheme="minorHAnsi" w:hAnsiTheme="minorHAnsi" w:cstheme="minorHAnsi"/>
          <w:sz w:val="22"/>
        </w:rPr>
        <w:t xml:space="preserve"> crores will be required over next four years to transform TB control and move towards the national goal of ending TB as a major public health problem by 2025. This resource envelope envisages to cover the following activities as has been detailed in the prior chapters.</w:t>
      </w:r>
    </w:p>
    <w:p w14:paraId="2BDBF7CC" w14:textId="77777777" w:rsidR="00A9591E" w:rsidRPr="0087755F" w:rsidRDefault="00A9591E" w:rsidP="003252EB">
      <w:pPr>
        <w:pStyle w:val="ListParagraph"/>
        <w:numPr>
          <w:ilvl w:val="0"/>
          <w:numId w:val="116"/>
        </w:numPr>
        <w:spacing w:before="0"/>
        <w:jc w:val="both"/>
        <w:rPr>
          <w:rFonts w:asciiTheme="minorHAnsi" w:hAnsiTheme="minorHAnsi" w:cstheme="minorHAnsi"/>
          <w:sz w:val="22"/>
        </w:rPr>
      </w:pPr>
      <w:r w:rsidRPr="0087755F">
        <w:rPr>
          <w:rFonts w:asciiTheme="minorHAnsi" w:hAnsiTheme="minorHAnsi" w:cstheme="minorHAnsi"/>
          <w:sz w:val="22"/>
        </w:rPr>
        <w:t>Large scale strengthening of the existing programme activities</w:t>
      </w:r>
    </w:p>
    <w:p w14:paraId="30BE0B73" w14:textId="77777777" w:rsidR="00A9591E" w:rsidRPr="0087755F" w:rsidRDefault="00A9591E" w:rsidP="0087755F">
      <w:pPr>
        <w:pStyle w:val="ListParagraph"/>
        <w:numPr>
          <w:ilvl w:val="0"/>
          <w:numId w:val="116"/>
        </w:numPr>
        <w:jc w:val="both"/>
        <w:rPr>
          <w:rFonts w:asciiTheme="minorHAnsi" w:hAnsiTheme="minorHAnsi" w:cstheme="minorHAnsi"/>
          <w:sz w:val="22"/>
        </w:rPr>
      </w:pPr>
      <w:r w:rsidRPr="0087755F">
        <w:rPr>
          <w:rFonts w:asciiTheme="minorHAnsi" w:hAnsiTheme="minorHAnsi" w:cstheme="minorHAnsi"/>
          <w:sz w:val="22"/>
        </w:rPr>
        <w:t xml:space="preserve">Strengthening of activities to reach patients seeking care from private providers </w:t>
      </w:r>
    </w:p>
    <w:p w14:paraId="05CA196A" w14:textId="77777777" w:rsidR="00A9591E" w:rsidRPr="0087755F" w:rsidRDefault="00A9591E" w:rsidP="0087755F">
      <w:pPr>
        <w:pStyle w:val="ListParagraph"/>
        <w:numPr>
          <w:ilvl w:val="0"/>
          <w:numId w:val="116"/>
        </w:numPr>
        <w:jc w:val="both"/>
        <w:rPr>
          <w:rFonts w:asciiTheme="minorHAnsi" w:hAnsiTheme="minorHAnsi" w:cstheme="minorHAnsi"/>
          <w:sz w:val="22"/>
        </w:rPr>
      </w:pPr>
      <w:r w:rsidRPr="0087755F">
        <w:rPr>
          <w:rFonts w:asciiTheme="minorHAnsi" w:hAnsiTheme="minorHAnsi" w:cstheme="minorHAnsi"/>
          <w:sz w:val="22"/>
        </w:rPr>
        <w:t xml:space="preserve">Increase case detection by expanding systematic screening in key populations with rapid molecular diagnostics </w:t>
      </w:r>
    </w:p>
    <w:p w14:paraId="353DBACB" w14:textId="77777777" w:rsidR="00A9591E" w:rsidRPr="0087755F" w:rsidRDefault="00A9591E" w:rsidP="0087755F">
      <w:pPr>
        <w:pStyle w:val="ListParagraph"/>
        <w:numPr>
          <w:ilvl w:val="0"/>
          <w:numId w:val="116"/>
        </w:numPr>
        <w:jc w:val="both"/>
        <w:rPr>
          <w:rFonts w:asciiTheme="minorHAnsi" w:hAnsiTheme="minorHAnsi" w:cstheme="minorHAnsi"/>
          <w:sz w:val="22"/>
        </w:rPr>
      </w:pPr>
      <w:r w:rsidRPr="0087755F">
        <w:rPr>
          <w:rFonts w:asciiTheme="minorHAnsi" w:hAnsiTheme="minorHAnsi" w:cstheme="minorHAnsi"/>
          <w:sz w:val="22"/>
        </w:rPr>
        <w:t>Strengthen the national surveillance and tracking system for TB patients</w:t>
      </w:r>
    </w:p>
    <w:p w14:paraId="1C33DBEF" w14:textId="77777777" w:rsidR="00A9591E" w:rsidRPr="0087755F" w:rsidRDefault="00A9591E" w:rsidP="0087755F">
      <w:pPr>
        <w:pStyle w:val="ListParagraph"/>
        <w:numPr>
          <w:ilvl w:val="0"/>
          <w:numId w:val="116"/>
        </w:numPr>
        <w:jc w:val="both"/>
        <w:rPr>
          <w:rFonts w:asciiTheme="minorHAnsi" w:hAnsiTheme="minorHAnsi" w:cstheme="minorHAnsi"/>
          <w:sz w:val="22"/>
        </w:rPr>
      </w:pPr>
      <w:r w:rsidRPr="0087755F">
        <w:rPr>
          <w:rFonts w:asciiTheme="minorHAnsi" w:hAnsiTheme="minorHAnsi" w:cstheme="minorHAnsi"/>
          <w:sz w:val="22"/>
        </w:rPr>
        <w:t>Provide patient support via DBT to address catastrophic costs and improve nutrition with scale-up expansion to private sector patients</w:t>
      </w:r>
    </w:p>
    <w:p w14:paraId="0C891FAB" w14:textId="77777777" w:rsidR="00A9591E" w:rsidRPr="0087755F" w:rsidRDefault="00A9591E" w:rsidP="0087755F">
      <w:pPr>
        <w:pStyle w:val="ListParagraph"/>
        <w:numPr>
          <w:ilvl w:val="0"/>
          <w:numId w:val="116"/>
        </w:numPr>
        <w:jc w:val="both"/>
        <w:rPr>
          <w:rFonts w:asciiTheme="minorHAnsi" w:hAnsiTheme="minorHAnsi" w:cstheme="minorHAnsi"/>
          <w:sz w:val="22"/>
        </w:rPr>
      </w:pPr>
      <w:r w:rsidRPr="0087755F">
        <w:rPr>
          <w:rFonts w:asciiTheme="minorHAnsi" w:hAnsiTheme="minorHAnsi" w:cstheme="minorHAnsi"/>
          <w:sz w:val="22"/>
        </w:rPr>
        <w:t>Further strengthening of supply chain management and financial management systems using ICT tools</w:t>
      </w:r>
    </w:p>
    <w:p w14:paraId="03908D4F" w14:textId="77777777" w:rsidR="00A9591E" w:rsidRPr="0087755F" w:rsidRDefault="00A9591E" w:rsidP="0087755F">
      <w:pPr>
        <w:pStyle w:val="ListParagraph"/>
        <w:numPr>
          <w:ilvl w:val="0"/>
          <w:numId w:val="116"/>
        </w:numPr>
        <w:jc w:val="both"/>
        <w:rPr>
          <w:rFonts w:asciiTheme="minorHAnsi" w:hAnsiTheme="minorHAnsi" w:cstheme="minorHAnsi"/>
          <w:sz w:val="22"/>
        </w:rPr>
      </w:pPr>
      <w:r w:rsidRPr="0087755F">
        <w:rPr>
          <w:rFonts w:asciiTheme="minorHAnsi" w:hAnsiTheme="minorHAnsi" w:cstheme="minorHAnsi"/>
          <w:sz w:val="22"/>
        </w:rPr>
        <w:t>Large-scale implementation of the management of the Latent TB Infection</w:t>
      </w:r>
    </w:p>
    <w:p w14:paraId="5B89CD4A" w14:textId="77777777" w:rsidR="00A9591E" w:rsidRPr="0087755F" w:rsidRDefault="00A9591E" w:rsidP="0087755F">
      <w:pPr>
        <w:jc w:val="both"/>
        <w:rPr>
          <w:rFonts w:asciiTheme="minorHAnsi" w:hAnsiTheme="minorHAnsi" w:cstheme="minorHAnsi"/>
          <w:noProof/>
          <w:sz w:val="22"/>
          <w:lang w:val="en-IN" w:eastAsia="en-IN" w:bidi="hi-IN"/>
        </w:rPr>
      </w:pPr>
      <w:r w:rsidRPr="0087755F">
        <w:rPr>
          <w:rFonts w:asciiTheme="minorHAnsi" w:hAnsiTheme="minorHAnsi" w:cstheme="minorHAnsi"/>
          <w:sz w:val="22"/>
        </w:rPr>
        <w:t xml:space="preserve">Detecting and treating all TB, DRTB and Latent TB patients will require wide spread use of newer diagnostic tools, newer treatment regiments and innovative methods to manage TB patients using information technology. This will require large scale investments. </w:t>
      </w:r>
      <w:r w:rsidRPr="0087755F">
        <w:rPr>
          <w:rFonts w:asciiTheme="minorHAnsi" w:hAnsiTheme="minorHAnsi" w:cstheme="minorHAnsi"/>
          <w:noProof/>
          <w:sz w:val="22"/>
          <w:lang w:val="en-IN" w:eastAsia="en-IN" w:bidi="hi-IN"/>
        </w:rPr>
        <w:t>The details of the resources required are given below in the tables.</w:t>
      </w:r>
    </w:p>
    <w:p w14:paraId="7C45543F" w14:textId="4541561A" w:rsidR="00A9591E" w:rsidRPr="0087755F" w:rsidRDefault="00A9591E" w:rsidP="00CE294B">
      <w:pPr>
        <w:spacing w:before="0" w:after="0"/>
        <w:rPr>
          <w:rFonts w:asciiTheme="minorHAnsi" w:hAnsiTheme="minorHAnsi" w:cstheme="minorHAnsi"/>
          <w:b/>
          <w:color w:val="C86A07"/>
          <w:sz w:val="22"/>
        </w:rPr>
      </w:pPr>
      <w:r w:rsidRPr="0087755F">
        <w:rPr>
          <w:rFonts w:asciiTheme="minorHAnsi" w:hAnsiTheme="minorHAnsi" w:cstheme="minorHAnsi"/>
          <w:b/>
          <w:color w:val="C86A07"/>
          <w:sz w:val="22"/>
        </w:rPr>
        <w:t xml:space="preserve">Summary of the funding for TB Control in India: </w:t>
      </w:r>
    </w:p>
    <w:p w14:paraId="0ABDFA30" w14:textId="65E2A08A" w:rsidR="00A9591E" w:rsidRPr="0087755F" w:rsidRDefault="00854D5E" w:rsidP="003252EB">
      <w:pPr>
        <w:spacing w:before="0" w:after="0"/>
        <w:ind w:hanging="180"/>
        <w:jc w:val="center"/>
        <w:rPr>
          <w:rFonts w:asciiTheme="minorHAnsi" w:hAnsiTheme="minorHAnsi" w:cstheme="minorHAnsi"/>
          <w:b/>
          <w:color w:val="C86A07"/>
          <w:sz w:val="22"/>
        </w:rPr>
      </w:pPr>
      <w:r w:rsidRPr="007F4B45">
        <w:rPr>
          <w:noProof/>
          <w:lang w:val="en-IN" w:eastAsia="en-IN"/>
        </w:rPr>
        <w:drawing>
          <wp:inline distT="0" distB="0" distL="0" distR="0" wp14:anchorId="4235AE91" wp14:editId="005F9F2F">
            <wp:extent cx="5467350" cy="252914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2931" cy="2531728"/>
                    </a:xfrm>
                    <a:prstGeom prst="rect">
                      <a:avLst/>
                    </a:prstGeom>
                    <a:noFill/>
                    <a:ln>
                      <a:noFill/>
                    </a:ln>
                  </pic:spPr>
                </pic:pic>
              </a:graphicData>
            </a:graphic>
          </wp:inline>
        </w:drawing>
      </w:r>
    </w:p>
    <w:p w14:paraId="57DDB4BA" w14:textId="5942D1E4" w:rsidR="00A9591E" w:rsidRPr="0087755F" w:rsidRDefault="003252EB" w:rsidP="003252EB">
      <w:pPr>
        <w:ind w:hanging="360"/>
        <w:rPr>
          <w:rFonts w:asciiTheme="minorHAnsi" w:hAnsiTheme="minorHAnsi" w:cstheme="minorHAnsi"/>
          <w:b/>
          <w:color w:val="C86A07"/>
          <w:sz w:val="22"/>
        </w:rPr>
      </w:pPr>
      <w:r>
        <w:rPr>
          <w:rFonts w:asciiTheme="minorHAnsi" w:hAnsiTheme="minorHAnsi" w:cstheme="minorHAnsi"/>
          <w:b/>
          <w:noProof/>
          <w:color w:val="C86A07"/>
          <w:sz w:val="28"/>
          <w:lang w:val="en-IN" w:eastAsia="en-IN"/>
        </w:rPr>
        <w:lastRenderedPageBreak/>
        <w:drawing>
          <wp:inline distT="0" distB="0" distL="0" distR="0" wp14:anchorId="737AEB98" wp14:editId="06F0A53E">
            <wp:extent cx="6362700" cy="292691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77388" cy="2933668"/>
                    </a:xfrm>
                    <a:prstGeom prst="rect">
                      <a:avLst/>
                    </a:prstGeom>
                    <a:noFill/>
                  </pic:spPr>
                </pic:pic>
              </a:graphicData>
            </a:graphic>
          </wp:inline>
        </w:drawing>
      </w:r>
    </w:p>
    <w:p w14:paraId="7DA15C4D" w14:textId="77777777" w:rsidR="00A9591E" w:rsidRPr="0087755F" w:rsidRDefault="00A9591E" w:rsidP="0087755F">
      <w:pPr>
        <w:pStyle w:val="ListParagraph"/>
        <w:numPr>
          <w:ilvl w:val="0"/>
          <w:numId w:val="119"/>
        </w:numPr>
        <w:jc w:val="both"/>
        <w:rPr>
          <w:rFonts w:asciiTheme="minorHAnsi" w:hAnsiTheme="minorHAnsi" w:cstheme="minorHAnsi"/>
          <w:b/>
          <w:bCs/>
          <w:sz w:val="22"/>
        </w:rPr>
      </w:pPr>
      <w:r w:rsidRPr="0087755F">
        <w:rPr>
          <w:rFonts w:asciiTheme="minorHAnsi" w:hAnsiTheme="minorHAnsi" w:cstheme="minorHAnsi"/>
          <w:b/>
          <w:bCs/>
          <w:sz w:val="22"/>
        </w:rPr>
        <w:t>Existing activities including enhancement:</w:t>
      </w:r>
    </w:p>
    <w:p w14:paraId="325EF4FA" w14:textId="65C5D328" w:rsidR="00A9591E" w:rsidRPr="0087755F" w:rsidRDefault="00A9591E" w:rsidP="0087755F">
      <w:pPr>
        <w:ind w:left="720"/>
        <w:jc w:val="both"/>
        <w:rPr>
          <w:rFonts w:asciiTheme="minorHAnsi" w:hAnsiTheme="minorHAnsi" w:cstheme="minorHAnsi"/>
          <w:sz w:val="22"/>
        </w:rPr>
      </w:pPr>
      <w:r w:rsidRPr="0087755F">
        <w:rPr>
          <w:rFonts w:asciiTheme="minorHAnsi" w:hAnsiTheme="minorHAnsi" w:cstheme="minorHAnsi"/>
          <w:sz w:val="22"/>
        </w:rPr>
        <w:t xml:space="preserve">NSP includes management of the 9 M DSTB patients with 60.78 M presumptive TB / TB </w:t>
      </w:r>
      <w:r w:rsidR="00307213">
        <w:rPr>
          <w:rFonts w:asciiTheme="minorHAnsi" w:hAnsiTheme="minorHAnsi" w:cstheme="minorHAnsi"/>
          <w:sz w:val="22"/>
        </w:rPr>
        <w:t>patients</w:t>
      </w:r>
      <w:r w:rsidRPr="0087755F">
        <w:rPr>
          <w:rFonts w:asciiTheme="minorHAnsi" w:hAnsiTheme="minorHAnsi" w:cstheme="minorHAnsi"/>
          <w:sz w:val="22"/>
        </w:rPr>
        <w:t xml:space="preserve"> examination. 46.52 M diagnostic smear microscopy, ~</w:t>
      </w:r>
      <w:r w:rsidR="00CE294B">
        <w:rPr>
          <w:rFonts w:asciiTheme="minorHAnsi" w:hAnsiTheme="minorHAnsi" w:cstheme="minorHAnsi"/>
          <w:sz w:val="22"/>
        </w:rPr>
        <w:t>16</w:t>
      </w:r>
      <w:r w:rsidRPr="0087755F">
        <w:rPr>
          <w:rFonts w:asciiTheme="minorHAnsi" w:hAnsiTheme="minorHAnsi" w:cstheme="minorHAnsi"/>
          <w:sz w:val="22"/>
        </w:rPr>
        <w:t>.</w:t>
      </w:r>
      <w:r w:rsidR="00CE294B">
        <w:rPr>
          <w:rFonts w:asciiTheme="minorHAnsi" w:hAnsiTheme="minorHAnsi" w:cstheme="minorHAnsi"/>
          <w:sz w:val="22"/>
        </w:rPr>
        <w:t>08</w:t>
      </w:r>
      <w:r w:rsidRPr="0087755F">
        <w:rPr>
          <w:rFonts w:asciiTheme="minorHAnsi" w:hAnsiTheme="minorHAnsi" w:cstheme="minorHAnsi"/>
          <w:sz w:val="22"/>
        </w:rPr>
        <w:t xml:space="preserve"> M CBNAAT tests for diagnosis of TB/DRTB through the existing 1530 CBNAAT machines to expand to ~7942 sites and additional 372 digital X-ray units expecting notification of 273,898 DRTB patients including 10,142 X-DRTB patients and 319,596 H-mono/poly resistant TB patients. Sustenance of  existing C&amp;DST laboratory network to perform 5 million cultures, ~50,000 LC-SLD, 3.36 M LPA-FLD, 806,000 LPA-SLD with coverage of EQA for all CBNAAT machines/sites and accredited C&amp;DST laboratories.  ACF with 7 rounds of ACF campaigns apart from the routine and active screening of key population in prioritized districts for early case detection.  </w:t>
      </w:r>
    </w:p>
    <w:p w14:paraId="7FE8F029" w14:textId="77777777" w:rsidR="00A9591E" w:rsidRPr="0087755F" w:rsidRDefault="00A9591E" w:rsidP="00D37B25">
      <w:pPr>
        <w:pStyle w:val="ListParagraph"/>
        <w:numPr>
          <w:ilvl w:val="0"/>
          <w:numId w:val="119"/>
        </w:numPr>
        <w:contextualSpacing w:val="0"/>
        <w:jc w:val="both"/>
        <w:rPr>
          <w:rFonts w:asciiTheme="minorHAnsi" w:hAnsiTheme="minorHAnsi" w:cstheme="minorHAnsi"/>
          <w:b/>
          <w:bCs/>
          <w:sz w:val="22"/>
        </w:rPr>
      </w:pPr>
      <w:r w:rsidRPr="0087755F">
        <w:rPr>
          <w:rFonts w:asciiTheme="minorHAnsi" w:hAnsiTheme="minorHAnsi" w:cstheme="minorHAnsi"/>
          <w:b/>
          <w:bCs/>
          <w:sz w:val="22"/>
        </w:rPr>
        <w:t xml:space="preserve">Private sector engagement – transition of PPSA and scale up: </w:t>
      </w:r>
    </w:p>
    <w:p w14:paraId="265250D4" w14:textId="14846A3F" w:rsidR="00A9591E" w:rsidRPr="0087755F" w:rsidRDefault="00A9591E" w:rsidP="00D37B25">
      <w:pPr>
        <w:pStyle w:val="ListParagraph"/>
        <w:contextualSpacing w:val="0"/>
        <w:jc w:val="both"/>
        <w:rPr>
          <w:rFonts w:asciiTheme="minorHAnsi" w:hAnsiTheme="minorHAnsi" w:cstheme="minorHAnsi"/>
          <w:b/>
          <w:bCs/>
          <w:sz w:val="22"/>
        </w:rPr>
      </w:pPr>
      <w:r w:rsidRPr="0087755F">
        <w:rPr>
          <w:rFonts w:asciiTheme="minorHAnsi" w:hAnsiTheme="minorHAnsi" w:cstheme="minorHAnsi"/>
          <w:sz w:val="22"/>
        </w:rPr>
        <w:t xml:space="preserve">Implementation of the partnership guidelines with transition and scale-up of the externally funded JEET project with decentralized mechanism through the STSU at state level with mentoring by NTSU under NTEP. Intended to reach 4.6 million TB patients from private sector with increase in coverage of districts from 130 to 350 with support linkages for remaining districts across the country through PPSA. Quality of care improvement envisaged with improving proportion of bacteriologically confirmed cases and testing status for HIV and Blood sugar for appropriate linkages with respective programs. Includes availability of the drugs supported by program for 2.52 million TB patients through social marketing / e-logistics / PPSA mechanism. Private providers </w:t>
      </w:r>
      <w:r w:rsidR="00307213" w:rsidRPr="0087755F">
        <w:rPr>
          <w:rFonts w:asciiTheme="minorHAnsi" w:hAnsiTheme="minorHAnsi" w:cstheme="minorHAnsi"/>
          <w:sz w:val="22"/>
        </w:rPr>
        <w:t>incentivized</w:t>
      </w:r>
      <w:r w:rsidRPr="0087755F">
        <w:rPr>
          <w:rFonts w:asciiTheme="minorHAnsi" w:hAnsiTheme="minorHAnsi" w:cstheme="minorHAnsi"/>
          <w:sz w:val="22"/>
        </w:rPr>
        <w:t xml:space="preserve"> for 4.38 million TB notifications and providing treatment outcome for 3.68 million TB patients using the Nikshay platform for ensuring timely public health action.</w:t>
      </w:r>
    </w:p>
    <w:p w14:paraId="3EF39947" w14:textId="77777777" w:rsidR="00A9591E" w:rsidRPr="0087755F" w:rsidRDefault="00A9591E" w:rsidP="00D37B25">
      <w:pPr>
        <w:pStyle w:val="ListParagraph"/>
        <w:numPr>
          <w:ilvl w:val="0"/>
          <w:numId w:val="119"/>
        </w:numPr>
        <w:contextualSpacing w:val="0"/>
        <w:jc w:val="both"/>
        <w:rPr>
          <w:rFonts w:asciiTheme="minorHAnsi" w:hAnsiTheme="minorHAnsi" w:cstheme="minorHAnsi"/>
          <w:b/>
          <w:bCs/>
          <w:sz w:val="22"/>
        </w:rPr>
      </w:pPr>
      <w:r w:rsidRPr="0087755F">
        <w:rPr>
          <w:rFonts w:asciiTheme="minorHAnsi" w:hAnsiTheme="minorHAnsi" w:cstheme="minorHAnsi"/>
          <w:b/>
          <w:bCs/>
          <w:sz w:val="22"/>
        </w:rPr>
        <w:t>Digital Information Ecosystem for TB Care:</w:t>
      </w:r>
    </w:p>
    <w:p w14:paraId="224BFE7A" w14:textId="7B87EBFE" w:rsidR="00A9591E" w:rsidRDefault="00A9591E" w:rsidP="00D37B25">
      <w:pPr>
        <w:pStyle w:val="ListParagraph"/>
        <w:contextualSpacing w:val="0"/>
        <w:jc w:val="both"/>
        <w:rPr>
          <w:rFonts w:asciiTheme="minorHAnsi" w:hAnsiTheme="minorHAnsi" w:cstheme="minorHAnsi"/>
          <w:sz w:val="22"/>
        </w:rPr>
      </w:pPr>
      <w:r w:rsidRPr="0087755F">
        <w:rPr>
          <w:rFonts w:asciiTheme="minorHAnsi" w:hAnsiTheme="minorHAnsi" w:cstheme="minorHAnsi"/>
          <w:sz w:val="22"/>
        </w:rPr>
        <w:t>It includes all aspects related to the development and maintenance of all current and future ICT interventions/projects (LTBI, TB patient management, TB labs, supply chain management, adherence technologies, automated reports and dashboards, contracting and project management, institutional repository, program website, etc), purchased services (such as hosting, domains, BI tools and related software licenses, AI platforms, security services, PRI lines, SMS, call centre) in NTEP.</w:t>
      </w:r>
      <w:r w:rsidR="00860AEB">
        <w:rPr>
          <w:rFonts w:asciiTheme="minorHAnsi" w:hAnsiTheme="minorHAnsi" w:cstheme="minorHAnsi"/>
          <w:sz w:val="22"/>
        </w:rPr>
        <w:t xml:space="preserve"> </w:t>
      </w:r>
    </w:p>
    <w:p w14:paraId="5469D7C8" w14:textId="77777777" w:rsidR="00860AEB" w:rsidRPr="0087755F" w:rsidRDefault="00860AEB" w:rsidP="00D37B25">
      <w:pPr>
        <w:pStyle w:val="ListParagraph"/>
        <w:contextualSpacing w:val="0"/>
        <w:jc w:val="both"/>
        <w:rPr>
          <w:rFonts w:asciiTheme="minorHAnsi" w:hAnsiTheme="minorHAnsi" w:cstheme="minorHAnsi"/>
          <w:sz w:val="22"/>
        </w:rPr>
      </w:pPr>
    </w:p>
    <w:p w14:paraId="586E6550" w14:textId="77777777" w:rsidR="00A9591E" w:rsidRPr="0087755F" w:rsidRDefault="00A9591E" w:rsidP="00D37B25">
      <w:pPr>
        <w:pStyle w:val="ListParagraph"/>
        <w:numPr>
          <w:ilvl w:val="0"/>
          <w:numId w:val="119"/>
        </w:numPr>
        <w:contextualSpacing w:val="0"/>
        <w:jc w:val="both"/>
        <w:rPr>
          <w:rFonts w:asciiTheme="minorHAnsi" w:hAnsiTheme="minorHAnsi" w:cstheme="minorHAnsi"/>
          <w:b/>
          <w:bCs/>
          <w:sz w:val="22"/>
        </w:rPr>
      </w:pPr>
      <w:r w:rsidRPr="0087755F">
        <w:rPr>
          <w:rFonts w:asciiTheme="minorHAnsi" w:hAnsiTheme="minorHAnsi" w:cstheme="minorHAnsi"/>
          <w:b/>
          <w:bCs/>
          <w:sz w:val="22"/>
        </w:rPr>
        <w:lastRenderedPageBreak/>
        <w:t>Latent TB Infection management:</w:t>
      </w:r>
    </w:p>
    <w:p w14:paraId="1E31837C" w14:textId="3D136374" w:rsidR="00A9591E" w:rsidRPr="0087755F" w:rsidRDefault="00A9591E" w:rsidP="00D37B25">
      <w:pPr>
        <w:pStyle w:val="ListParagraph"/>
        <w:contextualSpacing w:val="0"/>
        <w:jc w:val="both"/>
        <w:rPr>
          <w:rFonts w:asciiTheme="minorHAnsi" w:hAnsiTheme="minorHAnsi" w:cstheme="minorHAnsi"/>
          <w:sz w:val="22"/>
        </w:rPr>
      </w:pPr>
      <w:r w:rsidRPr="0087755F">
        <w:rPr>
          <w:rFonts w:asciiTheme="minorHAnsi" w:hAnsiTheme="minorHAnsi" w:cstheme="minorHAnsi"/>
          <w:sz w:val="22"/>
        </w:rPr>
        <w:t xml:space="preserve">NSP Includes TPT management for 6.71 million (M) person which includes 4.89 </w:t>
      </w:r>
      <w:r w:rsidR="00307213" w:rsidRPr="0087755F">
        <w:rPr>
          <w:rFonts w:asciiTheme="minorHAnsi" w:hAnsiTheme="minorHAnsi" w:cstheme="minorHAnsi"/>
          <w:sz w:val="22"/>
        </w:rPr>
        <w:t>M household</w:t>
      </w:r>
      <w:r w:rsidRPr="0087755F">
        <w:rPr>
          <w:rFonts w:asciiTheme="minorHAnsi" w:hAnsiTheme="minorHAnsi" w:cstheme="minorHAnsi"/>
          <w:sz w:val="22"/>
        </w:rPr>
        <w:t xml:space="preserve"> contacts of pulmonary TB, 1.64 M PLHIV and 0.17M at risk other population to be covered. It includes 2.14 Million tests for LTBI over four years of implementation after evidence generation in initial years. It includes provision for the patient support for diagnostics and treatment adherence through the DOT Provider. It also includes the cost of additional HR at sub-</w:t>
      </w:r>
      <w:r w:rsidR="00307213" w:rsidRPr="0087755F">
        <w:rPr>
          <w:rFonts w:asciiTheme="minorHAnsi" w:hAnsiTheme="minorHAnsi" w:cstheme="minorHAnsi"/>
          <w:sz w:val="22"/>
        </w:rPr>
        <w:t>district</w:t>
      </w:r>
      <w:r w:rsidRPr="0087755F">
        <w:rPr>
          <w:rFonts w:asciiTheme="minorHAnsi" w:hAnsiTheme="minorHAnsi" w:cstheme="minorHAnsi"/>
          <w:sz w:val="22"/>
        </w:rPr>
        <w:t xml:space="preserve"> level to manage 6.71 million patients and additional HR at field, state and central level for supervision and monitoring. It includes the cost of the designing, development, implementation and upgradation of the Nikshay LTBI modules / system with capacity to manage 10-20 Million </w:t>
      </w:r>
      <w:r w:rsidR="00307213">
        <w:rPr>
          <w:rFonts w:asciiTheme="minorHAnsi" w:hAnsiTheme="minorHAnsi" w:cstheme="minorHAnsi"/>
          <w:sz w:val="22"/>
        </w:rPr>
        <w:t>patients’</w:t>
      </w:r>
      <w:r w:rsidRPr="0087755F">
        <w:rPr>
          <w:rFonts w:asciiTheme="minorHAnsi" w:hAnsiTheme="minorHAnsi" w:cstheme="minorHAnsi"/>
          <w:sz w:val="22"/>
        </w:rPr>
        <w:t xml:space="preserve"> data over period of time. It includes the additional support for supervision and monitoring for the specific staff including provision of hand held devises for real time monitoring of the patients. It includes the cost for training, advocacy and communication related to LTBI till the level of 150,000 Health &amp; Wellness centres across the country by end of 2023-24.</w:t>
      </w:r>
    </w:p>
    <w:p w14:paraId="6C8DE238" w14:textId="77777777" w:rsidR="00A9591E" w:rsidRPr="00D37B25" w:rsidRDefault="00A9591E" w:rsidP="00D37B25">
      <w:pPr>
        <w:pStyle w:val="ListParagraph"/>
        <w:numPr>
          <w:ilvl w:val="0"/>
          <w:numId w:val="119"/>
        </w:numPr>
        <w:contextualSpacing w:val="0"/>
        <w:jc w:val="both"/>
        <w:rPr>
          <w:rFonts w:asciiTheme="minorHAnsi" w:hAnsiTheme="minorHAnsi" w:cstheme="minorHAnsi"/>
          <w:b/>
          <w:bCs/>
          <w:sz w:val="22"/>
        </w:rPr>
      </w:pPr>
      <w:r w:rsidRPr="00D37B25">
        <w:rPr>
          <w:rFonts w:asciiTheme="minorHAnsi" w:hAnsiTheme="minorHAnsi" w:cstheme="minorHAnsi"/>
          <w:b/>
          <w:bCs/>
          <w:sz w:val="22"/>
        </w:rPr>
        <w:t>Patient Social &amp; Nutritional support:</w:t>
      </w:r>
    </w:p>
    <w:p w14:paraId="1A2C64B3" w14:textId="55C83E69" w:rsidR="00A9591E" w:rsidRPr="00A9591E" w:rsidRDefault="00A9591E" w:rsidP="0087755F">
      <w:pPr>
        <w:ind w:left="720"/>
        <w:jc w:val="both"/>
        <w:rPr>
          <w:rFonts w:asciiTheme="minorHAnsi" w:hAnsiTheme="minorHAnsi" w:cstheme="minorHAnsi"/>
          <w:sz w:val="22"/>
        </w:rPr>
      </w:pPr>
      <w:r w:rsidRPr="00A9591E">
        <w:rPr>
          <w:rFonts w:asciiTheme="minorHAnsi" w:hAnsiTheme="minorHAnsi" w:cstheme="minorHAnsi"/>
          <w:sz w:val="22"/>
        </w:rPr>
        <w:t>Includes sustenance of Rs.500 per month during treatment of TB via DBT to the patient as nutritional support for the notified TB and DRTB patients. Projected to reach to 90% of the patients by end 2023-24 with an intent to cover at least 7.81 Million patients. Support provided in installments of Rs. 1000 at notification and thereafter every 2 months via direct benefit tran</w:t>
      </w:r>
      <w:r w:rsidR="008125E9">
        <w:rPr>
          <w:rFonts w:asciiTheme="minorHAnsi" w:hAnsiTheme="minorHAnsi" w:cstheme="minorHAnsi"/>
          <w:sz w:val="22"/>
        </w:rPr>
        <w:t>s</w:t>
      </w:r>
      <w:r w:rsidRPr="00A9591E">
        <w:rPr>
          <w:rFonts w:asciiTheme="minorHAnsi" w:hAnsiTheme="minorHAnsi" w:cstheme="minorHAnsi"/>
          <w:sz w:val="22"/>
        </w:rPr>
        <w:t>fer (DBT) in beneficiary bank account for nutritional support.</w:t>
      </w:r>
    </w:p>
    <w:p w14:paraId="341FDF4D" w14:textId="77777777" w:rsidR="00A9591E" w:rsidRPr="00A9591E" w:rsidRDefault="00A9591E" w:rsidP="0087755F">
      <w:pPr>
        <w:jc w:val="both"/>
        <w:rPr>
          <w:rFonts w:asciiTheme="minorHAnsi" w:hAnsiTheme="minorHAnsi" w:cstheme="minorHAnsi"/>
          <w:b/>
          <w:color w:val="C86A07"/>
          <w:sz w:val="28"/>
        </w:rPr>
      </w:pPr>
      <w:r w:rsidRPr="00A9591E">
        <w:rPr>
          <w:rFonts w:asciiTheme="minorHAnsi" w:hAnsiTheme="minorHAnsi" w:cstheme="minorHAnsi"/>
          <w:b/>
          <w:color w:val="C86A07"/>
          <w:sz w:val="28"/>
        </w:rPr>
        <w:t>National Strategic Plan for Tuberculosis - Budget for Financial year - 2020-21 to 2023-24</w:t>
      </w:r>
    </w:p>
    <w:p w14:paraId="45C65042" w14:textId="6218E891" w:rsidR="00A9591E" w:rsidRPr="00A9591E" w:rsidRDefault="00D37B25" w:rsidP="00FF3293">
      <w:pPr>
        <w:ind w:hanging="540"/>
        <w:jc w:val="both"/>
        <w:rPr>
          <w:rFonts w:asciiTheme="minorHAnsi" w:hAnsiTheme="minorHAnsi" w:cstheme="minorHAnsi"/>
          <w:b/>
          <w:color w:val="C86A07"/>
          <w:sz w:val="28"/>
        </w:rPr>
      </w:pPr>
      <w:r w:rsidRPr="003772CE">
        <w:rPr>
          <w:noProof/>
          <w:lang w:val="en-IN" w:eastAsia="en-IN"/>
        </w:rPr>
        <w:drawing>
          <wp:inline distT="0" distB="0" distL="0" distR="0" wp14:anchorId="709EE31B" wp14:editId="53DD1C2A">
            <wp:extent cx="6562725" cy="16032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96211" cy="1611417"/>
                    </a:xfrm>
                    <a:prstGeom prst="rect">
                      <a:avLst/>
                    </a:prstGeom>
                    <a:noFill/>
                    <a:ln>
                      <a:noFill/>
                    </a:ln>
                  </pic:spPr>
                </pic:pic>
              </a:graphicData>
            </a:graphic>
          </wp:inline>
        </w:drawing>
      </w:r>
    </w:p>
    <w:tbl>
      <w:tblPr>
        <w:tblW w:w="10326" w:type="dxa"/>
        <w:tblInd w:w="-342" w:type="dxa"/>
        <w:tblCellMar>
          <w:left w:w="58" w:type="dxa"/>
          <w:right w:w="29" w:type="dxa"/>
        </w:tblCellMar>
        <w:tblLook w:val="04A0" w:firstRow="1" w:lastRow="0" w:firstColumn="1" w:lastColumn="0" w:noHBand="0" w:noVBand="1"/>
      </w:tblPr>
      <w:tblGrid>
        <w:gridCol w:w="760"/>
        <w:gridCol w:w="3650"/>
        <w:gridCol w:w="990"/>
        <w:gridCol w:w="990"/>
        <w:gridCol w:w="1080"/>
        <w:gridCol w:w="990"/>
        <w:gridCol w:w="1056"/>
        <w:gridCol w:w="810"/>
      </w:tblGrid>
      <w:tr w:rsidR="00D37B25" w:rsidRPr="00D37B25" w14:paraId="200A649C" w14:textId="77777777" w:rsidTr="00D37B25">
        <w:trPr>
          <w:trHeight w:val="29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C32F9" w14:textId="77777777" w:rsidR="00D37B25" w:rsidRPr="00D37B25" w:rsidRDefault="00D37B25" w:rsidP="00D37B25">
            <w:pPr>
              <w:spacing w:before="0" w:after="0"/>
              <w:jc w:val="center"/>
              <w:rPr>
                <w:rFonts w:asciiTheme="minorHAnsi" w:eastAsia="Times New Roman" w:hAnsiTheme="minorHAnsi" w:cstheme="minorHAnsi"/>
                <w:b/>
                <w:bCs/>
                <w:color w:val="000000"/>
                <w:sz w:val="22"/>
                <w:lang w:val="en-IN" w:eastAsia="en-IN" w:bidi="hi-IN"/>
              </w:rPr>
            </w:pPr>
            <w:r w:rsidRPr="00D37B25">
              <w:rPr>
                <w:rFonts w:asciiTheme="minorHAnsi" w:eastAsia="Times New Roman" w:hAnsiTheme="minorHAnsi" w:cstheme="minorHAnsi"/>
                <w:b/>
                <w:bCs/>
                <w:color w:val="000000"/>
                <w:sz w:val="22"/>
                <w:lang w:val="en-IN" w:eastAsia="en-IN" w:bidi="hi-IN"/>
              </w:rPr>
              <w:t>Sr. No.</w:t>
            </w:r>
          </w:p>
        </w:tc>
        <w:tc>
          <w:tcPr>
            <w:tcW w:w="3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C5C64" w14:textId="77777777" w:rsidR="00D37B25" w:rsidRPr="00D37B25" w:rsidRDefault="00D37B25" w:rsidP="00D37B25">
            <w:pPr>
              <w:spacing w:before="0" w:after="0"/>
              <w:jc w:val="center"/>
              <w:rPr>
                <w:rFonts w:asciiTheme="minorHAnsi" w:eastAsia="Times New Roman" w:hAnsiTheme="minorHAnsi" w:cstheme="minorHAnsi"/>
                <w:b/>
                <w:bCs/>
                <w:color w:val="000000"/>
                <w:sz w:val="22"/>
                <w:lang w:val="en-IN" w:eastAsia="en-IN" w:bidi="hi-IN"/>
              </w:rPr>
            </w:pPr>
            <w:r w:rsidRPr="00D37B25">
              <w:rPr>
                <w:rFonts w:asciiTheme="minorHAnsi" w:eastAsia="Times New Roman" w:hAnsiTheme="minorHAnsi" w:cstheme="minorHAnsi"/>
                <w:b/>
                <w:bCs/>
                <w:color w:val="000000"/>
                <w:sz w:val="22"/>
                <w:lang w:val="en-IN" w:eastAsia="en-IN" w:bidi="hi-IN"/>
              </w:rPr>
              <w:t>Particulars</w:t>
            </w:r>
          </w:p>
        </w:tc>
        <w:tc>
          <w:tcPr>
            <w:tcW w:w="591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12B63" w14:textId="77777777" w:rsidR="00D37B25" w:rsidRPr="00D37B25" w:rsidRDefault="00D37B25" w:rsidP="00D37B25">
            <w:pPr>
              <w:spacing w:before="0" w:after="0"/>
              <w:jc w:val="center"/>
              <w:rPr>
                <w:rFonts w:asciiTheme="minorHAnsi" w:eastAsia="Times New Roman" w:hAnsiTheme="minorHAnsi" w:cstheme="minorHAnsi"/>
                <w:b/>
                <w:bCs/>
                <w:i/>
                <w:iCs/>
                <w:color w:val="000000"/>
                <w:sz w:val="22"/>
                <w:lang w:val="en-IN" w:eastAsia="en-IN" w:bidi="hi-IN"/>
              </w:rPr>
            </w:pPr>
            <w:r w:rsidRPr="00D37B25">
              <w:rPr>
                <w:rFonts w:asciiTheme="minorHAnsi" w:eastAsia="Times New Roman" w:hAnsiTheme="minorHAnsi" w:cstheme="minorHAnsi"/>
                <w:b/>
                <w:bCs/>
                <w:i/>
                <w:iCs/>
                <w:color w:val="000000"/>
                <w:sz w:val="22"/>
                <w:lang w:val="en-IN" w:eastAsia="en-IN" w:bidi="hi-IN"/>
              </w:rPr>
              <w:t xml:space="preserve">Amount in </w:t>
            </w:r>
            <w:r w:rsidRPr="00D37B25">
              <w:rPr>
                <w:rFonts w:asciiTheme="minorHAnsi" w:eastAsia="Times New Roman" w:hAnsiTheme="minorHAnsi" w:cstheme="minorHAnsi"/>
                <w:b/>
                <w:bCs/>
                <w:color w:val="000000"/>
                <w:sz w:val="22"/>
                <w:lang w:val="en-IN" w:eastAsia="en-IN" w:bidi="hi-IN"/>
              </w:rPr>
              <w:t>₹</w:t>
            </w:r>
            <w:r w:rsidRPr="00D37B25">
              <w:rPr>
                <w:rFonts w:asciiTheme="minorHAnsi" w:eastAsia="Times New Roman" w:hAnsiTheme="minorHAnsi" w:cstheme="minorHAnsi"/>
                <w:b/>
                <w:bCs/>
                <w:i/>
                <w:iCs/>
                <w:color w:val="000000"/>
                <w:sz w:val="22"/>
                <w:lang w:val="en-IN" w:eastAsia="en-IN" w:bidi="hi-IN"/>
              </w:rPr>
              <w:t xml:space="preserve"> / INR crore</w:t>
            </w:r>
          </w:p>
        </w:tc>
      </w:tr>
      <w:tr w:rsidR="00D37B25" w:rsidRPr="00D37B25" w14:paraId="40DE5934" w14:textId="77777777" w:rsidTr="00D37B25">
        <w:trPr>
          <w:trHeight w:val="37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49C28106" w14:textId="77777777" w:rsidR="00D37B25" w:rsidRPr="00D37B25" w:rsidRDefault="00D37B25" w:rsidP="00D37B25">
            <w:pPr>
              <w:spacing w:before="0" w:after="0"/>
              <w:rPr>
                <w:rFonts w:asciiTheme="minorHAnsi" w:eastAsia="Times New Roman" w:hAnsiTheme="minorHAnsi" w:cstheme="minorHAnsi"/>
                <w:bCs/>
                <w:color w:val="000000"/>
                <w:sz w:val="22"/>
                <w:lang w:val="en-IN" w:eastAsia="en-IN" w:bidi="hi-IN"/>
              </w:rPr>
            </w:pPr>
          </w:p>
        </w:tc>
        <w:tc>
          <w:tcPr>
            <w:tcW w:w="3650" w:type="dxa"/>
            <w:vMerge/>
            <w:tcBorders>
              <w:top w:val="single" w:sz="4" w:space="0" w:color="auto"/>
              <w:left w:val="single" w:sz="4" w:space="0" w:color="auto"/>
              <w:bottom w:val="single" w:sz="4" w:space="0" w:color="auto"/>
              <w:right w:val="single" w:sz="4" w:space="0" w:color="auto"/>
            </w:tcBorders>
            <w:vAlign w:val="center"/>
            <w:hideMark/>
          </w:tcPr>
          <w:p w14:paraId="45DCA08A" w14:textId="77777777" w:rsidR="00D37B25" w:rsidRPr="00D37B25" w:rsidRDefault="00D37B25" w:rsidP="00D37B25">
            <w:pPr>
              <w:spacing w:before="0" w:after="0"/>
              <w:rPr>
                <w:rFonts w:asciiTheme="minorHAnsi" w:eastAsia="Times New Roman" w:hAnsiTheme="minorHAnsi" w:cstheme="minorHAnsi"/>
                <w:bCs/>
                <w:color w:val="000000"/>
                <w:sz w:val="22"/>
                <w:lang w:val="en-IN" w:eastAsia="en-IN" w:bidi="hi-IN"/>
              </w:rPr>
            </w:pPr>
          </w:p>
        </w:tc>
        <w:tc>
          <w:tcPr>
            <w:tcW w:w="990" w:type="dxa"/>
            <w:tcBorders>
              <w:top w:val="nil"/>
              <w:left w:val="nil"/>
              <w:bottom w:val="single" w:sz="4" w:space="0" w:color="auto"/>
              <w:right w:val="single" w:sz="4" w:space="0" w:color="auto"/>
            </w:tcBorders>
            <w:shd w:val="clear" w:color="auto" w:fill="auto"/>
            <w:vAlign w:val="center"/>
            <w:hideMark/>
          </w:tcPr>
          <w:p w14:paraId="3C07B469" w14:textId="77777777" w:rsidR="00D37B25" w:rsidRPr="00D37B25" w:rsidRDefault="00D37B25" w:rsidP="00D37B25">
            <w:pPr>
              <w:spacing w:before="0" w:after="0"/>
              <w:jc w:val="center"/>
              <w:rPr>
                <w:rFonts w:asciiTheme="minorHAnsi" w:eastAsia="Times New Roman" w:hAnsiTheme="minorHAnsi" w:cstheme="minorHAnsi"/>
                <w:b/>
                <w:bCs/>
                <w:color w:val="000000"/>
                <w:sz w:val="22"/>
                <w:lang w:val="en-IN" w:eastAsia="en-IN" w:bidi="hi-IN"/>
              </w:rPr>
            </w:pPr>
            <w:r w:rsidRPr="00D37B25">
              <w:rPr>
                <w:rFonts w:asciiTheme="minorHAnsi" w:eastAsia="Times New Roman" w:hAnsiTheme="minorHAnsi" w:cstheme="minorHAnsi"/>
                <w:b/>
                <w:bCs/>
                <w:color w:val="000000"/>
                <w:sz w:val="22"/>
                <w:lang w:val="en-IN" w:eastAsia="en-IN" w:bidi="hi-IN"/>
              </w:rPr>
              <w:t>2020-21</w:t>
            </w:r>
          </w:p>
        </w:tc>
        <w:tc>
          <w:tcPr>
            <w:tcW w:w="990" w:type="dxa"/>
            <w:tcBorders>
              <w:top w:val="nil"/>
              <w:left w:val="nil"/>
              <w:bottom w:val="single" w:sz="4" w:space="0" w:color="auto"/>
              <w:right w:val="single" w:sz="4" w:space="0" w:color="auto"/>
            </w:tcBorders>
            <w:shd w:val="clear" w:color="auto" w:fill="auto"/>
            <w:vAlign w:val="center"/>
            <w:hideMark/>
          </w:tcPr>
          <w:p w14:paraId="0EA0F7AA" w14:textId="77777777" w:rsidR="00D37B25" w:rsidRPr="00D37B25" w:rsidRDefault="00D37B25" w:rsidP="00D37B25">
            <w:pPr>
              <w:spacing w:before="0" w:after="0"/>
              <w:jc w:val="center"/>
              <w:rPr>
                <w:rFonts w:asciiTheme="minorHAnsi" w:eastAsia="Times New Roman" w:hAnsiTheme="minorHAnsi" w:cstheme="minorHAnsi"/>
                <w:b/>
                <w:bCs/>
                <w:color w:val="000000"/>
                <w:sz w:val="22"/>
                <w:lang w:val="en-IN" w:eastAsia="en-IN" w:bidi="hi-IN"/>
              </w:rPr>
            </w:pPr>
            <w:r w:rsidRPr="00D37B25">
              <w:rPr>
                <w:rFonts w:asciiTheme="minorHAnsi" w:eastAsia="Times New Roman" w:hAnsiTheme="minorHAnsi" w:cstheme="minorHAnsi"/>
                <w:b/>
                <w:bCs/>
                <w:color w:val="000000"/>
                <w:sz w:val="22"/>
                <w:lang w:val="en-IN" w:eastAsia="en-IN" w:bidi="hi-IN"/>
              </w:rPr>
              <w:t>2021-22</w:t>
            </w:r>
          </w:p>
        </w:tc>
        <w:tc>
          <w:tcPr>
            <w:tcW w:w="1080" w:type="dxa"/>
            <w:tcBorders>
              <w:top w:val="nil"/>
              <w:left w:val="nil"/>
              <w:bottom w:val="single" w:sz="4" w:space="0" w:color="auto"/>
              <w:right w:val="single" w:sz="4" w:space="0" w:color="auto"/>
            </w:tcBorders>
            <w:shd w:val="clear" w:color="auto" w:fill="auto"/>
            <w:vAlign w:val="center"/>
            <w:hideMark/>
          </w:tcPr>
          <w:p w14:paraId="5049EE3A" w14:textId="77777777" w:rsidR="00D37B25" w:rsidRPr="00D37B25" w:rsidRDefault="00D37B25" w:rsidP="00D37B25">
            <w:pPr>
              <w:spacing w:before="0" w:after="0"/>
              <w:jc w:val="center"/>
              <w:rPr>
                <w:rFonts w:asciiTheme="minorHAnsi" w:eastAsia="Times New Roman" w:hAnsiTheme="minorHAnsi" w:cstheme="minorHAnsi"/>
                <w:b/>
                <w:bCs/>
                <w:color w:val="000000"/>
                <w:sz w:val="22"/>
                <w:lang w:val="en-IN" w:eastAsia="en-IN" w:bidi="hi-IN"/>
              </w:rPr>
            </w:pPr>
            <w:r w:rsidRPr="00D37B25">
              <w:rPr>
                <w:rFonts w:asciiTheme="minorHAnsi" w:eastAsia="Times New Roman" w:hAnsiTheme="minorHAnsi" w:cstheme="minorHAnsi"/>
                <w:b/>
                <w:bCs/>
                <w:color w:val="000000"/>
                <w:sz w:val="22"/>
                <w:lang w:val="en-IN" w:eastAsia="en-IN" w:bidi="hi-IN"/>
              </w:rPr>
              <w:t>2022-23</w:t>
            </w:r>
          </w:p>
        </w:tc>
        <w:tc>
          <w:tcPr>
            <w:tcW w:w="990" w:type="dxa"/>
            <w:tcBorders>
              <w:top w:val="nil"/>
              <w:left w:val="nil"/>
              <w:bottom w:val="single" w:sz="4" w:space="0" w:color="auto"/>
              <w:right w:val="single" w:sz="4" w:space="0" w:color="auto"/>
            </w:tcBorders>
            <w:shd w:val="clear" w:color="auto" w:fill="auto"/>
            <w:vAlign w:val="center"/>
            <w:hideMark/>
          </w:tcPr>
          <w:p w14:paraId="3F450D1F" w14:textId="77777777" w:rsidR="00D37B25" w:rsidRPr="00D37B25" w:rsidRDefault="00D37B25" w:rsidP="00D37B25">
            <w:pPr>
              <w:spacing w:before="0" w:after="0"/>
              <w:jc w:val="center"/>
              <w:rPr>
                <w:rFonts w:asciiTheme="minorHAnsi" w:eastAsia="Times New Roman" w:hAnsiTheme="minorHAnsi" w:cstheme="minorHAnsi"/>
                <w:b/>
                <w:bCs/>
                <w:color w:val="000000"/>
                <w:sz w:val="22"/>
                <w:lang w:val="en-IN" w:eastAsia="en-IN" w:bidi="hi-IN"/>
              </w:rPr>
            </w:pPr>
            <w:r w:rsidRPr="00D37B25">
              <w:rPr>
                <w:rFonts w:asciiTheme="minorHAnsi" w:eastAsia="Times New Roman" w:hAnsiTheme="minorHAnsi" w:cstheme="minorHAnsi"/>
                <w:b/>
                <w:bCs/>
                <w:color w:val="000000"/>
                <w:sz w:val="22"/>
                <w:lang w:val="en-IN" w:eastAsia="en-IN" w:bidi="hi-IN"/>
              </w:rPr>
              <w:t>2023-24</w:t>
            </w:r>
          </w:p>
        </w:tc>
        <w:tc>
          <w:tcPr>
            <w:tcW w:w="1056" w:type="dxa"/>
            <w:tcBorders>
              <w:top w:val="nil"/>
              <w:left w:val="nil"/>
              <w:bottom w:val="single" w:sz="4" w:space="0" w:color="auto"/>
              <w:right w:val="single" w:sz="4" w:space="0" w:color="auto"/>
            </w:tcBorders>
            <w:shd w:val="clear" w:color="auto" w:fill="auto"/>
            <w:vAlign w:val="center"/>
            <w:hideMark/>
          </w:tcPr>
          <w:p w14:paraId="5715473C" w14:textId="77777777" w:rsidR="00D37B25" w:rsidRPr="00D37B25" w:rsidRDefault="00D37B25" w:rsidP="00D37B25">
            <w:pPr>
              <w:spacing w:before="0" w:after="0"/>
              <w:jc w:val="center"/>
              <w:rPr>
                <w:rFonts w:asciiTheme="minorHAnsi" w:eastAsia="Times New Roman" w:hAnsiTheme="minorHAnsi" w:cstheme="minorHAnsi"/>
                <w:b/>
                <w:bCs/>
                <w:color w:val="000000"/>
                <w:sz w:val="22"/>
                <w:lang w:val="en-IN" w:eastAsia="en-IN" w:bidi="hi-IN"/>
              </w:rPr>
            </w:pPr>
            <w:r w:rsidRPr="00D37B25">
              <w:rPr>
                <w:rFonts w:asciiTheme="minorHAnsi" w:eastAsia="Times New Roman" w:hAnsiTheme="minorHAnsi" w:cstheme="minorHAnsi"/>
                <w:b/>
                <w:bCs/>
                <w:color w:val="000000"/>
                <w:sz w:val="22"/>
                <w:lang w:val="en-IN" w:eastAsia="en-IN" w:bidi="hi-IN"/>
              </w:rPr>
              <w:t>Total</w:t>
            </w:r>
          </w:p>
        </w:tc>
        <w:tc>
          <w:tcPr>
            <w:tcW w:w="810" w:type="dxa"/>
            <w:tcBorders>
              <w:top w:val="nil"/>
              <w:left w:val="nil"/>
              <w:bottom w:val="single" w:sz="4" w:space="0" w:color="auto"/>
              <w:right w:val="single" w:sz="4" w:space="0" w:color="auto"/>
            </w:tcBorders>
            <w:shd w:val="clear" w:color="auto" w:fill="auto"/>
            <w:vAlign w:val="center"/>
            <w:hideMark/>
          </w:tcPr>
          <w:p w14:paraId="665AB4FE" w14:textId="77777777" w:rsidR="00D37B25" w:rsidRPr="00D37B25" w:rsidRDefault="00D37B25" w:rsidP="00D37B25">
            <w:pPr>
              <w:spacing w:before="0" w:after="0"/>
              <w:jc w:val="center"/>
              <w:rPr>
                <w:rFonts w:asciiTheme="minorHAnsi" w:eastAsia="Times New Roman" w:hAnsiTheme="minorHAnsi" w:cstheme="minorHAnsi"/>
                <w:b/>
                <w:bCs/>
                <w:color w:val="000000"/>
                <w:sz w:val="22"/>
                <w:lang w:val="en-IN" w:eastAsia="en-IN" w:bidi="hi-IN"/>
              </w:rPr>
            </w:pPr>
            <w:r w:rsidRPr="00D37B25">
              <w:rPr>
                <w:rFonts w:asciiTheme="minorHAnsi" w:eastAsia="Times New Roman" w:hAnsiTheme="minorHAnsi" w:cstheme="minorHAnsi"/>
                <w:b/>
                <w:bCs/>
                <w:color w:val="000000"/>
                <w:sz w:val="22"/>
                <w:lang w:val="en-IN" w:eastAsia="en-IN" w:bidi="hi-IN"/>
              </w:rPr>
              <w:t>%</w:t>
            </w:r>
          </w:p>
        </w:tc>
      </w:tr>
      <w:tr w:rsidR="00D37B25" w:rsidRPr="00D37B25" w14:paraId="5D4D7237" w14:textId="77777777" w:rsidTr="00D37B25">
        <w:trPr>
          <w:trHeight w:val="287"/>
        </w:trPr>
        <w:tc>
          <w:tcPr>
            <w:tcW w:w="760" w:type="dxa"/>
            <w:tcBorders>
              <w:top w:val="nil"/>
              <w:left w:val="single" w:sz="4" w:space="0" w:color="auto"/>
              <w:bottom w:val="single" w:sz="4" w:space="0" w:color="auto"/>
              <w:right w:val="single" w:sz="4" w:space="0" w:color="auto"/>
            </w:tcBorders>
            <w:shd w:val="clear" w:color="000000" w:fill="E6B8B7"/>
            <w:vAlign w:val="center"/>
            <w:hideMark/>
          </w:tcPr>
          <w:p w14:paraId="2D10ED11"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A</w:t>
            </w:r>
          </w:p>
        </w:tc>
        <w:tc>
          <w:tcPr>
            <w:tcW w:w="3650" w:type="dxa"/>
            <w:tcBorders>
              <w:top w:val="nil"/>
              <w:left w:val="nil"/>
              <w:bottom w:val="single" w:sz="4" w:space="0" w:color="auto"/>
              <w:right w:val="single" w:sz="4" w:space="0" w:color="auto"/>
            </w:tcBorders>
            <w:shd w:val="clear" w:color="000000" w:fill="E6B8B7"/>
            <w:vAlign w:val="center"/>
            <w:hideMark/>
          </w:tcPr>
          <w:p w14:paraId="7D638275" w14:textId="77777777" w:rsidR="00D37B25" w:rsidRPr="00D37B25" w:rsidRDefault="00D37B25" w:rsidP="00D37B25">
            <w:pPr>
              <w:spacing w:before="0" w:after="0"/>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Programme budget for existing activities including enhancement</w:t>
            </w:r>
          </w:p>
        </w:tc>
        <w:tc>
          <w:tcPr>
            <w:tcW w:w="990" w:type="dxa"/>
            <w:tcBorders>
              <w:top w:val="nil"/>
              <w:left w:val="nil"/>
              <w:bottom w:val="single" w:sz="4" w:space="0" w:color="auto"/>
              <w:right w:val="single" w:sz="4" w:space="0" w:color="auto"/>
            </w:tcBorders>
            <w:shd w:val="clear" w:color="000000" w:fill="E6B8B7"/>
            <w:noWrap/>
            <w:vAlign w:val="center"/>
            <w:hideMark/>
          </w:tcPr>
          <w:p w14:paraId="6D90C82C"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2457.00</w:t>
            </w:r>
          </w:p>
        </w:tc>
        <w:tc>
          <w:tcPr>
            <w:tcW w:w="990" w:type="dxa"/>
            <w:tcBorders>
              <w:top w:val="nil"/>
              <w:left w:val="nil"/>
              <w:bottom w:val="single" w:sz="4" w:space="0" w:color="auto"/>
              <w:right w:val="single" w:sz="4" w:space="0" w:color="auto"/>
            </w:tcBorders>
            <w:shd w:val="clear" w:color="000000" w:fill="E6B8B7"/>
            <w:noWrap/>
            <w:vAlign w:val="center"/>
            <w:hideMark/>
          </w:tcPr>
          <w:p w14:paraId="665C41FC"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4576.17</w:t>
            </w:r>
          </w:p>
        </w:tc>
        <w:tc>
          <w:tcPr>
            <w:tcW w:w="1080" w:type="dxa"/>
            <w:tcBorders>
              <w:top w:val="nil"/>
              <w:left w:val="nil"/>
              <w:bottom w:val="single" w:sz="4" w:space="0" w:color="auto"/>
              <w:right w:val="single" w:sz="4" w:space="0" w:color="auto"/>
            </w:tcBorders>
            <w:shd w:val="clear" w:color="000000" w:fill="E6B8B7"/>
            <w:noWrap/>
            <w:vAlign w:val="center"/>
            <w:hideMark/>
          </w:tcPr>
          <w:p w14:paraId="7C5C4014"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4872.47</w:t>
            </w:r>
          </w:p>
        </w:tc>
        <w:tc>
          <w:tcPr>
            <w:tcW w:w="990" w:type="dxa"/>
            <w:tcBorders>
              <w:top w:val="nil"/>
              <w:left w:val="nil"/>
              <w:bottom w:val="single" w:sz="4" w:space="0" w:color="auto"/>
              <w:right w:val="single" w:sz="4" w:space="0" w:color="auto"/>
            </w:tcBorders>
            <w:shd w:val="clear" w:color="000000" w:fill="E6B8B7"/>
            <w:noWrap/>
            <w:vAlign w:val="center"/>
            <w:hideMark/>
          </w:tcPr>
          <w:p w14:paraId="7A132FCE"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5093.06</w:t>
            </w:r>
          </w:p>
        </w:tc>
        <w:tc>
          <w:tcPr>
            <w:tcW w:w="1056" w:type="dxa"/>
            <w:tcBorders>
              <w:top w:val="nil"/>
              <w:left w:val="nil"/>
              <w:bottom w:val="single" w:sz="4" w:space="0" w:color="auto"/>
              <w:right w:val="single" w:sz="4" w:space="0" w:color="auto"/>
            </w:tcBorders>
            <w:shd w:val="clear" w:color="000000" w:fill="E6B8B7"/>
            <w:noWrap/>
            <w:vAlign w:val="center"/>
            <w:hideMark/>
          </w:tcPr>
          <w:p w14:paraId="4D1DEB72"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16998.69</w:t>
            </w:r>
          </w:p>
        </w:tc>
        <w:tc>
          <w:tcPr>
            <w:tcW w:w="810" w:type="dxa"/>
            <w:tcBorders>
              <w:top w:val="nil"/>
              <w:left w:val="nil"/>
              <w:bottom w:val="single" w:sz="4" w:space="0" w:color="auto"/>
              <w:right w:val="single" w:sz="4" w:space="0" w:color="auto"/>
            </w:tcBorders>
            <w:shd w:val="clear" w:color="000000" w:fill="E6B8B7"/>
            <w:noWrap/>
            <w:vAlign w:val="center"/>
            <w:hideMark/>
          </w:tcPr>
          <w:p w14:paraId="0FDE46C3" w14:textId="77777777" w:rsidR="00D37B25" w:rsidRPr="00D37B25" w:rsidRDefault="00D37B25" w:rsidP="00D37B25">
            <w:pPr>
              <w:spacing w:before="0" w:after="0"/>
              <w:jc w:val="center"/>
              <w:rPr>
                <w:rFonts w:asciiTheme="minorHAnsi" w:eastAsia="Times New Roman" w:hAnsiTheme="minorHAnsi" w:cstheme="minorHAnsi"/>
                <w:bCs/>
                <w:i/>
                <w:iCs/>
                <w:color w:val="000000"/>
                <w:sz w:val="22"/>
                <w:lang w:val="en-IN" w:eastAsia="en-IN" w:bidi="hi-IN"/>
              </w:rPr>
            </w:pPr>
            <w:r w:rsidRPr="00D37B25">
              <w:rPr>
                <w:rFonts w:asciiTheme="minorHAnsi" w:hAnsiTheme="minorHAnsi" w:cstheme="minorHAnsi"/>
                <w:bCs/>
                <w:i/>
                <w:iCs/>
                <w:color w:val="000000"/>
                <w:sz w:val="22"/>
              </w:rPr>
              <w:t>71%</w:t>
            </w:r>
          </w:p>
        </w:tc>
      </w:tr>
      <w:tr w:rsidR="00D37B25" w:rsidRPr="00D37B25" w14:paraId="0DE6E07F" w14:textId="77777777" w:rsidTr="00D37B25">
        <w:trPr>
          <w:trHeight w:val="557"/>
        </w:trPr>
        <w:tc>
          <w:tcPr>
            <w:tcW w:w="760" w:type="dxa"/>
            <w:tcBorders>
              <w:top w:val="nil"/>
              <w:left w:val="single" w:sz="4" w:space="0" w:color="auto"/>
              <w:bottom w:val="single" w:sz="4" w:space="0" w:color="auto"/>
              <w:right w:val="single" w:sz="4" w:space="0" w:color="auto"/>
            </w:tcBorders>
            <w:shd w:val="clear" w:color="000000" w:fill="FFFF00"/>
            <w:noWrap/>
            <w:vAlign w:val="center"/>
            <w:hideMark/>
          </w:tcPr>
          <w:p w14:paraId="7F239DD7"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B</w:t>
            </w:r>
          </w:p>
        </w:tc>
        <w:tc>
          <w:tcPr>
            <w:tcW w:w="3650" w:type="dxa"/>
            <w:tcBorders>
              <w:top w:val="nil"/>
              <w:left w:val="nil"/>
              <w:bottom w:val="single" w:sz="4" w:space="0" w:color="auto"/>
              <w:right w:val="single" w:sz="4" w:space="0" w:color="auto"/>
            </w:tcBorders>
            <w:shd w:val="clear" w:color="000000" w:fill="FFFF00"/>
            <w:vAlign w:val="center"/>
            <w:hideMark/>
          </w:tcPr>
          <w:p w14:paraId="146B3699" w14:textId="235B539C" w:rsidR="00D37B25" w:rsidRPr="00D37B25" w:rsidRDefault="00D37B25" w:rsidP="00D37B25">
            <w:pPr>
              <w:spacing w:before="0" w:after="0"/>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 xml:space="preserve">Private sector patient management - </w:t>
            </w:r>
            <w:r w:rsidR="008125E9" w:rsidRPr="00D37B25">
              <w:rPr>
                <w:rFonts w:asciiTheme="minorHAnsi" w:eastAsia="Times New Roman" w:hAnsiTheme="minorHAnsi" w:cstheme="minorHAnsi"/>
                <w:bCs/>
                <w:color w:val="000000"/>
                <w:sz w:val="22"/>
                <w:lang w:val="en-IN" w:eastAsia="en-IN" w:bidi="hi-IN"/>
              </w:rPr>
              <w:t>transition</w:t>
            </w:r>
            <w:r w:rsidRPr="00D37B25">
              <w:rPr>
                <w:rFonts w:asciiTheme="minorHAnsi" w:eastAsia="Times New Roman" w:hAnsiTheme="minorHAnsi" w:cstheme="minorHAnsi"/>
                <w:bCs/>
                <w:color w:val="000000"/>
                <w:sz w:val="22"/>
                <w:lang w:val="en-IN" w:eastAsia="en-IN" w:bidi="hi-IN"/>
              </w:rPr>
              <w:t xml:space="preserve"> and scale up of private sector engagement</w:t>
            </w:r>
          </w:p>
        </w:tc>
        <w:tc>
          <w:tcPr>
            <w:tcW w:w="990" w:type="dxa"/>
            <w:tcBorders>
              <w:top w:val="nil"/>
              <w:left w:val="nil"/>
              <w:bottom w:val="single" w:sz="4" w:space="0" w:color="auto"/>
              <w:right w:val="single" w:sz="4" w:space="0" w:color="auto"/>
            </w:tcBorders>
            <w:shd w:val="clear" w:color="000000" w:fill="FFFF00"/>
            <w:noWrap/>
            <w:vAlign w:val="center"/>
            <w:hideMark/>
          </w:tcPr>
          <w:p w14:paraId="701A37DD"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127.28</w:t>
            </w:r>
          </w:p>
        </w:tc>
        <w:tc>
          <w:tcPr>
            <w:tcW w:w="990" w:type="dxa"/>
            <w:tcBorders>
              <w:top w:val="nil"/>
              <w:left w:val="nil"/>
              <w:bottom w:val="single" w:sz="4" w:space="0" w:color="auto"/>
              <w:right w:val="single" w:sz="4" w:space="0" w:color="auto"/>
            </w:tcBorders>
            <w:shd w:val="clear" w:color="000000" w:fill="FFFF00"/>
            <w:noWrap/>
            <w:vAlign w:val="center"/>
            <w:hideMark/>
          </w:tcPr>
          <w:p w14:paraId="38DE008A"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501.80</w:t>
            </w:r>
          </w:p>
        </w:tc>
        <w:tc>
          <w:tcPr>
            <w:tcW w:w="1080" w:type="dxa"/>
            <w:tcBorders>
              <w:top w:val="nil"/>
              <w:left w:val="nil"/>
              <w:bottom w:val="single" w:sz="4" w:space="0" w:color="auto"/>
              <w:right w:val="single" w:sz="4" w:space="0" w:color="auto"/>
            </w:tcBorders>
            <w:shd w:val="clear" w:color="000000" w:fill="FFFF00"/>
            <w:noWrap/>
            <w:vAlign w:val="center"/>
            <w:hideMark/>
          </w:tcPr>
          <w:p w14:paraId="37C76D4C"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586.61</w:t>
            </w:r>
          </w:p>
        </w:tc>
        <w:tc>
          <w:tcPr>
            <w:tcW w:w="990" w:type="dxa"/>
            <w:tcBorders>
              <w:top w:val="nil"/>
              <w:left w:val="nil"/>
              <w:bottom w:val="single" w:sz="4" w:space="0" w:color="auto"/>
              <w:right w:val="single" w:sz="4" w:space="0" w:color="auto"/>
            </w:tcBorders>
            <w:shd w:val="clear" w:color="000000" w:fill="FFFF00"/>
            <w:noWrap/>
            <w:vAlign w:val="center"/>
            <w:hideMark/>
          </w:tcPr>
          <w:p w14:paraId="78B8DB2A"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698.19</w:t>
            </w:r>
          </w:p>
        </w:tc>
        <w:tc>
          <w:tcPr>
            <w:tcW w:w="1056" w:type="dxa"/>
            <w:tcBorders>
              <w:top w:val="nil"/>
              <w:left w:val="nil"/>
              <w:bottom w:val="single" w:sz="4" w:space="0" w:color="auto"/>
              <w:right w:val="single" w:sz="4" w:space="0" w:color="auto"/>
            </w:tcBorders>
            <w:shd w:val="clear" w:color="000000" w:fill="FFFF00"/>
            <w:noWrap/>
            <w:vAlign w:val="center"/>
            <w:hideMark/>
          </w:tcPr>
          <w:p w14:paraId="66BCE34D"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1913.88</w:t>
            </w:r>
          </w:p>
        </w:tc>
        <w:tc>
          <w:tcPr>
            <w:tcW w:w="810" w:type="dxa"/>
            <w:tcBorders>
              <w:top w:val="nil"/>
              <w:left w:val="nil"/>
              <w:bottom w:val="single" w:sz="4" w:space="0" w:color="auto"/>
              <w:right w:val="single" w:sz="4" w:space="0" w:color="auto"/>
            </w:tcBorders>
            <w:shd w:val="clear" w:color="000000" w:fill="FFFF00"/>
            <w:noWrap/>
            <w:vAlign w:val="center"/>
            <w:hideMark/>
          </w:tcPr>
          <w:p w14:paraId="7768E35A" w14:textId="77777777" w:rsidR="00D37B25" w:rsidRPr="00D37B25" w:rsidRDefault="00D37B25" w:rsidP="00D37B25">
            <w:pPr>
              <w:spacing w:before="0" w:after="0"/>
              <w:jc w:val="center"/>
              <w:rPr>
                <w:rFonts w:asciiTheme="minorHAnsi" w:eastAsia="Times New Roman" w:hAnsiTheme="minorHAnsi" w:cstheme="minorHAnsi"/>
                <w:bCs/>
                <w:i/>
                <w:iCs/>
                <w:color w:val="000000"/>
                <w:sz w:val="22"/>
                <w:lang w:val="en-IN" w:eastAsia="en-IN" w:bidi="hi-IN"/>
              </w:rPr>
            </w:pPr>
            <w:r w:rsidRPr="00D37B25">
              <w:rPr>
                <w:rFonts w:asciiTheme="minorHAnsi" w:eastAsia="Times New Roman" w:hAnsiTheme="minorHAnsi" w:cstheme="minorHAnsi"/>
                <w:bCs/>
                <w:i/>
                <w:iCs/>
                <w:color w:val="000000"/>
                <w:sz w:val="22"/>
                <w:lang w:val="en-IN" w:eastAsia="en-IN" w:bidi="hi-IN"/>
              </w:rPr>
              <w:t>8%</w:t>
            </w:r>
          </w:p>
        </w:tc>
      </w:tr>
      <w:tr w:rsidR="00D37B25" w:rsidRPr="00D37B25" w14:paraId="5963CB68" w14:textId="77777777" w:rsidTr="00D37B25">
        <w:trPr>
          <w:trHeight w:val="332"/>
        </w:trPr>
        <w:tc>
          <w:tcPr>
            <w:tcW w:w="760" w:type="dxa"/>
            <w:tcBorders>
              <w:top w:val="nil"/>
              <w:left w:val="single" w:sz="4" w:space="0" w:color="auto"/>
              <w:bottom w:val="single" w:sz="4" w:space="0" w:color="auto"/>
              <w:right w:val="single" w:sz="4" w:space="0" w:color="auto"/>
            </w:tcBorders>
            <w:shd w:val="clear" w:color="000000" w:fill="FFFF00"/>
            <w:noWrap/>
            <w:vAlign w:val="center"/>
            <w:hideMark/>
          </w:tcPr>
          <w:p w14:paraId="6D3F11B8"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C</w:t>
            </w:r>
          </w:p>
        </w:tc>
        <w:tc>
          <w:tcPr>
            <w:tcW w:w="3650" w:type="dxa"/>
            <w:tcBorders>
              <w:top w:val="nil"/>
              <w:left w:val="nil"/>
              <w:bottom w:val="single" w:sz="4" w:space="0" w:color="auto"/>
              <w:right w:val="single" w:sz="4" w:space="0" w:color="auto"/>
            </w:tcBorders>
            <w:shd w:val="clear" w:color="000000" w:fill="FFFF00"/>
            <w:vAlign w:val="center"/>
            <w:hideMark/>
          </w:tcPr>
          <w:p w14:paraId="2797B8C8" w14:textId="77777777" w:rsidR="00D37B25" w:rsidRPr="00D37B25" w:rsidRDefault="00D37B25" w:rsidP="00D37B25">
            <w:pPr>
              <w:spacing w:before="0" w:after="0"/>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Digital Information Ecosystem for TB Care</w:t>
            </w:r>
          </w:p>
        </w:tc>
        <w:tc>
          <w:tcPr>
            <w:tcW w:w="990" w:type="dxa"/>
            <w:tcBorders>
              <w:top w:val="nil"/>
              <w:left w:val="nil"/>
              <w:bottom w:val="single" w:sz="4" w:space="0" w:color="auto"/>
              <w:right w:val="single" w:sz="4" w:space="0" w:color="auto"/>
            </w:tcBorders>
            <w:shd w:val="clear" w:color="000000" w:fill="FFFF00"/>
            <w:noWrap/>
            <w:vAlign w:val="center"/>
            <w:hideMark/>
          </w:tcPr>
          <w:p w14:paraId="02988ABB"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37.27</w:t>
            </w:r>
          </w:p>
        </w:tc>
        <w:tc>
          <w:tcPr>
            <w:tcW w:w="990" w:type="dxa"/>
            <w:tcBorders>
              <w:top w:val="nil"/>
              <w:left w:val="nil"/>
              <w:bottom w:val="single" w:sz="4" w:space="0" w:color="auto"/>
              <w:right w:val="single" w:sz="4" w:space="0" w:color="auto"/>
            </w:tcBorders>
            <w:shd w:val="clear" w:color="000000" w:fill="FFFF00"/>
            <w:noWrap/>
            <w:vAlign w:val="center"/>
            <w:hideMark/>
          </w:tcPr>
          <w:p w14:paraId="310ED2A5"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82.17</w:t>
            </w:r>
          </w:p>
        </w:tc>
        <w:tc>
          <w:tcPr>
            <w:tcW w:w="1080" w:type="dxa"/>
            <w:tcBorders>
              <w:top w:val="nil"/>
              <w:left w:val="nil"/>
              <w:bottom w:val="single" w:sz="4" w:space="0" w:color="auto"/>
              <w:right w:val="single" w:sz="4" w:space="0" w:color="auto"/>
            </w:tcBorders>
            <w:shd w:val="clear" w:color="000000" w:fill="FFFF00"/>
            <w:noWrap/>
            <w:vAlign w:val="center"/>
            <w:hideMark/>
          </w:tcPr>
          <w:p w14:paraId="20B3CBF4"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49.34</w:t>
            </w:r>
          </w:p>
        </w:tc>
        <w:tc>
          <w:tcPr>
            <w:tcW w:w="990" w:type="dxa"/>
            <w:tcBorders>
              <w:top w:val="nil"/>
              <w:left w:val="nil"/>
              <w:bottom w:val="single" w:sz="4" w:space="0" w:color="auto"/>
              <w:right w:val="single" w:sz="4" w:space="0" w:color="auto"/>
            </w:tcBorders>
            <w:shd w:val="clear" w:color="000000" w:fill="FFFF00"/>
            <w:noWrap/>
            <w:vAlign w:val="center"/>
            <w:hideMark/>
          </w:tcPr>
          <w:p w14:paraId="2CA4091D"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53.92</w:t>
            </w:r>
          </w:p>
        </w:tc>
        <w:tc>
          <w:tcPr>
            <w:tcW w:w="1056" w:type="dxa"/>
            <w:tcBorders>
              <w:top w:val="nil"/>
              <w:left w:val="nil"/>
              <w:bottom w:val="single" w:sz="4" w:space="0" w:color="auto"/>
              <w:right w:val="single" w:sz="4" w:space="0" w:color="auto"/>
            </w:tcBorders>
            <w:shd w:val="clear" w:color="000000" w:fill="FFFF00"/>
            <w:noWrap/>
            <w:vAlign w:val="center"/>
            <w:hideMark/>
          </w:tcPr>
          <w:p w14:paraId="2BFE5D3A"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222.68</w:t>
            </w:r>
          </w:p>
        </w:tc>
        <w:tc>
          <w:tcPr>
            <w:tcW w:w="810" w:type="dxa"/>
            <w:tcBorders>
              <w:top w:val="nil"/>
              <w:left w:val="nil"/>
              <w:bottom w:val="single" w:sz="4" w:space="0" w:color="auto"/>
              <w:right w:val="single" w:sz="4" w:space="0" w:color="auto"/>
            </w:tcBorders>
            <w:shd w:val="clear" w:color="000000" w:fill="FFFF00"/>
            <w:noWrap/>
            <w:vAlign w:val="center"/>
            <w:hideMark/>
          </w:tcPr>
          <w:p w14:paraId="584B3CAE" w14:textId="77777777" w:rsidR="00D37B25" w:rsidRPr="00D37B25" w:rsidRDefault="00D37B25" w:rsidP="00D37B25">
            <w:pPr>
              <w:spacing w:before="0" w:after="0"/>
              <w:jc w:val="center"/>
              <w:rPr>
                <w:rFonts w:asciiTheme="minorHAnsi" w:eastAsia="Times New Roman" w:hAnsiTheme="minorHAnsi" w:cstheme="minorHAnsi"/>
                <w:bCs/>
                <w:i/>
                <w:iCs/>
                <w:color w:val="000000"/>
                <w:sz w:val="22"/>
                <w:lang w:val="en-IN" w:eastAsia="en-IN" w:bidi="hi-IN"/>
              </w:rPr>
            </w:pPr>
            <w:r w:rsidRPr="00D37B25">
              <w:rPr>
                <w:rFonts w:asciiTheme="minorHAnsi" w:eastAsia="Times New Roman" w:hAnsiTheme="minorHAnsi" w:cstheme="minorHAnsi"/>
                <w:bCs/>
                <w:i/>
                <w:iCs/>
                <w:color w:val="000000"/>
                <w:sz w:val="22"/>
                <w:lang w:val="en-IN" w:eastAsia="en-IN" w:bidi="hi-IN"/>
              </w:rPr>
              <w:t>1%</w:t>
            </w:r>
          </w:p>
        </w:tc>
      </w:tr>
      <w:tr w:rsidR="00D37B25" w:rsidRPr="00D37B25" w14:paraId="45BF5B68" w14:textId="77777777" w:rsidTr="00D37B25">
        <w:trPr>
          <w:trHeight w:val="332"/>
        </w:trPr>
        <w:tc>
          <w:tcPr>
            <w:tcW w:w="760" w:type="dxa"/>
            <w:tcBorders>
              <w:top w:val="nil"/>
              <w:left w:val="single" w:sz="4" w:space="0" w:color="auto"/>
              <w:bottom w:val="single" w:sz="4" w:space="0" w:color="auto"/>
              <w:right w:val="single" w:sz="4" w:space="0" w:color="auto"/>
            </w:tcBorders>
            <w:shd w:val="clear" w:color="000000" w:fill="FFFF00"/>
            <w:vAlign w:val="center"/>
            <w:hideMark/>
          </w:tcPr>
          <w:p w14:paraId="647F39B5"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D</w:t>
            </w:r>
          </w:p>
        </w:tc>
        <w:tc>
          <w:tcPr>
            <w:tcW w:w="3650" w:type="dxa"/>
            <w:tcBorders>
              <w:top w:val="nil"/>
              <w:left w:val="nil"/>
              <w:bottom w:val="single" w:sz="4" w:space="0" w:color="auto"/>
              <w:right w:val="single" w:sz="4" w:space="0" w:color="auto"/>
            </w:tcBorders>
            <w:shd w:val="clear" w:color="000000" w:fill="FFFF00"/>
            <w:vAlign w:val="center"/>
            <w:hideMark/>
          </w:tcPr>
          <w:p w14:paraId="7FD5C84A" w14:textId="77777777" w:rsidR="00D37B25" w:rsidRPr="00D37B25" w:rsidRDefault="00D37B25" w:rsidP="00D37B25">
            <w:pPr>
              <w:spacing w:before="0" w:after="0"/>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Latent TB Infection management</w:t>
            </w:r>
          </w:p>
        </w:tc>
        <w:tc>
          <w:tcPr>
            <w:tcW w:w="990" w:type="dxa"/>
            <w:tcBorders>
              <w:top w:val="nil"/>
              <w:left w:val="nil"/>
              <w:bottom w:val="single" w:sz="4" w:space="0" w:color="auto"/>
              <w:right w:val="single" w:sz="4" w:space="0" w:color="auto"/>
            </w:tcBorders>
            <w:shd w:val="clear" w:color="000000" w:fill="FFFF00"/>
            <w:noWrap/>
            <w:vAlign w:val="center"/>
            <w:hideMark/>
          </w:tcPr>
          <w:p w14:paraId="4771C288"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79.52</w:t>
            </w:r>
          </w:p>
        </w:tc>
        <w:tc>
          <w:tcPr>
            <w:tcW w:w="990" w:type="dxa"/>
            <w:tcBorders>
              <w:top w:val="nil"/>
              <w:left w:val="nil"/>
              <w:bottom w:val="single" w:sz="4" w:space="0" w:color="auto"/>
              <w:right w:val="single" w:sz="4" w:space="0" w:color="auto"/>
            </w:tcBorders>
            <w:shd w:val="clear" w:color="000000" w:fill="FFFF00"/>
            <w:noWrap/>
            <w:vAlign w:val="center"/>
            <w:hideMark/>
          </w:tcPr>
          <w:p w14:paraId="7240BACA"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610.60</w:t>
            </w:r>
          </w:p>
        </w:tc>
        <w:tc>
          <w:tcPr>
            <w:tcW w:w="1080" w:type="dxa"/>
            <w:tcBorders>
              <w:top w:val="nil"/>
              <w:left w:val="nil"/>
              <w:bottom w:val="single" w:sz="4" w:space="0" w:color="auto"/>
              <w:right w:val="single" w:sz="4" w:space="0" w:color="auto"/>
            </w:tcBorders>
            <w:shd w:val="clear" w:color="000000" w:fill="FFFF00"/>
            <w:noWrap/>
            <w:vAlign w:val="center"/>
            <w:hideMark/>
          </w:tcPr>
          <w:p w14:paraId="384AB9FD"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968.36</w:t>
            </w:r>
          </w:p>
        </w:tc>
        <w:tc>
          <w:tcPr>
            <w:tcW w:w="990" w:type="dxa"/>
            <w:tcBorders>
              <w:top w:val="nil"/>
              <w:left w:val="nil"/>
              <w:bottom w:val="single" w:sz="4" w:space="0" w:color="auto"/>
              <w:right w:val="single" w:sz="4" w:space="0" w:color="auto"/>
            </w:tcBorders>
            <w:shd w:val="clear" w:color="000000" w:fill="FFFF00"/>
            <w:noWrap/>
            <w:vAlign w:val="center"/>
            <w:hideMark/>
          </w:tcPr>
          <w:p w14:paraId="25CDFA40"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1134.31</w:t>
            </w:r>
          </w:p>
        </w:tc>
        <w:tc>
          <w:tcPr>
            <w:tcW w:w="1056" w:type="dxa"/>
            <w:tcBorders>
              <w:top w:val="nil"/>
              <w:left w:val="nil"/>
              <w:bottom w:val="single" w:sz="4" w:space="0" w:color="auto"/>
              <w:right w:val="single" w:sz="4" w:space="0" w:color="auto"/>
            </w:tcBorders>
            <w:shd w:val="clear" w:color="000000" w:fill="FFFF00"/>
            <w:noWrap/>
            <w:vAlign w:val="center"/>
            <w:hideMark/>
          </w:tcPr>
          <w:p w14:paraId="6A062CD5"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2792.79</w:t>
            </w:r>
          </w:p>
        </w:tc>
        <w:tc>
          <w:tcPr>
            <w:tcW w:w="810" w:type="dxa"/>
            <w:tcBorders>
              <w:top w:val="nil"/>
              <w:left w:val="nil"/>
              <w:bottom w:val="single" w:sz="4" w:space="0" w:color="auto"/>
              <w:right w:val="single" w:sz="4" w:space="0" w:color="auto"/>
            </w:tcBorders>
            <w:shd w:val="clear" w:color="000000" w:fill="FFFF00"/>
            <w:noWrap/>
            <w:vAlign w:val="center"/>
            <w:hideMark/>
          </w:tcPr>
          <w:p w14:paraId="09F2E171" w14:textId="77777777" w:rsidR="00D37B25" w:rsidRPr="00D37B25" w:rsidRDefault="00D37B25" w:rsidP="00D37B25">
            <w:pPr>
              <w:spacing w:before="0" w:after="0"/>
              <w:jc w:val="center"/>
              <w:rPr>
                <w:rFonts w:asciiTheme="minorHAnsi" w:eastAsia="Times New Roman" w:hAnsiTheme="minorHAnsi" w:cstheme="minorHAnsi"/>
                <w:bCs/>
                <w:i/>
                <w:iCs/>
                <w:color w:val="000000"/>
                <w:sz w:val="22"/>
                <w:lang w:val="en-IN" w:eastAsia="en-IN" w:bidi="hi-IN"/>
              </w:rPr>
            </w:pPr>
            <w:r w:rsidRPr="00D37B25">
              <w:rPr>
                <w:rFonts w:asciiTheme="minorHAnsi" w:hAnsiTheme="minorHAnsi" w:cstheme="minorHAnsi"/>
                <w:bCs/>
                <w:i/>
                <w:iCs/>
                <w:color w:val="000000"/>
                <w:sz w:val="22"/>
              </w:rPr>
              <w:t>12%</w:t>
            </w:r>
          </w:p>
        </w:tc>
      </w:tr>
      <w:tr w:rsidR="00D37B25" w:rsidRPr="00D37B25" w14:paraId="1756219A" w14:textId="77777777" w:rsidTr="00D37B25">
        <w:trPr>
          <w:trHeight w:val="602"/>
        </w:trPr>
        <w:tc>
          <w:tcPr>
            <w:tcW w:w="760" w:type="dxa"/>
            <w:tcBorders>
              <w:top w:val="nil"/>
              <w:left w:val="single" w:sz="4" w:space="0" w:color="auto"/>
              <w:bottom w:val="single" w:sz="4" w:space="0" w:color="auto"/>
              <w:right w:val="single" w:sz="4" w:space="0" w:color="auto"/>
            </w:tcBorders>
            <w:shd w:val="clear" w:color="000000" w:fill="A4FB25"/>
            <w:vAlign w:val="center"/>
            <w:hideMark/>
          </w:tcPr>
          <w:p w14:paraId="592276D4"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E</w:t>
            </w:r>
          </w:p>
        </w:tc>
        <w:tc>
          <w:tcPr>
            <w:tcW w:w="3650" w:type="dxa"/>
            <w:tcBorders>
              <w:top w:val="nil"/>
              <w:left w:val="nil"/>
              <w:bottom w:val="single" w:sz="4" w:space="0" w:color="auto"/>
              <w:right w:val="single" w:sz="4" w:space="0" w:color="auto"/>
            </w:tcBorders>
            <w:shd w:val="clear" w:color="000000" w:fill="A4FB25"/>
            <w:vAlign w:val="center"/>
            <w:hideMark/>
          </w:tcPr>
          <w:p w14:paraId="1A3578E3" w14:textId="77777777" w:rsidR="00D37B25" w:rsidRPr="00D37B25" w:rsidRDefault="00D37B25" w:rsidP="00D37B25">
            <w:pPr>
              <w:spacing w:before="0" w:after="0"/>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Patient social, adherence &amp; nutritional support - Nikshay Phoshan Yojana</w:t>
            </w:r>
          </w:p>
        </w:tc>
        <w:tc>
          <w:tcPr>
            <w:tcW w:w="990" w:type="dxa"/>
            <w:tcBorders>
              <w:top w:val="nil"/>
              <w:left w:val="single" w:sz="4" w:space="0" w:color="auto"/>
              <w:bottom w:val="single" w:sz="4" w:space="0" w:color="auto"/>
              <w:right w:val="single" w:sz="4" w:space="0" w:color="auto"/>
            </w:tcBorders>
            <w:shd w:val="clear" w:color="000000" w:fill="A4FB25"/>
            <w:noWrap/>
            <w:vAlign w:val="center"/>
            <w:hideMark/>
          </w:tcPr>
          <w:p w14:paraId="106B5617"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332.99</w:t>
            </w:r>
          </w:p>
        </w:tc>
        <w:tc>
          <w:tcPr>
            <w:tcW w:w="990" w:type="dxa"/>
            <w:tcBorders>
              <w:top w:val="nil"/>
              <w:left w:val="nil"/>
              <w:bottom w:val="single" w:sz="4" w:space="0" w:color="auto"/>
              <w:right w:val="single" w:sz="4" w:space="0" w:color="auto"/>
            </w:tcBorders>
            <w:shd w:val="clear" w:color="000000" w:fill="A4FB25"/>
            <w:noWrap/>
            <w:vAlign w:val="center"/>
            <w:hideMark/>
          </w:tcPr>
          <w:p w14:paraId="00D2579F"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576.80</w:t>
            </w:r>
          </w:p>
        </w:tc>
        <w:tc>
          <w:tcPr>
            <w:tcW w:w="1080" w:type="dxa"/>
            <w:tcBorders>
              <w:top w:val="nil"/>
              <w:left w:val="nil"/>
              <w:bottom w:val="single" w:sz="4" w:space="0" w:color="auto"/>
              <w:right w:val="single" w:sz="4" w:space="0" w:color="auto"/>
            </w:tcBorders>
            <w:shd w:val="clear" w:color="000000" w:fill="A4FB25"/>
            <w:noWrap/>
            <w:vAlign w:val="center"/>
            <w:hideMark/>
          </w:tcPr>
          <w:p w14:paraId="20782922"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628.64</w:t>
            </w:r>
          </w:p>
        </w:tc>
        <w:tc>
          <w:tcPr>
            <w:tcW w:w="990" w:type="dxa"/>
            <w:tcBorders>
              <w:top w:val="nil"/>
              <w:left w:val="nil"/>
              <w:bottom w:val="single" w:sz="4" w:space="0" w:color="auto"/>
              <w:right w:val="single" w:sz="4" w:space="0" w:color="auto"/>
            </w:tcBorders>
            <w:shd w:val="clear" w:color="000000" w:fill="A4FB25"/>
            <w:noWrap/>
            <w:vAlign w:val="center"/>
            <w:hideMark/>
          </w:tcPr>
          <w:p w14:paraId="3CCEC3F0"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625.06</w:t>
            </w:r>
          </w:p>
        </w:tc>
        <w:tc>
          <w:tcPr>
            <w:tcW w:w="1056" w:type="dxa"/>
            <w:tcBorders>
              <w:top w:val="nil"/>
              <w:left w:val="nil"/>
              <w:bottom w:val="single" w:sz="4" w:space="0" w:color="auto"/>
              <w:right w:val="single" w:sz="4" w:space="0" w:color="auto"/>
            </w:tcBorders>
            <w:shd w:val="clear" w:color="000000" w:fill="A4FB25"/>
            <w:noWrap/>
            <w:vAlign w:val="center"/>
            <w:hideMark/>
          </w:tcPr>
          <w:p w14:paraId="633F9136"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2163.49</w:t>
            </w:r>
          </w:p>
        </w:tc>
        <w:tc>
          <w:tcPr>
            <w:tcW w:w="810" w:type="dxa"/>
            <w:tcBorders>
              <w:top w:val="nil"/>
              <w:left w:val="nil"/>
              <w:bottom w:val="single" w:sz="4" w:space="0" w:color="auto"/>
              <w:right w:val="single" w:sz="4" w:space="0" w:color="auto"/>
            </w:tcBorders>
            <w:shd w:val="clear" w:color="000000" w:fill="A4FB25"/>
            <w:noWrap/>
            <w:vAlign w:val="center"/>
            <w:hideMark/>
          </w:tcPr>
          <w:p w14:paraId="18B29DA2" w14:textId="77777777" w:rsidR="00D37B25" w:rsidRPr="00D37B25" w:rsidRDefault="00D37B25" w:rsidP="00D37B25">
            <w:pPr>
              <w:spacing w:before="0" w:after="0"/>
              <w:jc w:val="center"/>
              <w:rPr>
                <w:rFonts w:asciiTheme="minorHAnsi" w:eastAsia="Times New Roman" w:hAnsiTheme="minorHAnsi" w:cstheme="minorHAnsi"/>
                <w:bCs/>
                <w:i/>
                <w:iCs/>
                <w:color w:val="000000"/>
                <w:sz w:val="22"/>
                <w:lang w:val="en-IN" w:eastAsia="en-IN" w:bidi="hi-IN"/>
              </w:rPr>
            </w:pPr>
            <w:r w:rsidRPr="00D37B25">
              <w:rPr>
                <w:rFonts w:asciiTheme="minorHAnsi" w:eastAsia="Times New Roman" w:hAnsiTheme="minorHAnsi" w:cstheme="minorHAnsi"/>
                <w:bCs/>
                <w:i/>
                <w:iCs/>
                <w:color w:val="000000"/>
                <w:sz w:val="22"/>
                <w:lang w:val="en-IN" w:eastAsia="en-IN" w:bidi="hi-IN"/>
              </w:rPr>
              <w:t>9%</w:t>
            </w:r>
          </w:p>
        </w:tc>
      </w:tr>
      <w:tr w:rsidR="00D37B25" w:rsidRPr="00D37B25" w14:paraId="74C34271" w14:textId="77777777" w:rsidTr="00D37B25">
        <w:trPr>
          <w:trHeight w:val="70"/>
        </w:trPr>
        <w:tc>
          <w:tcPr>
            <w:tcW w:w="44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3CAF0"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eastAsia="Times New Roman" w:hAnsiTheme="minorHAnsi" w:cstheme="minorHAnsi"/>
                <w:bCs/>
                <w:color w:val="000000"/>
                <w:sz w:val="22"/>
                <w:lang w:val="en-IN" w:eastAsia="en-IN" w:bidi="hi-IN"/>
              </w:rPr>
              <w:t>TOTAL</w:t>
            </w:r>
          </w:p>
        </w:tc>
        <w:tc>
          <w:tcPr>
            <w:tcW w:w="990" w:type="dxa"/>
            <w:tcBorders>
              <w:top w:val="nil"/>
              <w:left w:val="nil"/>
              <w:bottom w:val="single" w:sz="4" w:space="0" w:color="auto"/>
              <w:right w:val="single" w:sz="4" w:space="0" w:color="auto"/>
            </w:tcBorders>
            <w:shd w:val="clear" w:color="auto" w:fill="auto"/>
            <w:noWrap/>
            <w:vAlign w:val="center"/>
            <w:hideMark/>
          </w:tcPr>
          <w:p w14:paraId="4F9D49A7"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3034.06</w:t>
            </w:r>
          </w:p>
        </w:tc>
        <w:tc>
          <w:tcPr>
            <w:tcW w:w="990" w:type="dxa"/>
            <w:tcBorders>
              <w:top w:val="nil"/>
              <w:left w:val="nil"/>
              <w:bottom w:val="single" w:sz="4" w:space="0" w:color="auto"/>
              <w:right w:val="single" w:sz="4" w:space="0" w:color="auto"/>
            </w:tcBorders>
            <w:shd w:val="clear" w:color="auto" w:fill="auto"/>
            <w:noWrap/>
            <w:vAlign w:val="center"/>
            <w:hideMark/>
          </w:tcPr>
          <w:p w14:paraId="601F7E28"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6347.54</w:t>
            </w:r>
          </w:p>
        </w:tc>
        <w:tc>
          <w:tcPr>
            <w:tcW w:w="1080" w:type="dxa"/>
            <w:tcBorders>
              <w:top w:val="nil"/>
              <w:left w:val="nil"/>
              <w:bottom w:val="single" w:sz="4" w:space="0" w:color="auto"/>
              <w:right w:val="single" w:sz="4" w:space="0" w:color="auto"/>
            </w:tcBorders>
            <w:shd w:val="clear" w:color="auto" w:fill="auto"/>
            <w:noWrap/>
            <w:vAlign w:val="center"/>
            <w:hideMark/>
          </w:tcPr>
          <w:p w14:paraId="3337B35A"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7105.41</w:t>
            </w:r>
          </w:p>
        </w:tc>
        <w:tc>
          <w:tcPr>
            <w:tcW w:w="990" w:type="dxa"/>
            <w:tcBorders>
              <w:top w:val="nil"/>
              <w:left w:val="nil"/>
              <w:bottom w:val="single" w:sz="4" w:space="0" w:color="auto"/>
              <w:right w:val="single" w:sz="4" w:space="0" w:color="auto"/>
            </w:tcBorders>
            <w:shd w:val="clear" w:color="auto" w:fill="auto"/>
            <w:noWrap/>
            <w:vAlign w:val="center"/>
            <w:hideMark/>
          </w:tcPr>
          <w:p w14:paraId="7AE84FF8"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7604.53</w:t>
            </w:r>
          </w:p>
        </w:tc>
        <w:tc>
          <w:tcPr>
            <w:tcW w:w="1056" w:type="dxa"/>
            <w:tcBorders>
              <w:top w:val="nil"/>
              <w:left w:val="nil"/>
              <w:bottom w:val="single" w:sz="4" w:space="0" w:color="auto"/>
              <w:right w:val="single" w:sz="4" w:space="0" w:color="auto"/>
            </w:tcBorders>
            <w:shd w:val="clear" w:color="auto" w:fill="auto"/>
            <w:noWrap/>
            <w:vAlign w:val="center"/>
            <w:hideMark/>
          </w:tcPr>
          <w:p w14:paraId="3D50D9DA" w14:textId="77777777" w:rsidR="00D37B25" w:rsidRPr="00D37B25" w:rsidRDefault="00D37B25" w:rsidP="00D37B25">
            <w:pPr>
              <w:spacing w:before="0" w:after="0"/>
              <w:jc w:val="center"/>
              <w:rPr>
                <w:rFonts w:asciiTheme="minorHAnsi" w:eastAsia="Times New Roman" w:hAnsiTheme="minorHAnsi" w:cstheme="minorHAnsi"/>
                <w:bCs/>
                <w:color w:val="000000"/>
                <w:sz w:val="22"/>
                <w:lang w:val="en-IN" w:eastAsia="en-IN" w:bidi="hi-IN"/>
              </w:rPr>
            </w:pPr>
            <w:r w:rsidRPr="00D37B25">
              <w:rPr>
                <w:rFonts w:asciiTheme="minorHAnsi" w:hAnsiTheme="minorHAnsi" w:cstheme="minorHAnsi"/>
                <w:bCs/>
                <w:color w:val="000000"/>
                <w:sz w:val="22"/>
              </w:rPr>
              <w:t>24091.54</w:t>
            </w:r>
          </w:p>
        </w:tc>
        <w:tc>
          <w:tcPr>
            <w:tcW w:w="810" w:type="dxa"/>
            <w:tcBorders>
              <w:top w:val="nil"/>
              <w:left w:val="nil"/>
              <w:bottom w:val="single" w:sz="4" w:space="0" w:color="auto"/>
              <w:right w:val="single" w:sz="4" w:space="0" w:color="auto"/>
            </w:tcBorders>
            <w:shd w:val="clear" w:color="auto" w:fill="auto"/>
            <w:noWrap/>
            <w:vAlign w:val="center"/>
            <w:hideMark/>
          </w:tcPr>
          <w:p w14:paraId="61C2444E" w14:textId="77777777" w:rsidR="00D37B25" w:rsidRPr="00D37B25" w:rsidRDefault="00D37B25" w:rsidP="00D37B25">
            <w:pPr>
              <w:spacing w:before="0" w:after="0"/>
              <w:jc w:val="center"/>
              <w:rPr>
                <w:rFonts w:asciiTheme="minorHAnsi" w:eastAsia="Times New Roman" w:hAnsiTheme="minorHAnsi" w:cstheme="minorHAnsi"/>
                <w:bCs/>
                <w:i/>
                <w:iCs/>
                <w:color w:val="000000"/>
                <w:sz w:val="22"/>
                <w:lang w:val="en-IN" w:eastAsia="en-IN" w:bidi="hi-IN"/>
              </w:rPr>
            </w:pPr>
            <w:r w:rsidRPr="00D37B25">
              <w:rPr>
                <w:rFonts w:asciiTheme="minorHAnsi" w:hAnsiTheme="minorHAnsi" w:cstheme="minorHAnsi"/>
                <w:bCs/>
                <w:i/>
                <w:iCs/>
                <w:color w:val="000000"/>
                <w:sz w:val="22"/>
              </w:rPr>
              <w:t>100%</w:t>
            </w:r>
          </w:p>
        </w:tc>
      </w:tr>
    </w:tbl>
    <w:p w14:paraId="46921EAA" w14:textId="77777777" w:rsidR="00A9591E" w:rsidRPr="0087755F" w:rsidRDefault="00A9591E" w:rsidP="0087755F">
      <w:pPr>
        <w:jc w:val="both"/>
        <w:rPr>
          <w:rFonts w:asciiTheme="minorHAnsi" w:hAnsiTheme="minorHAnsi" w:cstheme="minorHAnsi"/>
          <w:b/>
          <w:color w:val="C86A07"/>
          <w:sz w:val="28"/>
          <w:szCs w:val="28"/>
        </w:rPr>
      </w:pPr>
      <w:r w:rsidRPr="0087755F">
        <w:rPr>
          <w:rFonts w:asciiTheme="minorHAnsi" w:hAnsiTheme="minorHAnsi" w:cstheme="minorHAnsi"/>
          <w:b/>
          <w:color w:val="C86A07"/>
          <w:sz w:val="28"/>
          <w:szCs w:val="28"/>
        </w:rPr>
        <w:lastRenderedPageBreak/>
        <w:t>Implementing the financial aspect of NSP</w:t>
      </w:r>
    </w:p>
    <w:p w14:paraId="56215325" w14:textId="20981D4D" w:rsidR="00A9591E" w:rsidRPr="00A9591E" w:rsidRDefault="00A9591E" w:rsidP="0087755F">
      <w:pPr>
        <w:spacing w:before="0" w:after="0"/>
        <w:jc w:val="both"/>
        <w:rPr>
          <w:rFonts w:asciiTheme="minorHAnsi" w:hAnsiTheme="minorHAnsi" w:cstheme="minorHAnsi"/>
          <w:sz w:val="22"/>
        </w:rPr>
      </w:pPr>
      <w:r w:rsidRPr="00A9591E">
        <w:rPr>
          <w:rFonts w:asciiTheme="minorHAnsi" w:hAnsiTheme="minorHAnsi" w:cstheme="minorHAnsi"/>
          <w:sz w:val="22"/>
        </w:rPr>
        <w:t xml:space="preserve">NTEP will be implemented in line with National Strategic Plan with effect from 01st April 2020 with the proposed allocation as given in annexure. </w:t>
      </w:r>
    </w:p>
    <w:p w14:paraId="577F9F29" w14:textId="77777777" w:rsidR="00A9591E" w:rsidRPr="00A9591E" w:rsidRDefault="00A9591E" w:rsidP="0087755F">
      <w:pPr>
        <w:pStyle w:val="NoSpacing"/>
        <w:jc w:val="both"/>
        <w:rPr>
          <w:rFonts w:asciiTheme="minorHAnsi" w:hAnsiTheme="minorHAnsi" w:cstheme="minorHAnsi"/>
        </w:rPr>
      </w:pPr>
      <w:r w:rsidRPr="00A9591E">
        <w:rPr>
          <w:rFonts w:asciiTheme="minorHAnsi" w:hAnsiTheme="minorHAnsi" w:cstheme="minorHAnsi"/>
        </w:rPr>
        <w:t>The Procedures for the financial management are being followed as per the manuals and guidelines available on the program website (Financial Manual for National TB Elimination Programme.).The financial management arrangements to account for and report on program funds, includes both Domestic Budgetary Support (DBS) and External Aided Component (EAC). The arrangements are as follows:</w:t>
      </w:r>
    </w:p>
    <w:p w14:paraId="5609D73D" w14:textId="77777777" w:rsidR="00A9591E" w:rsidRPr="00A9591E" w:rsidRDefault="00A9591E" w:rsidP="00A9591E">
      <w:pPr>
        <w:spacing w:before="0" w:after="0"/>
        <w:jc w:val="both"/>
        <w:rPr>
          <w:rFonts w:asciiTheme="minorHAnsi" w:hAnsiTheme="minorHAnsi" w:cstheme="minorHAnsi"/>
          <w:b/>
          <w:szCs w:val="24"/>
        </w:rPr>
      </w:pPr>
    </w:p>
    <w:p w14:paraId="543ACE77" w14:textId="58BD1EE0" w:rsidR="00A9591E" w:rsidRPr="00A9591E" w:rsidRDefault="00A9591E" w:rsidP="00D21DE1">
      <w:pPr>
        <w:pStyle w:val="NoSpacing"/>
        <w:jc w:val="both"/>
        <w:rPr>
          <w:rFonts w:asciiTheme="minorHAnsi" w:hAnsiTheme="minorHAnsi" w:cstheme="minorHAnsi"/>
        </w:rPr>
      </w:pPr>
      <w:r w:rsidRPr="00A9591E">
        <w:rPr>
          <w:rFonts w:asciiTheme="minorHAnsi" w:hAnsiTheme="minorHAnsi" w:cstheme="minorHAnsi"/>
          <w:b/>
          <w:bCs/>
        </w:rPr>
        <w:t>Institutional arrangements:</w:t>
      </w:r>
      <w:r w:rsidRPr="00A9591E">
        <w:rPr>
          <w:rFonts w:asciiTheme="minorHAnsi" w:hAnsiTheme="minorHAnsi" w:cstheme="minorHAnsi"/>
        </w:rPr>
        <w:t xml:space="preserve"> Central TB Division (CTD), being a part of the National Health Mission (NHM) holds the overall responsibility of the financial management of the program. Similarly, at the state and district level, the State TB Cell and the District TB Centre are</w:t>
      </w:r>
      <w:r w:rsidR="00D21DE1">
        <w:rPr>
          <w:rFonts w:asciiTheme="minorHAnsi" w:hAnsiTheme="minorHAnsi" w:cstheme="minorHAnsi"/>
        </w:rPr>
        <w:t xml:space="preserve"> </w:t>
      </w:r>
      <w:r w:rsidRPr="00A9591E">
        <w:rPr>
          <w:rFonts w:asciiTheme="minorHAnsi" w:hAnsiTheme="minorHAnsi" w:cstheme="minorHAnsi"/>
        </w:rPr>
        <w:t>responsible respectively.</w:t>
      </w:r>
    </w:p>
    <w:p w14:paraId="431A4212" w14:textId="6EF1B5B1" w:rsidR="00A9591E" w:rsidRPr="00A9591E" w:rsidRDefault="00A9591E" w:rsidP="00A9591E">
      <w:pPr>
        <w:pStyle w:val="NoSpacing"/>
        <w:jc w:val="both"/>
        <w:rPr>
          <w:rFonts w:asciiTheme="minorHAnsi" w:hAnsiTheme="minorHAnsi" w:cstheme="minorHAnsi"/>
        </w:rPr>
      </w:pPr>
      <w:r w:rsidRPr="00A9591E">
        <w:rPr>
          <w:rFonts w:asciiTheme="minorHAnsi" w:hAnsiTheme="minorHAnsi" w:cstheme="minorHAnsi"/>
        </w:rPr>
        <w:t>There is adequate experience at the central and state level for the disbursement and financial management of the project funds. The project has provided training to the finance staff at state level in maintenance of the records and forwarding the necessary reports. The Finance staff at central level has also provided training to staff at state/district level during their visits to the states and conducting group training. The programme has scaled-up to cover all the districts for the use of the Public Financial Management System (PFMS) for financial reporting. The states have sufficient capacity to plan and utilize the funds for project activities as also maintain requisite records and generate the required reports to be provided to the CTD, MOHF&amp;W and other agencies. The project at the central level has a Finance Unit (staffed by Finance consultants, Finance Manager, Jr. Consultant - Accounts, Consultant - Accounts) at the Central TB Division. At the state level, there is an Accounts Officer/Accountant (Two accountants in larger states) and the districts to have a full time accountant. The CTD will continue to make efforts to enhance the capacity for financial management at state and district level by visits by central staff for internal reviews, identifying training needs and providing the necessary training.</w:t>
      </w:r>
    </w:p>
    <w:p w14:paraId="616589F9" w14:textId="77777777" w:rsidR="00A9591E" w:rsidRPr="00A9591E" w:rsidRDefault="00A9591E" w:rsidP="00A9591E">
      <w:pPr>
        <w:pStyle w:val="NoSpacing"/>
        <w:jc w:val="both"/>
        <w:rPr>
          <w:rFonts w:asciiTheme="minorHAnsi" w:hAnsiTheme="minorHAnsi" w:cstheme="minorHAnsi"/>
        </w:rPr>
      </w:pPr>
      <w:r w:rsidRPr="00A9591E">
        <w:rPr>
          <w:rFonts w:asciiTheme="minorHAnsi" w:hAnsiTheme="minorHAnsi" w:cstheme="minorHAnsi"/>
        </w:rPr>
        <w:t xml:space="preserve">The project has been making financial performance-based disbursements to the states in the earlier phase. Releases of funds to the states has been based on the expenditures incurred, balances held in the states and districts and expected expenditures in the next two quarters. There has been however no direct linkage between the budgets of the states, action plans, programmatic progress, records of proceedings (ROP) and releases of funds to the states. These linkages will be developed and states will be encouraged to prepare budgets related to action plans every year. The states will also be required to monitor their performance regularly based on the budgets versus expenditures. </w:t>
      </w:r>
    </w:p>
    <w:p w14:paraId="0F6B02B5" w14:textId="77777777" w:rsidR="00A9591E" w:rsidRPr="00A9591E" w:rsidRDefault="00A9591E" w:rsidP="00A9591E">
      <w:pPr>
        <w:pStyle w:val="NoSpacing"/>
        <w:rPr>
          <w:rFonts w:asciiTheme="minorHAnsi" w:hAnsiTheme="minorHAnsi" w:cstheme="minorHAnsi"/>
        </w:rPr>
      </w:pPr>
    </w:p>
    <w:p w14:paraId="175386CA" w14:textId="77777777" w:rsidR="00A9591E" w:rsidRPr="00A9591E" w:rsidRDefault="00A9591E" w:rsidP="00A9591E">
      <w:pPr>
        <w:pStyle w:val="NoSpacing"/>
        <w:jc w:val="both"/>
        <w:rPr>
          <w:rFonts w:asciiTheme="minorHAnsi" w:hAnsiTheme="minorHAnsi" w:cstheme="minorHAnsi"/>
        </w:rPr>
      </w:pPr>
      <w:r w:rsidRPr="00A9591E">
        <w:rPr>
          <w:rFonts w:asciiTheme="minorHAnsi" w:hAnsiTheme="minorHAnsi" w:cstheme="minorHAnsi"/>
        </w:rPr>
        <w:t xml:space="preserve">TB programme will be implemented in mission mode and adequate structural changes will be adopted at central, state and district level for local resource generation to implement the local solution to the local challenges being faced by TB programme. Necessary registrations with appropriate authorities will be acquired and fund management systems with transparency would be established at all the necessary levels to enable acceptance of the resources, through banking channel or in kind, for investments in TB programme activities. All efforts will be made to ensure to prevent duplication of funding for same activities.  </w:t>
      </w:r>
    </w:p>
    <w:p w14:paraId="7A66AD39" w14:textId="77777777" w:rsidR="00A9591E" w:rsidRPr="00A9591E" w:rsidRDefault="00A9591E" w:rsidP="00A9591E">
      <w:pPr>
        <w:spacing w:before="0" w:after="0"/>
        <w:jc w:val="both"/>
        <w:rPr>
          <w:rFonts w:asciiTheme="minorHAnsi" w:hAnsiTheme="minorHAnsi" w:cstheme="minorHAnsi"/>
          <w:sz w:val="24"/>
          <w:szCs w:val="24"/>
        </w:rPr>
      </w:pPr>
    </w:p>
    <w:p w14:paraId="50106C9A" w14:textId="77777777" w:rsidR="00A9591E" w:rsidRPr="00A9591E" w:rsidRDefault="00A9591E" w:rsidP="00A9591E">
      <w:pPr>
        <w:jc w:val="both"/>
        <w:rPr>
          <w:rFonts w:asciiTheme="minorHAnsi" w:hAnsiTheme="minorHAnsi" w:cstheme="minorHAnsi"/>
          <w:b/>
          <w:color w:val="C86A07"/>
          <w:sz w:val="28"/>
        </w:rPr>
      </w:pPr>
      <w:r w:rsidRPr="00A9591E">
        <w:rPr>
          <w:rFonts w:asciiTheme="minorHAnsi" w:hAnsiTheme="minorHAnsi" w:cstheme="minorHAnsi"/>
          <w:b/>
          <w:color w:val="C86A07"/>
          <w:sz w:val="28"/>
        </w:rPr>
        <w:t xml:space="preserve">Budgeting and flow of funds </w:t>
      </w:r>
    </w:p>
    <w:p w14:paraId="21232464" w14:textId="77777777" w:rsidR="00A9591E" w:rsidRPr="00A9591E" w:rsidRDefault="00A9591E" w:rsidP="00A9591E">
      <w:pPr>
        <w:pStyle w:val="NoSpacing"/>
        <w:jc w:val="both"/>
        <w:rPr>
          <w:rFonts w:asciiTheme="minorHAnsi" w:hAnsiTheme="minorHAnsi" w:cstheme="minorHAnsi"/>
        </w:rPr>
      </w:pPr>
      <w:r w:rsidRPr="00A9591E">
        <w:rPr>
          <w:rFonts w:asciiTheme="minorHAnsi" w:hAnsiTheme="minorHAnsi" w:cstheme="minorHAnsi"/>
        </w:rPr>
        <w:t>Program expenditures are budgeted under the Demand for Grants of the MoHFW Flexible Pool for Communicable Diseases funding arrangement. These are reflected in two separate budget lines- General Component (GC) and Externally Aided Component (EAC).</w:t>
      </w:r>
    </w:p>
    <w:p w14:paraId="5C37DF00" w14:textId="77777777" w:rsidR="00A9591E" w:rsidRPr="00A9591E" w:rsidRDefault="00A9591E" w:rsidP="00A9591E">
      <w:pPr>
        <w:pStyle w:val="NoSpacing"/>
        <w:jc w:val="both"/>
        <w:rPr>
          <w:rFonts w:asciiTheme="minorHAnsi" w:hAnsiTheme="minorHAnsi" w:cstheme="minorHAnsi"/>
        </w:rPr>
      </w:pPr>
    </w:p>
    <w:p w14:paraId="6672F88F" w14:textId="77777777" w:rsidR="00A9591E" w:rsidRPr="00A9591E" w:rsidRDefault="00A9591E" w:rsidP="00A9591E">
      <w:pPr>
        <w:pStyle w:val="NoSpacing"/>
        <w:jc w:val="both"/>
        <w:rPr>
          <w:rFonts w:asciiTheme="minorHAnsi" w:hAnsiTheme="minorHAnsi" w:cstheme="minorHAnsi"/>
        </w:rPr>
      </w:pPr>
      <w:r w:rsidRPr="00A9591E">
        <w:rPr>
          <w:rFonts w:asciiTheme="minorHAnsi" w:hAnsiTheme="minorHAnsi" w:cstheme="minorHAnsi"/>
        </w:rPr>
        <w:lastRenderedPageBreak/>
        <w:t>The fund flow remains within the existing financial management system of the MoHFW, which operates through the centralized Pay and Accounts office. Release of funds to states is done in installments through State Treasury. Flow of funds from Central to state are in two to three instalments. The initial allocation will be based on cash flow forecasts based on their action plan and budgets and approved ROP. Subsequent funds will be released based on expenditures and projected requirement for release of funds.</w:t>
      </w:r>
    </w:p>
    <w:p w14:paraId="63B685ED" w14:textId="77777777" w:rsidR="00A9591E" w:rsidRPr="00A9591E" w:rsidRDefault="00A9591E" w:rsidP="00A9591E">
      <w:pPr>
        <w:pStyle w:val="NoSpacing"/>
        <w:jc w:val="both"/>
        <w:rPr>
          <w:rFonts w:asciiTheme="minorHAnsi" w:hAnsiTheme="minorHAnsi" w:cstheme="minorHAnsi"/>
        </w:rPr>
      </w:pPr>
    </w:p>
    <w:p w14:paraId="6C3CB83A" w14:textId="77777777" w:rsidR="00A9591E" w:rsidRPr="00A9591E" w:rsidRDefault="00A9591E" w:rsidP="00A9591E">
      <w:pPr>
        <w:pStyle w:val="NoSpacing"/>
        <w:jc w:val="both"/>
        <w:rPr>
          <w:rFonts w:asciiTheme="minorHAnsi" w:hAnsiTheme="minorHAnsi" w:cstheme="minorHAnsi"/>
        </w:rPr>
      </w:pPr>
      <w:r w:rsidRPr="00A9591E">
        <w:rPr>
          <w:rFonts w:asciiTheme="minorHAnsi" w:hAnsiTheme="minorHAnsi" w:cstheme="minorHAnsi"/>
        </w:rPr>
        <w:t>The budgets will be prepared by the states. These will be compiled from the district budgets that have been examined and consolidated at state level. Budgetary norms have been specified for planning of activities. The budgets will be supported by state and District annual action plans. These will be approved by the Executive Committee of the state NHM, followed by the final approvals of the National Programme Coordination Committee (NPCC) Meeting under the MoHFW and will form the basis of release of funds and monitoring project implementation by state and CTD.</w:t>
      </w:r>
    </w:p>
    <w:p w14:paraId="70746ED2" w14:textId="77777777" w:rsidR="00A9591E" w:rsidRPr="00A9591E" w:rsidRDefault="00A9591E" w:rsidP="00A9591E">
      <w:pPr>
        <w:spacing w:before="0" w:after="0"/>
        <w:jc w:val="both"/>
        <w:rPr>
          <w:rFonts w:asciiTheme="minorHAnsi" w:hAnsiTheme="minorHAnsi" w:cstheme="minorHAnsi"/>
          <w:sz w:val="22"/>
        </w:rPr>
      </w:pPr>
    </w:p>
    <w:p w14:paraId="3DCC61E7" w14:textId="77777777" w:rsidR="00A9591E" w:rsidRPr="0087755F" w:rsidRDefault="00A9591E" w:rsidP="0087755F">
      <w:pPr>
        <w:jc w:val="both"/>
        <w:rPr>
          <w:rFonts w:asciiTheme="minorHAnsi" w:hAnsiTheme="minorHAnsi" w:cstheme="minorHAnsi"/>
          <w:b/>
          <w:color w:val="C86A07"/>
          <w:sz w:val="28"/>
        </w:rPr>
      </w:pPr>
      <w:r w:rsidRPr="0087755F">
        <w:rPr>
          <w:rFonts w:asciiTheme="minorHAnsi" w:hAnsiTheme="minorHAnsi" w:cstheme="minorHAnsi"/>
          <w:b/>
          <w:color w:val="C86A07"/>
          <w:sz w:val="28"/>
        </w:rPr>
        <w:t>Accounting, Internal Controls and Finance Indicators</w:t>
      </w:r>
    </w:p>
    <w:p w14:paraId="50B9B60B"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b/>
          <w:bCs/>
          <w:sz w:val="22"/>
        </w:rPr>
        <w:t xml:space="preserve">Sanctions &amp; Approvals: </w:t>
      </w:r>
      <w:r w:rsidRPr="0087755F">
        <w:rPr>
          <w:rFonts w:asciiTheme="minorHAnsi" w:hAnsiTheme="minorHAnsi" w:cstheme="minorHAnsi"/>
          <w:sz w:val="22"/>
        </w:rPr>
        <w:t>All procurements of commodities are processed by the Central Medical Services Society (CMSS), an autonomous society under MoHFW, Govt. of India approved by the Cabinet and in line with it, all decisions on procurement will be taken by the CMSS without any reference to the MoHFW. All fund releases for commodity advances for approved contracts are routed through the Integrated Finance Division (IFD) and processed by the Drawing and Disbursing office (DDO) and Pay and Accounts Office (PAO).All the program expenditures follow the standard government systems of the PAO and are subject to control as per the General Financial Rules (GFR) of the Government of India. Payments are made through electronic funds transfer through treasury since the financial year 2014-2015</w:t>
      </w:r>
    </w:p>
    <w:p w14:paraId="7F899BE2" w14:textId="77777777" w:rsidR="00A9591E" w:rsidRPr="0087755F" w:rsidRDefault="00A9591E" w:rsidP="0087755F">
      <w:pPr>
        <w:spacing w:before="0" w:after="0"/>
        <w:jc w:val="both"/>
        <w:rPr>
          <w:rFonts w:asciiTheme="minorHAnsi" w:hAnsiTheme="minorHAnsi" w:cstheme="minorHAnsi"/>
          <w:sz w:val="22"/>
        </w:rPr>
      </w:pPr>
    </w:p>
    <w:p w14:paraId="5D2E2FC6"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b/>
          <w:bCs/>
          <w:sz w:val="22"/>
        </w:rPr>
        <w:t>Accounting:</w:t>
      </w:r>
      <w:r w:rsidRPr="0087755F">
        <w:rPr>
          <w:rFonts w:asciiTheme="minorHAnsi" w:hAnsiTheme="minorHAnsi" w:cstheme="minorHAnsi"/>
          <w:sz w:val="22"/>
        </w:rPr>
        <w:t xml:space="preserve"> The accounting records for all payments are made against approved budget. Budget lines are maintained by the Principal Accounts Officer and compiled by the Controller General of Accounts (CGA). The compiled monthly accounts are reconciled with the CTD record of transactions. Similarly the state and districts follows the NHM guidelines for accounting and finance reporting.</w:t>
      </w:r>
    </w:p>
    <w:p w14:paraId="4FEBB6BD" w14:textId="77777777" w:rsidR="00A9591E" w:rsidRPr="0087755F" w:rsidRDefault="00A9591E" w:rsidP="0087755F">
      <w:pPr>
        <w:spacing w:before="0" w:after="0"/>
        <w:jc w:val="both"/>
        <w:rPr>
          <w:rFonts w:asciiTheme="minorHAnsi" w:hAnsiTheme="minorHAnsi" w:cstheme="minorHAnsi"/>
          <w:sz w:val="22"/>
        </w:rPr>
      </w:pPr>
    </w:p>
    <w:p w14:paraId="20CE5B83"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b/>
          <w:bCs/>
          <w:sz w:val="22"/>
        </w:rPr>
        <w:t>Financial indicators:</w:t>
      </w:r>
      <w:r w:rsidRPr="0087755F">
        <w:rPr>
          <w:rFonts w:asciiTheme="minorHAnsi" w:hAnsiTheme="minorHAnsi" w:cstheme="minorHAnsi"/>
          <w:sz w:val="22"/>
        </w:rPr>
        <w:t xml:space="preserve"> A financial report is submitted by CTD to MoHFW and the donors like The Global Fund and World Bank on periodic intervals based on the compiled monthly accounts and CTD’s own record of expenditures. Similarly the state and district follows the NHM guidelines for the financial reporting.</w:t>
      </w:r>
    </w:p>
    <w:p w14:paraId="279964D1"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sz w:val="22"/>
        </w:rPr>
        <w:t xml:space="preserve">The financial records will be reviewed periodically by Finance staff at CTD and state to identify weaknesses and take measures for capacity building.   </w:t>
      </w:r>
    </w:p>
    <w:p w14:paraId="42BD708E" w14:textId="77777777" w:rsidR="00A9591E" w:rsidRPr="0087755F" w:rsidRDefault="00A9591E" w:rsidP="0087755F">
      <w:pPr>
        <w:spacing w:before="0" w:after="0"/>
        <w:jc w:val="both"/>
        <w:rPr>
          <w:rFonts w:asciiTheme="minorHAnsi" w:hAnsiTheme="minorHAnsi" w:cstheme="minorHAnsi"/>
          <w:sz w:val="22"/>
        </w:rPr>
      </w:pPr>
    </w:p>
    <w:p w14:paraId="7893CE20"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sz w:val="22"/>
        </w:rPr>
        <w:t>The following financial indicators shall be used to review the key financial activities in the states/districts:</w:t>
      </w:r>
    </w:p>
    <w:tbl>
      <w:tblPr>
        <w:tblpPr w:leftFromText="180" w:rightFromText="180" w:vertAnchor="text" w:horzAnchor="margin" w:tblpY="123"/>
        <w:tblW w:w="8928" w:type="dxa"/>
        <w:tblBorders>
          <w:top w:val="single" w:sz="2" w:space="0" w:color="F78E1E" w:themeColor="accent2"/>
          <w:bottom w:val="single" w:sz="2" w:space="0" w:color="F78E1E" w:themeColor="accent2"/>
          <w:insideH w:val="single" w:sz="2" w:space="0" w:color="F78E1E" w:themeColor="accent2"/>
          <w:insideV w:val="single" w:sz="2" w:space="0" w:color="F78E1E" w:themeColor="accent2"/>
        </w:tblBorders>
        <w:tblLook w:val="01E0" w:firstRow="1" w:lastRow="1" w:firstColumn="1" w:lastColumn="1" w:noHBand="0" w:noVBand="0"/>
      </w:tblPr>
      <w:tblGrid>
        <w:gridCol w:w="345"/>
        <w:gridCol w:w="2759"/>
        <w:gridCol w:w="3118"/>
        <w:gridCol w:w="2706"/>
      </w:tblGrid>
      <w:tr w:rsidR="00A9591E" w:rsidRPr="0087755F" w14:paraId="261C0370" w14:textId="77777777" w:rsidTr="00BD48E9">
        <w:trPr>
          <w:trHeight w:val="498"/>
        </w:trPr>
        <w:tc>
          <w:tcPr>
            <w:tcW w:w="345" w:type="dxa"/>
            <w:tcBorders>
              <w:top w:val="single" w:sz="2" w:space="0" w:color="F78E1E" w:themeColor="accent2"/>
              <w:left w:val="nil"/>
              <w:bottom w:val="single" w:sz="2" w:space="0" w:color="F78E1E" w:themeColor="accent2"/>
              <w:right w:val="single" w:sz="2" w:space="0" w:color="F78E1E" w:themeColor="accent2"/>
            </w:tcBorders>
          </w:tcPr>
          <w:p w14:paraId="595799F5" w14:textId="77777777" w:rsidR="00A9591E" w:rsidRPr="0087755F" w:rsidRDefault="00A9591E" w:rsidP="0087755F">
            <w:pPr>
              <w:spacing w:before="0" w:after="0"/>
              <w:jc w:val="both"/>
              <w:rPr>
                <w:rFonts w:asciiTheme="minorHAnsi" w:hAnsiTheme="minorHAnsi" w:cstheme="minorHAnsi"/>
                <w:b/>
                <w:sz w:val="22"/>
              </w:rPr>
            </w:pPr>
          </w:p>
        </w:tc>
        <w:tc>
          <w:tcPr>
            <w:tcW w:w="2759"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hideMark/>
          </w:tcPr>
          <w:p w14:paraId="10BA416B" w14:textId="77777777" w:rsidR="00A9591E" w:rsidRPr="0087755F" w:rsidRDefault="00A9591E" w:rsidP="0087755F">
            <w:pPr>
              <w:spacing w:before="0" w:after="0"/>
              <w:jc w:val="both"/>
              <w:rPr>
                <w:rFonts w:asciiTheme="minorHAnsi" w:hAnsiTheme="minorHAnsi" w:cstheme="minorHAnsi"/>
                <w:b/>
                <w:sz w:val="22"/>
              </w:rPr>
            </w:pPr>
            <w:r w:rsidRPr="0087755F">
              <w:rPr>
                <w:rFonts w:asciiTheme="minorHAnsi" w:hAnsiTheme="minorHAnsi" w:cstheme="minorHAnsi"/>
                <w:b/>
                <w:sz w:val="22"/>
              </w:rPr>
              <w:t>Activities</w:t>
            </w:r>
          </w:p>
        </w:tc>
        <w:tc>
          <w:tcPr>
            <w:tcW w:w="3118"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hideMark/>
          </w:tcPr>
          <w:p w14:paraId="546C718C" w14:textId="77777777" w:rsidR="00A9591E" w:rsidRPr="0087755F" w:rsidRDefault="00A9591E" w:rsidP="0087755F">
            <w:pPr>
              <w:spacing w:before="0" w:after="0"/>
              <w:jc w:val="both"/>
              <w:rPr>
                <w:rFonts w:asciiTheme="minorHAnsi" w:hAnsiTheme="minorHAnsi" w:cstheme="minorHAnsi"/>
                <w:b/>
                <w:sz w:val="22"/>
              </w:rPr>
            </w:pPr>
            <w:r w:rsidRPr="0087755F">
              <w:rPr>
                <w:rFonts w:asciiTheme="minorHAnsi" w:hAnsiTheme="minorHAnsi" w:cstheme="minorHAnsi"/>
                <w:b/>
                <w:sz w:val="22"/>
              </w:rPr>
              <w:t>Indicator</w:t>
            </w:r>
          </w:p>
        </w:tc>
        <w:tc>
          <w:tcPr>
            <w:tcW w:w="2706" w:type="dxa"/>
            <w:tcBorders>
              <w:top w:val="single" w:sz="2" w:space="0" w:color="F78E1E" w:themeColor="accent2"/>
              <w:left w:val="single" w:sz="2" w:space="0" w:color="F78E1E" w:themeColor="accent2"/>
              <w:bottom w:val="single" w:sz="2" w:space="0" w:color="F78E1E" w:themeColor="accent2"/>
              <w:right w:val="nil"/>
            </w:tcBorders>
            <w:hideMark/>
          </w:tcPr>
          <w:p w14:paraId="5F4CF33B" w14:textId="77777777" w:rsidR="00A9591E" w:rsidRPr="0087755F" w:rsidRDefault="00A9591E" w:rsidP="0087755F">
            <w:pPr>
              <w:spacing w:before="0" w:after="0"/>
              <w:jc w:val="both"/>
              <w:rPr>
                <w:rFonts w:asciiTheme="minorHAnsi" w:hAnsiTheme="minorHAnsi" w:cstheme="minorHAnsi"/>
                <w:b/>
                <w:bCs/>
                <w:sz w:val="22"/>
              </w:rPr>
            </w:pPr>
            <w:r w:rsidRPr="0087755F">
              <w:rPr>
                <w:rFonts w:asciiTheme="minorHAnsi" w:hAnsiTheme="minorHAnsi" w:cstheme="minorHAnsi"/>
                <w:b/>
                <w:bCs/>
                <w:sz w:val="22"/>
              </w:rPr>
              <w:t>Source (s) of Verification</w:t>
            </w:r>
          </w:p>
        </w:tc>
      </w:tr>
      <w:tr w:rsidR="00A9591E" w:rsidRPr="0087755F" w14:paraId="05B8FE19" w14:textId="77777777" w:rsidTr="00BD48E9">
        <w:trPr>
          <w:trHeight w:val="396"/>
        </w:trPr>
        <w:tc>
          <w:tcPr>
            <w:tcW w:w="345" w:type="dxa"/>
            <w:tcBorders>
              <w:top w:val="single" w:sz="2" w:space="0" w:color="F78E1E" w:themeColor="accent2"/>
              <w:left w:val="nil"/>
              <w:bottom w:val="single" w:sz="2" w:space="0" w:color="F78E1E" w:themeColor="accent2"/>
              <w:right w:val="single" w:sz="2" w:space="0" w:color="F78E1E" w:themeColor="accent2"/>
            </w:tcBorders>
            <w:hideMark/>
          </w:tcPr>
          <w:p w14:paraId="1BBCB3D6" w14:textId="77777777" w:rsidR="00A9591E" w:rsidRPr="0087755F" w:rsidRDefault="00A9591E" w:rsidP="0087755F">
            <w:pPr>
              <w:spacing w:before="0" w:after="0"/>
              <w:rPr>
                <w:rFonts w:asciiTheme="minorHAnsi" w:hAnsiTheme="minorHAnsi" w:cstheme="minorHAnsi"/>
                <w:bCs/>
                <w:sz w:val="22"/>
              </w:rPr>
            </w:pPr>
            <w:r w:rsidRPr="0087755F">
              <w:rPr>
                <w:rFonts w:asciiTheme="minorHAnsi" w:hAnsiTheme="minorHAnsi" w:cstheme="minorHAnsi"/>
                <w:bCs/>
                <w:sz w:val="22"/>
              </w:rPr>
              <w:t>1</w:t>
            </w:r>
          </w:p>
        </w:tc>
        <w:tc>
          <w:tcPr>
            <w:tcW w:w="2759"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hideMark/>
          </w:tcPr>
          <w:p w14:paraId="314BCB8B" w14:textId="77777777" w:rsidR="00A9591E" w:rsidRPr="0087755F" w:rsidRDefault="00A9591E" w:rsidP="0087755F">
            <w:pPr>
              <w:spacing w:before="0" w:after="0"/>
              <w:rPr>
                <w:rFonts w:asciiTheme="minorHAnsi" w:hAnsiTheme="minorHAnsi" w:cstheme="minorHAnsi"/>
                <w:sz w:val="22"/>
              </w:rPr>
            </w:pPr>
            <w:r w:rsidRPr="0087755F">
              <w:rPr>
                <w:rFonts w:asciiTheme="minorHAnsi" w:hAnsiTheme="minorHAnsi" w:cstheme="minorHAnsi"/>
                <w:bCs/>
                <w:sz w:val="22"/>
              </w:rPr>
              <w:t>Key Financial personnel in place in centre and states</w:t>
            </w:r>
          </w:p>
        </w:tc>
        <w:tc>
          <w:tcPr>
            <w:tcW w:w="3118"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hideMark/>
          </w:tcPr>
          <w:p w14:paraId="43CC732E" w14:textId="77777777" w:rsidR="00A9591E" w:rsidRPr="0087755F" w:rsidRDefault="00A9591E" w:rsidP="0087755F">
            <w:pPr>
              <w:spacing w:before="0" w:after="0"/>
              <w:rPr>
                <w:rFonts w:asciiTheme="minorHAnsi" w:hAnsiTheme="minorHAnsi" w:cstheme="minorHAnsi"/>
                <w:sz w:val="22"/>
              </w:rPr>
            </w:pPr>
            <w:r w:rsidRPr="0087755F">
              <w:rPr>
                <w:rFonts w:asciiTheme="minorHAnsi" w:hAnsiTheme="minorHAnsi" w:cstheme="minorHAnsi"/>
                <w:sz w:val="22"/>
              </w:rPr>
              <w:t>Staff in position</w:t>
            </w:r>
          </w:p>
        </w:tc>
        <w:tc>
          <w:tcPr>
            <w:tcW w:w="2706" w:type="dxa"/>
            <w:tcBorders>
              <w:top w:val="single" w:sz="2" w:space="0" w:color="F78E1E" w:themeColor="accent2"/>
              <w:left w:val="single" w:sz="2" w:space="0" w:color="F78E1E" w:themeColor="accent2"/>
              <w:bottom w:val="single" w:sz="2" w:space="0" w:color="F78E1E" w:themeColor="accent2"/>
              <w:right w:val="nil"/>
            </w:tcBorders>
          </w:tcPr>
          <w:p w14:paraId="156B83D4" w14:textId="77777777" w:rsidR="00A9591E" w:rsidRPr="0087755F" w:rsidRDefault="00A9591E" w:rsidP="0087755F">
            <w:pPr>
              <w:spacing w:before="0" w:after="0"/>
              <w:rPr>
                <w:rFonts w:asciiTheme="minorHAnsi" w:hAnsiTheme="minorHAnsi" w:cstheme="minorHAnsi"/>
                <w:bCs/>
                <w:sz w:val="22"/>
              </w:rPr>
            </w:pPr>
            <w:r w:rsidRPr="0087755F">
              <w:rPr>
                <w:rFonts w:asciiTheme="minorHAnsi" w:hAnsiTheme="minorHAnsi" w:cstheme="minorHAnsi"/>
                <w:bCs/>
                <w:sz w:val="22"/>
              </w:rPr>
              <w:t>Appointment orders</w:t>
            </w:r>
          </w:p>
          <w:p w14:paraId="58AD26DE" w14:textId="77777777" w:rsidR="00A9591E" w:rsidRPr="0087755F" w:rsidRDefault="00A9591E" w:rsidP="0087755F">
            <w:pPr>
              <w:spacing w:before="0" w:after="0"/>
              <w:rPr>
                <w:rFonts w:asciiTheme="minorHAnsi" w:hAnsiTheme="minorHAnsi" w:cstheme="minorHAnsi"/>
                <w:bCs/>
                <w:sz w:val="22"/>
              </w:rPr>
            </w:pPr>
          </w:p>
        </w:tc>
      </w:tr>
      <w:tr w:rsidR="00A9591E" w:rsidRPr="0087755F" w14:paraId="5E4B7EA4" w14:textId="77777777" w:rsidTr="00BD48E9">
        <w:trPr>
          <w:trHeight w:val="183"/>
        </w:trPr>
        <w:tc>
          <w:tcPr>
            <w:tcW w:w="345" w:type="dxa"/>
            <w:tcBorders>
              <w:top w:val="single" w:sz="2" w:space="0" w:color="F78E1E" w:themeColor="accent2"/>
              <w:left w:val="nil"/>
              <w:bottom w:val="single" w:sz="2" w:space="0" w:color="F78E1E" w:themeColor="accent2"/>
              <w:right w:val="single" w:sz="2" w:space="0" w:color="F78E1E" w:themeColor="accent2"/>
            </w:tcBorders>
            <w:hideMark/>
          </w:tcPr>
          <w:p w14:paraId="24F8CAB1" w14:textId="77777777" w:rsidR="00A9591E" w:rsidRPr="0087755F" w:rsidRDefault="00A9591E" w:rsidP="0087755F">
            <w:pPr>
              <w:spacing w:before="0" w:after="0"/>
              <w:rPr>
                <w:rFonts w:asciiTheme="minorHAnsi" w:hAnsiTheme="minorHAnsi" w:cstheme="minorHAnsi"/>
                <w:sz w:val="22"/>
              </w:rPr>
            </w:pPr>
            <w:r w:rsidRPr="0087755F">
              <w:rPr>
                <w:rFonts w:asciiTheme="minorHAnsi" w:hAnsiTheme="minorHAnsi" w:cstheme="minorHAnsi"/>
                <w:sz w:val="22"/>
              </w:rPr>
              <w:t>2</w:t>
            </w:r>
          </w:p>
        </w:tc>
        <w:tc>
          <w:tcPr>
            <w:tcW w:w="2759"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hideMark/>
          </w:tcPr>
          <w:p w14:paraId="7784B852" w14:textId="77777777" w:rsidR="00A9591E" w:rsidRPr="0087755F" w:rsidRDefault="00A9591E" w:rsidP="0087755F">
            <w:pPr>
              <w:spacing w:before="0" w:after="0"/>
              <w:rPr>
                <w:rFonts w:asciiTheme="minorHAnsi" w:hAnsiTheme="minorHAnsi" w:cstheme="minorHAnsi"/>
                <w:sz w:val="22"/>
              </w:rPr>
            </w:pPr>
            <w:r w:rsidRPr="0087755F">
              <w:rPr>
                <w:rFonts w:asciiTheme="minorHAnsi" w:hAnsiTheme="minorHAnsi" w:cstheme="minorHAnsi"/>
                <w:sz w:val="22"/>
              </w:rPr>
              <w:t>Disseminate “Financial Manual” containing set of accounting procedures and policies for all levels.</w:t>
            </w:r>
          </w:p>
        </w:tc>
        <w:tc>
          <w:tcPr>
            <w:tcW w:w="3118"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hideMark/>
          </w:tcPr>
          <w:p w14:paraId="39A021B1" w14:textId="77777777" w:rsidR="00A9591E" w:rsidRPr="0087755F" w:rsidRDefault="00A9591E" w:rsidP="0087755F">
            <w:pPr>
              <w:spacing w:before="0" w:after="0"/>
              <w:rPr>
                <w:rFonts w:asciiTheme="minorHAnsi" w:hAnsiTheme="minorHAnsi" w:cstheme="minorHAnsi"/>
                <w:sz w:val="22"/>
              </w:rPr>
            </w:pPr>
            <w:r w:rsidRPr="0087755F">
              <w:rPr>
                <w:rFonts w:asciiTheme="minorHAnsi" w:hAnsiTheme="minorHAnsi" w:cstheme="minorHAnsi"/>
                <w:sz w:val="22"/>
              </w:rPr>
              <w:t>Manual disseminated</w:t>
            </w:r>
          </w:p>
        </w:tc>
        <w:tc>
          <w:tcPr>
            <w:tcW w:w="2706" w:type="dxa"/>
            <w:tcBorders>
              <w:top w:val="single" w:sz="2" w:space="0" w:color="F78E1E" w:themeColor="accent2"/>
              <w:left w:val="single" w:sz="2" w:space="0" w:color="F78E1E" w:themeColor="accent2"/>
              <w:bottom w:val="single" w:sz="2" w:space="0" w:color="F78E1E" w:themeColor="accent2"/>
              <w:right w:val="nil"/>
            </w:tcBorders>
          </w:tcPr>
          <w:p w14:paraId="4F395F89" w14:textId="77777777" w:rsidR="00A9591E" w:rsidRPr="0087755F" w:rsidRDefault="00A9591E" w:rsidP="0087755F">
            <w:pPr>
              <w:spacing w:before="0" w:after="0"/>
              <w:rPr>
                <w:rFonts w:asciiTheme="minorHAnsi" w:hAnsiTheme="minorHAnsi" w:cstheme="minorHAnsi"/>
                <w:bCs/>
                <w:sz w:val="22"/>
              </w:rPr>
            </w:pPr>
            <w:r w:rsidRPr="0087755F">
              <w:rPr>
                <w:rFonts w:asciiTheme="minorHAnsi" w:hAnsiTheme="minorHAnsi" w:cstheme="minorHAnsi"/>
                <w:bCs/>
                <w:sz w:val="22"/>
              </w:rPr>
              <w:t>Dissemination Report on the Manual</w:t>
            </w:r>
          </w:p>
          <w:p w14:paraId="6712FB9C" w14:textId="77777777" w:rsidR="00A9591E" w:rsidRPr="0087755F" w:rsidRDefault="00A9591E" w:rsidP="0087755F">
            <w:pPr>
              <w:spacing w:before="0" w:after="0"/>
              <w:rPr>
                <w:rFonts w:asciiTheme="minorHAnsi" w:hAnsiTheme="minorHAnsi" w:cstheme="minorHAnsi"/>
                <w:bCs/>
                <w:sz w:val="22"/>
              </w:rPr>
            </w:pPr>
          </w:p>
        </w:tc>
      </w:tr>
      <w:tr w:rsidR="00A9591E" w:rsidRPr="0087755F" w14:paraId="70D57198" w14:textId="77777777" w:rsidTr="00BD48E9">
        <w:trPr>
          <w:trHeight w:val="875"/>
        </w:trPr>
        <w:tc>
          <w:tcPr>
            <w:tcW w:w="345" w:type="dxa"/>
            <w:tcBorders>
              <w:top w:val="single" w:sz="2" w:space="0" w:color="F78E1E" w:themeColor="accent2"/>
              <w:left w:val="nil"/>
              <w:bottom w:val="single" w:sz="2" w:space="0" w:color="F78E1E" w:themeColor="accent2"/>
              <w:right w:val="single" w:sz="2" w:space="0" w:color="F78E1E" w:themeColor="accent2"/>
            </w:tcBorders>
            <w:hideMark/>
          </w:tcPr>
          <w:p w14:paraId="114633CC" w14:textId="77777777" w:rsidR="00A9591E" w:rsidRPr="0087755F" w:rsidRDefault="00A9591E" w:rsidP="0087755F">
            <w:pPr>
              <w:spacing w:before="0" w:after="0"/>
              <w:rPr>
                <w:rFonts w:asciiTheme="minorHAnsi" w:hAnsiTheme="minorHAnsi" w:cstheme="minorHAnsi"/>
                <w:sz w:val="22"/>
              </w:rPr>
            </w:pPr>
            <w:r w:rsidRPr="0087755F">
              <w:rPr>
                <w:rFonts w:asciiTheme="minorHAnsi" w:hAnsiTheme="minorHAnsi" w:cstheme="minorHAnsi"/>
                <w:sz w:val="22"/>
              </w:rPr>
              <w:lastRenderedPageBreak/>
              <w:t>3</w:t>
            </w:r>
          </w:p>
        </w:tc>
        <w:tc>
          <w:tcPr>
            <w:tcW w:w="2759"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hideMark/>
          </w:tcPr>
          <w:p w14:paraId="4D3DC0E5" w14:textId="77777777" w:rsidR="00A9591E" w:rsidRPr="0087755F" w:rsidRDefault="00A9591E" w:rsidP="0087755F">
            <w:pPr>
              <w:spacing w:before="0" w:after="0"/>
              <w:rPr>
                <w:rFonts w:asciiTheme="minorHAnsi" w:hAnsiTheme="minorHAnsi" w:cstheme="minorHAnsi"/>
                <w:sz w:val="22"/>
              </w:rPr>
            </w:pPr>
            <w:r w:rsidRPr="0087755F">
              <w:rPr>
                <w:rFonts w:asciiTheme="minorHAnsi" w:hAnsiTheme="minorHAnsi" w:cstheme="minorHAnsi"/>
                <w:sz w:val="22"/>
              </w:rPr>
              <w:t>Undertake financial management performance evaluation of entities based on agreed criteria and methodology</w:t>
            </w:r>
          </w:p>
        </w:tc>
        <w:tc>
          <w:tcPr>
            <w:tcW w:w="3118"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hideMark/>
          </w:tcPr>
          <w:p w14:paraId="551DFC57" w14:textId="77777777" w:rsidR="00A9591E" w:rsidRPr="0087755F" w:rsidRDefault="00A9591E" w:rsidP="0087755F">
            <w:pPr>
              <w:spacing w:before="0" w:after="0"/>
              <w:rPr>
                <w:rFonts w:asciiTheme="minorHAnsi" w:hAnsiTheme="minorHAnsi" w:cstheme="minorHAnsi"/>
                <w:sz w:val="22"/>
              </w:rPr>
            </w:pPr>
            <w:r w:rsidRPr="0087755F">
              <w:rPr>
                <w:rFonts w:asciiTheme="minorHAnsi" w:hAnsiTheme="minorHAnsi" w:cstheme="minorHAnsi"/>
                <w:sz w:val="22"/>
              </w:rPr>
              <w:t xml:space="preserve">Quarterly / Annual Financial Monitoring Reports </w:t>
            </w:r>
          </w:p>
        </w:tc>
        <w:tc>
          <w:tcPr>
            <w:tcW w:w="2706" w:type="dxa"/>
            <w:tcBorders>
              <w:top w:val="single" w:sz="2" w:space="0" w:color="F78E1E" w:themeColor="accent2"/>
              <w:left w:val="single" w:sz="2" w:space="0" w:color="F78E1E" w:themeColor="accent2"/>
              <w:bottom w:val="single" w:sz="2" w:space="0" w:color="F78E1E" w:themeColor="accent2"/>
              <w:right w:val="nil"/>
            </w:tcBorders>
            <w:hideMark/>
          </w:tcPr>
          <w:p w14:paraId="7A6665B3" w14:textId="77777777" w:rsidR="00A9591E" w:rsidRPr="0087755F" w:rsidRDefault="00A9591E" w:rsidP="0087755F">
            <w:pPr>
              <w:pStyle w:val="ListParagraph"/>
              <w:numPr>
                <w:ilvl w:val="0"/>
                <w:numId w:val="117"/>
              </w:numPr>
              <w:spacing w:before="0" w:after="0"/>
              <w:ind w:left="189" w:hanging="189"/>
              <w:rPr>
                <w:rFonts w:asciiTheme="minorHAnsi" w:hAnsiTheme="minorHAnsi" w:cstheme="minorHAnsi"/>
                <w:bCs/>
                <w:sz w:val="22"/>
              </w:rPr>
            </w:pPr>
            <w:r w:rsidRPr="0087755F">
              <w:rPr>
                <w:rFonts w:asciiTheme="minorHAnsi" w:hAnsiTheme="minorHAnsi" w:cstheme="minorHAnsi"/>
                <w:bCs/>
                <w:sz w:val="22"/>
              </w:rPr>
              <w:t>Report on variance between estimated date of fund receipt and actual date of release.</w:t>
            </w:r>
          </w:p>
          <w:p w14:paraId="45588AE6" w14:textId="77777777" w:rsidR="00A9591E" w:rsidRPr="0087755F" w:rsidRDefault="00A9591E" w:rsidP="0087755F">
            <w:pPr>
              <w:pStyle w:val="ListParagraph"/>
              <w:numPr>
                <w:ilvl w:val="0"/>
                <w:numId w:val="117"/>
              </w:numPr>
              <w:spacing w:before="0" w:after="0"/>
              <w:ind w:left="189" w:hanging="189"/>
              <w:rPr>
                <w:rFonts w:asciiTheme="minorHAnsi" w:hAnsiTheme="minorHAnsi" w:cstheme="minorHAnsi"/>
                <w:bCs/>
                <w:sz w:val="22"/>
              </w:rPr>
            </w:pPr>
            <w:r w:rsidRPr="0087755F">
              <w:rPr>
                <w:rFonts w:asciiTheme="minorHAnsi" w:hAnsiTheme="minorHAnsi" w:cstheme="minorHAnsi"/>
                <w:bCs/>
                <w:sz w:val="22"/>
              </w:rPr>
              <w:t>Financial management proforma</w:t>
            </w:r>
          </w:p>
        </w:tc>
      </w:tr>
      <w:tr w:rsidR="00A9591E" w:rsidRPr="0087755F" w14:paraId="5BDAA949" w14:textId="77777777" w:rsidTr="00BD48E9">
        <w:trPr>
          <w:trHeight w:val="1981"/>
        </w:trPr>
        <w:tc>
          <w:tcPr>
            <w:tcW w:w="345" w:type="dxa"/>
            <w:tcBorders>
              <w:top w:val="single" w:sz="2" w:space="0" w:color="F78E1E" w:themeColor="accent2"/>
              <w:left w:val="nil"/>
              <w:bottom w:val="single" w:sz="2" w:space="0" w:color="F78E1E" w:themeColor="accent2"/>
              <w:right w:val="single" w:sz="2" w:space="0" w:color="F78E1E" w:themeColor="accent2"/>
            </w:tcBorders>
            <w:hideMark/>
          </w:tcPr>
          <w:p w14:paraId="4773BE78" w14:textId="77777777" w:rsidR="00A9591E" w:rsidRPr="0087755F" w:rsidRDefault="00A9591E" w:rsidP="0087755F">
            <w:pPr>
              <w:spacing w:before="0" w:after="0"/>
              <w:rPr>
                <w:rFonts w:asciiTheme="minorHAnsi" w:hAnsiTheme="minorHAnsi" w:cstheme="minorHAnsi"/>
                <w:bCs/>
                <w:sz w:val="22"/>
              </w:rPr>
            </w:pPr>
            <w:r w:rsidRPr="0087755F">
              <w:rPr>
                <w:rFonts w:asciiTheme="minorHAnsi" w:hAnsiTheme="minorHAnsi" w:cstheme="minorHAnsi"/>
                <w:bCs/>
                <w:sz w:val="22"/>
              </w:rPr>
              <w:t>4</w:t>
            </w:r>
          </w:p>
        </w:tc>
        <w:tc>
          <w:tcPr>
            <w:tcW w:w="2759"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tcPr>
          <w:p w14:paraId="3E5ECAF3" w14:textId="77777777" w:rsidR="00A9591E" w:rsidRPr="0087755F" w:rsidRDefault="00A9591E" w:rsidP="0087755F">
            <w:pPr>
              <w:spacing w:before="0" w:after="0"/>
              <w:rPr>
                <w:rFonts w:asciiTheme="minorHAnsi" w:hAnsiTheme="minorHAnsi" w:cstheme="minorHAnsi"/>
                <w:bCs/>
                <w:sz w:val="22"/>
              </w:rPr>
            </w:pPr>
            <w:r w:rsidRPr="0087755F">
              <w:rPr>
                <w:rFonts w:asciiTheme="minorHAnsi" w:hAnsiTheme="minorHAnsi" w:cstheme="minorHAnsi"/>
                <w:bCs/>
                <w:sz w:val="22"/>
              </w:rPr>
              <w:t>Ensure streamlined system of funds-flow (centre to state and state to District)</w:t>
            </w:r>
          </w:p>
          <w:p w14:paraId="559C9F72" w14:textId="77777777" w:rsidR="00A9591E" w:rsidRPr="0087755F" w:rsidRDefault="00A9591E" w:rsidP="0087755F">
            <w:pPr>
              <w:spacing w:before="0" w:after="0"/>
              <w:rPr>
                <w:rFonts w:asciiTheme="minorHAnsi" w:hAnsiTheme="minorHAnsi" w:cstheme="minorHAnsi"/>
                <w:bCs/>
                <w:sz w:val="22"/>
              </w:rPr>
            </w:pPr>
          </w:p>
        </w:tc>
        <w:tc>
          <w:tcPr>
            <w:tcW w:w="3118" w:type="dxa"/>
            <w:tcBorders>
              <w:top w:val="single" w:sz="2" w:space="0" w:color="F78E1E" w:themeColor="accent2"/>
              <w:left w:val="single" w:sz="2" w:space="0" w:color="F78E1E" w:themeColor="accent2"/>
              <w:bottom w:val="single" w:sz="2" w:space="0" w:color="F78E1E" w:themeColor="accent2"/>
              <w:right w:val="single" w:sz="2" w:space="0" w:color="F78E1E" w:themeColor="accent2"/>
            </w:tcBorders>
            <w:hideMark/>
          </w:tcPr>
          <w:p w14:paraId="749DCA14" w14:textId="77777777" w:rsidR="00A9591E" w:rsidRPr="0087755F" w:rsidRDefault="00A9591E" w:rsidP="0087755F">
            <w:pPr>
              <w:pStyle w:val="ListParagraph"/>
              <w:numPr>
                <w:ilvl w:val="0"/>
                <w:numId w:val="117"/>
              </w:numPr>
              <w:spacing w:before="0" w:after="0"/>
              <w:ind w:left="183" w:hanging="183"/>
              <w:rPr>
                <w:rFonts w:asciiTheme="minorHAnsi" w:hAnsiTheme="minorHAnsi" w:cstheme="minorHAnsi"/>
                <w:bCs/>
                <w:sz w:val="22"/>
              </w:rPr>
            </w:pPr>
            <w:r w:rsidRPr="0087755F">
              <w:rPr>
                <w:rFonts w:asciiTheme="minorHAnsi" w:hAnsiTheme="minorHAnsi" w:cstheme="minorHAnsi"/>
                <w:bCs/>
                <w:sz w:val="22"/>
              </w:rPr>
              <w:t>Action plans and Budgets prepared and forwarded by states/districts to state and CTD respectively in time</w:t>
            </w:r>
          </w:p>
          <w:p w14:paraId="645E5028" w14:textId="77777777" w:rsidR="00A9591E" w:rsidRPr="0087755F" w:rsidRDefault="00A9591E" w:rsidP="0087755F">
            <w:pPr>
              <w:pStyle w:val="ListParagraph"/>
              <w:numPr>
                <w:ilvl w:val="0"/>
                <w:numId w:val="117"/>
              </w:numPr>
              <w:spacing w:before="0" w:after="0"/>
              <w:ind w:left="183" w:hanging="183"/>
              <w:rPr>
                <w:rFonts w:asciiTheme="minorHAnsi" w:hAnsiTheme="minorHAnsi" w:cstheme="minorHAnsi"/>
                <w:bCs/>
                <w:sz w:val="22"/>
              </w:rPr>
            </w:pPr>
            <w:r w:rsidRPr="0087755F">
              <w:rPr>
                <w:rFonts w:asciiTheme="minorHAnsi" w:hAnsiTheme="minorHAnsi" w:cstheme="minorHAnsi"/>
                <w:bCs/>
                <w:sz w:val="22"/>
              </w:rPr>
              <w:t xml:space="preserve">Audit reports of previous FY of acceptable quality submitted by 30 September every year  </w:t>
            </w:r>
          </w:p>
          <w:p w14:paraId="11360825" w14:textId="77777777" w:rsidR="00A9591E" w:rsidRPr="0087755F" w:rsidRDefault="00A9591E" w:rsidP="0087755F">
            <w:pPr>
              <w:pStyle w:val="ListParagraph"/>
              <w:numPr>
                <w:ilvl w:val="0"/>
                <w:numId w:val="117"/>
              </w:numPr>
              <w:spacing w:before="0" w:after="0"/>
              <w:ind w:left="183" w:hanging="183"/>
              <w:rPr>
                <w:rFonts w:asciiTheme="minorHAnsi" w:hAnsiTheme="minorHAnsi" w:cstheme="minorHAnsi"/>
                <w:bCs/>
                <w:sz w:val="22"/>
              </w:rPr>
            </w:pPr>
            <w:r w:rsidRPr="0087755F">
              <w:rPr>
                <w:rFonts w:asciiTheme="minorHAnsi" w:hAnsiTheme="minorHAnsi" w:cstheme="minorHAnsi"/>
                <w:bCs/>
                <w:sz w:val="22"/>
              </w:rPr>
              <w:t>Consolidated SOEs forwarded by states to CTD within 30 days of end of quarter</w:t>
            </w:r>
          </w:p>
        </w:tc>
        <w:tc>
          <w:tcPr>
            <w:tcW w:w="2706" w:type="dxa"/>
            <w:tcBorders>
              <w:top w:val="single" w:sz="2" w:space="0" w:color="F78E1E" w:themeColor="accent2"/>
              <w:left w:val="single" w:sz="2" w:space="0" w:color="F78E1E" w:themeColor="accent2"/>
              <w:bottom w:val="single" w:sz="2" w:space="0" w:color="F78E1E" w:themeColor="accent2"/>
              <w:right w:val="nil"/>
            </w:tcBorders>
          </w:tcPr>
          <w:p w14:paraId="60E31F59" w14:textId="77777777" w:rsidR="00A9591E" w:rsidRPr="0087755F" w:rsidRDefault="00A9591E" w:rsidP="0087755F">
            <w:pPr>
              <w:pStyle w:val="ListParagraph"/>
              <w:numPr>
                <w:ilvl w:val="0"/>
                <w:numId w:val="117"/>
              </w:numPr>
              <w:spacing w:before="0" w:after="0"/>
              <w:ind w:left="189" w:hanging="189"/>
              <w:rPr>
                <w:rFonts w:asciiTheme="minorHAnsi" w:hAnsiTheme="minorHAnsi" w:cstheme="minorHAnsi"/>
                <w:bCs/>
                <w:sz w:val="22"/>
              </w:rPr>
            </w:pPr>
            <w:r w:rsidRPr="0087755F">
              <w:rPr>
                <w:rFonts w:asciiTheme="minorHAnsi" w:hAnsiTheme="minorHAnsi" w:cstheme="minorHAnsi"/>
                <w:bCs/>
                <w:sz w:val="22"/>
              </w:rPr>
              <w:t>Action Plan and Budget of State and District</w:t>
            </w:r>
          </w:p>
          <w:p w14:paraId="0436841C" w14:textId="77777777" w:rsidR="00A9591E" w:rsidRPr="0087755F" w:rsidRDefault="00A9591E" w:rsidP="0087755F">
            <w:pPr>
              <w:spacing w:before="0" w:after="0"/>
              <w:ind w:left="189" w:hanging="189"/>
              <w:rPr>
                <w:rFonts w:asciiTheme="minorHAnsi" w:hAnsiTheme="minorHAnsi" w:cstheme="minorHAnsi"/>
                <w:bCs/>
                <w:sz w:val="22"/>
              </w:rPr>
            </w:pPr>
          </w:p>
          <w:p w14:paraId="3A76D36E" w14:textId="77777777" w:rsidR="00A9591E" w:rsidRPr="0087755F" w:rsidRDefault="00A9591E" w:rsidP="0087755F">
            <w:pPr>
              <w:pStyle w:val="ListParagraph"/>
              <w:numPr>
                <w:ilvl w:val="0"/>
                <w:numId w:val="117"/>
              </w:numPr>
              <w:spacing w:before="0" w:after="0"/>
              <w:ind w:left="189" w:hanging="189"/>
              <w:rPr>
                <w:rFonts w:asciiTheme="minorHAnsi" w:hAnsiTheme="minorHAnsi" w:cstheme="minorHAnsi"/>
                <w:bCs/>
                <w:sz w:val="22"/>
              </w:rPr>
            </w:pPr>
            <w:r w:rsidRPr="0087755F">
              <w:rPr>
                <w:rFonts w:asciiTheme="minorHAnsi" w:hAnsiTheme="minorHAnsi" w:cstheme="minorHAnsi"/>
                <w:bCs/>
                <w:sz w:val="22"/>
              </w:rPr>
              <w:t>Audit reports / Consolidated SOEs</w:t>
            </w:r>
          </w:p>
          <w:p w14:paraId="7B99F1B5" w14:textId="77777777" w:rsidR="00A9591E" w:rsidRPr="0087755F" w:rsidRDefault="00A9591E" w:rsidP="0087755F">
            <w:pPr>
              <w:spacing w:before="0" w:after="0"/>
              <w:rPr>
                <w:rFonts w:asciiTheme="minorHAnsi" w:hAnsiTheme="minorHAnsi" w:cstheme="minorHAnsi"/>
                <w:bCs/>
                <w:sz w:val="22"/>
              </w:rPr>
            </w:pPr>
          </w:p>
        </w:tc>
      </w:tr>
    </w:tbl>
    <w:p w14:paraId="6E9D2B29"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sz w:val="22"/>
        </w:rPr>
        <w:t xml:space="preserve"> </w:t>
      </w:r>
    </w:p>
    <w:p w14:paraId="1E8DB557"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sz w:val="22"/>
        </w:rPr>
        <w:t>Internal control system will include the following:</w:t>
      </w:r>
    </w:p>
    <w:p w14:paraId="3D727E62" w14:textId="77777777" w:rsidR="00A9591E" w:rsidRPr="0087755F" w:rsidRDefault="00A9591E" w:rsidP="0087755F">
      <w:pPr>
        <w:numPr>
          <w:ilvl w:val="0"/>
          <w:numId w:val="118"/>
        </w:numPr>
        <w:tabs>
          <w:tab w:val="num" w:pos="540"/>
        </w:tabs>
        <w:spacing w:before="0" w:after="0"/>
        <w:ind w:left="540" w:hanging="540"/>
        <w:jc w:val="both"/>
        <w:rPr>
          <w:rFonts w:asciiTheme="minorHAnsi" w:hAnsiTheme="minorHAnsi" w:cstheme="minorHAnsi"/>
          <w:sz w:val="22"/>
        </w:rPr>
      </w:pPr>
      <w:r w:rsidRPr="0087755F">
        <w:rPr>
          <w:rFonts w:asciiTheme="minorHAnsi" w:hAnsiTheme="minorHAnsi" w:cstheme="minorHAnsi"/>
          <w:sz w:val="22"/>
        </w:rPr>
        <w:t>Establishment of appropriate budgeting systems and regular monitoring of actual financial performance with budgets and targets;</w:t>
      </w:r>
    </w:p>
    <w:p w14:paraId="6C673CC8" w14:textId="77777777" w:rsidR="00A9591E" w:rsidRPr="0087755F" w:rsidRDefault="00A9591E" w:rsidP="0087755F">
      <w:pPr>
        <w:numPr>
          <w:ilvl w:val="0"/>
          <w:numId w:val="118"/>
        </w:numPr>
        <w:tabs>
          <w:tab w:val="num" w:pos="540"/>
        </w:tabs>
        <w:spacing w:before="0" w:after="0"/>
        <w:ind w:left="540" w:hanging="540"/>
        <w:jc w:val="both"/>
        <w:rPr>
          <w:rFonts w:asciiTheme="minorHAnsi" w:hAnsiTheme="minorHAnsi" w:cstheme="minorHAnsi"/>
          <w:sz w:val="22"/>
        </w:rPr>
      </w:pPr>
      <w:r w:rsidRPr="0087755F">
        <w:rPr>
          <w:rFonts w:asciiTheme="minorHAnsi" w:hAnsiTheme="minorHAnsi" w:cstheme="minorHAnsi"/>
          <w:sz w:val="22"/>
        </w:rPr>
        <w:t>Adoption of simple, clear and transparent financial and accounting policies. These policies will include identification of expenditures that can be charged to the project and the categories under which it can be charged; policies and procedures for transfer of funds and accounting of expenditures</w:t>
      </w:r>
    </w:p>
    <w:p w14:paraId="4F93B3ED" w14:textId="77777777" w:rsidR="00A9591E" w:rsidRPr="0087755F" w:rsidRDefault="00A9591E" w:rsidP="0087755F">
      <w:pPr>
        <w:numPr>
          <w:ilvl w:val="0"/>
          <w:numId w:val="118"/>
        </w:numPr>
        <w:tabs>
          <w:tab w:val="num" w:pos="540"/>
        </w:tabs>
        <w:spacing w:before="0" w:after="0"/>
        <w:ind w:left="540" w:hanging="540"/>
        <w:jc w:val="both"/>
        <w:rPr>
          <w:rFonts w:asciiTheme="minorHAnsi" w:hAnsiTheme="minorHAnsi" w:cstheme="minorHAnsi"/>
          <w:sz w:val="22"/>
        </w:rPr>
      </w:pPr>
      <w:r w:rsidRPr="0087755F">
        <w:rPr>
          <w:rFonts w:asciiTheme="minorHAnsi" w:hAnsiTheme="minorHAnsi" w:cstheme="minorHAnsi"/>
          <w:sz w:val="22"/>
        </w:rPr>
        <w:t>Establishment of standard controls such as verification of expenditures, levels of authorization, reconciliation and physical verification.</w:t>
      </w:r>
    </w:p>
    <w:p w14:paraId="706A5AE5" w14:textId="77777777" w:rsidR="00A9591E" w:rsidRPr="0087755F" w:rsidRDefault="00A9591E" w:rsidP="0087755F">
      <w:pPr>
        <w:jc w:val="both"/>
        <w:rPr>
          <w:rFonts w:asciiTheme="minorHAnsi" w:hAnsiTheme="minorHAnsi" w:cstheme="minorHAnsi"/>
          <w:b/>
          <w:color w:val="C86A07"/>
          <w:sz w:val="22"/>
        </w:rPr>
      </w:pPr>
      <w:r w:rsidRPr="0087755F">
        <w:rPr>
          <w:rFonts w:asciiTheme="minorHAnsi" w:hAnsiTheme="minorHAnsi" w:cstheme="minorHAnsi"/>
          <w:b/>
          <w:color w:val="C86A07"/>
          <w:sz w:val="22"/>
        </w:rPr>
        <w:t>Financial reporting</w:t>
      </w:r>
    </w:p>
    <w:p w14:paraId="3B2DEE31"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sz w:val="22"/>
        </w:rPr>
        <w:t xml:space="preserve">The financial reporting will commence at districts that will provide SOE to the state TB cell with an electronic copy to State NHM. The state in turn will consolidate the SOE and forward to CTD. CTD will compile the SOEs from all entities and claim reimbursement, if any from the </w:t>
      </w:r>
      <w:r w:rsidRPr="0087755F">
        <w:rPr>
          <w:rFonts w:asciiTheme="minorHAnsi" w:hAnsiTheme="minorHAnsi" w:cstheme="minorHAnsi"/>
          <w:b/>
          <w:bCs/>
          <w:sz w:val="22"/>
        </w:rPr>
        <w:t>external funding agencies</w:t>
      </w:r>
      <w:r w:rsidRPr="0087755F">
        <w:rPr>
          <w:rFonts w:asciiTheme="minorHAnsi" w:hAnsiTheme="minorHAnsi" w:cstheme="minorHAnsi"/>
          <w:sz w:val="22"/>
        </w:rPr>
        <w:t>. With streamlined PFMS, the process of submission of SOE will be withdrawn.  After audited statements are received the balances at STCS and DTCS will be revised. The reports will include comparison of budgeted and actual expenditures and analysis of major variances. The release of first installment will be based on consolidated SOEs, Provisional Utilization Certificate of state duly countersigned by Secretary/Chief Secretary of the State and their State Share/ matching contribution of State as on 31</w:t>
      </w:r>
      <w:r w:rsidRPr="0087755F">
        <w:rPr>
          <w:rFonts w:asciiTheme="minorHAnsi" w:hAnsiTheme="minorHAnsi" w:cstheme="minorHAnsi"/>
          <w:sz w:val="22"/>
          <w:vertAlign w:val="superscript"/>
        </w:rPr>
        <w:t>st</w:t>
      </w:r>
      <w:r w:rsidRPr="0087755F">
        <w:rPr>
          <w:rFonts w:asciiTheme="minorHAnsi" w:hAnsiTheme="minorHAnsi" w:cstheme="minorHAnsi"/>
          <w:sz w:val="22"/>
        </w:rPr>
        <w:t xml:space="preserve"> March. The second and third installment will be released on receipt of consolidated audit report, utilization certificate, SOE of the latest quarter and their State Share/ matching contribution of State as on 30</w:t>
      </w:r>
      <w:r w:rsidRPr="0087755F">
        <w:rPr>
          <w:rFonts w:asciiTheme="minorHAnsi" w:hAnsiTheme="minorHAnsi" w:cstheme="minorHAnsi"/>
          <w:sz w:val="22"/>
          <w:vertAlign w:val="superscript"/>
        </w:rPr>
        <w:t>th</w:t>
      </w:r>
      <w:r w:rsidRPr="0087755F">
        <w:rPr>
          <w:rFonts w:asciiTheme="minorHAnsi" w:hAnsiTheme="minorHAnsi" w:cstheme="minorHAnsi"/>
          <w:sz w:val="22"/>
        </w:rPr>
        <w:t xml:space="preserve"> September </w:t>
      </w:r>
    </w:p>
    <w:p w14:paraId="6C178FF6" w14:textId="77777777" w:rsidR="00A9591E" w:rsidRPr="0087755F" w:rsidRDefault="00A9591E" w:rsidP="0087755F">
      <w:pPr>
        <w:spacing w:before="0" w:after="0"/>
        <w:jc w:val="both"/>
        <w:rPr>
          <w:rFonts w:asciiTheme="minorHAnsi" w:hAnsiTheme="minorHAnsi" w:cstheme="minorHAnsi"/>
          <w:sz w:val="22"/>
        </w:rPr>
      </w:pPr>
    </w:p>
    <w:p w14:paraId="5EFAB91E"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b/>
          <w:bCs/>
          <w:sz w:val="22"/>
        </w:rPr>
        <w:t>Integration with NHM:</w:t>
      </w:r>
      <w:r w:rsidRPr="0087755F">
        <w:rPr>
          <w:rFonts w:asciiTheme="minorHAnsi" w:hAnsiTheme="minorHAnsi" w:cstheme="minorHAnsi"/>
          <w:sz w:val="22"/>
        </w:rPr>
        <w:t xml:space="preserve"> Integration of NTEP with the NHM has presented two major advantages. On the one hand, States are required to contribute the required NTEP budget as below:-</w:t>
      </w:r>
    </w:p>
    <w:p w14:paraId="539C8B57" w14:textId="77777777" w:rsidR="00A9591E" w:rsidRPr="0087755F" w:rsidRDefault="00A9591E" w:rsidP="0087755F">
      <w:pPr>
        <w:pStyle w:val="ListParagraph"/>
        <w:jc w:val="both"/>
        <w:rPr>
          <w:rFonts w:asciiTheme="minorHAnsi" w:hAnsiTheme="minorHAnsi" w:cstheme="minorHAnsi"/>
          <w:b/>
          <w:sz w:val="22"/>
        </w:rPr>
      </w:pPr>
    </w:p>
    <w:tbl>
      <w:tblPr>
        <w:tblStyle w:val="TableGrid"/>
        <w:tblW w:w="0" w:type="auto"/>
        <w:tblInd w:w="720" w:type="dxa"/>
        <w:tblLook w:val="04A0" w:firstRow="1" w:lastRow="0" w:firstColumn="1" w:lastColumn="0" w:noHBand="0" w:noVBand="1"/>
      </w:tblPr>
      <w:tblGrid>
        <w:gridCol w:w="1022"/>
        <w:gridCol w:w="3157"/>
        <w:gridCol w:w="1900"/>
        <w:gridCol w:w="1920"/>
      </w:tblGrid>
      <w:tr w:rsidR="00A9591E" w:rsidRPr="0087755F" w14:paraId="040F9BFA" w14:textId="77777777" w:rsidTr="00BD48E9">
        <w:trPr>
          <w:cnfStyle w:val="100000000000" w:firstRow="1" w:lastRow="0" w:firstColumn="0" w:lastColumn="0" w:oddVBand="0" w:evenVBand="0" w:oddHBand="0" w:evenHBand="0" w:firstRowFirstColumn="0" w:firstRowLastColumn="0" w:lastRowFirstColumn="0" w:lastRowLastColumn="0"/>
          <w:trHeight w:val="653"/>
        </w:trPr>
        <w:tc>
          <w:tcPr>
            <w:tcW w:w="1022" w:type="dxa"/>
          </w:tcPr>
          <w:p w14:paraId="379A6179"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Sl. No.</w:t>
            </w:r>
          </w:p>
        </w:tc>
        <w:tc>
          <w:tcPr>
            <w:tcW w:w="3157" w:type="dxa"/>
          </w:tcPr>
          <w:p w14:paraId="389A22C5"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States</w:t>
            </w:r>
          </w:p>
        </w:tc>
        <w:tc>
          <w:tcPr>
            <w:tcW w:w="1900" w:type="dxa"/>
          </w:tcPr>
          <w:p w14:paraId="0C34A1CE"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Contribution by States/UTs</w:t>
            </w:r>
          </w:p>
        </w:tc>
        <w:tc>
          <w:tcPr>
            <w:tcW w:w="1920" w:type="dxa"/>
          </w:tcPr>
          <w:p w14:paraId="5A302531"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Contribution by Ministry (NHM)</w:t>
            </w:r>
          </w:p>
        </w:tc>
      </w:tr>
      <w:tr w:rsidR="00A9591E" w:rsidRPr="0087755F" w14:paraId="1F30B429" w14:textId="77777777" w:rsidTr="0087755F">
        <w:trPr>
          <w:trHeight w:val="187"/>
        </w:trPr>
        <w:tc>
          <w:tcPr>
            <w:tcW w:w="1022" w:type="dxa"/>
          </w:tcPr>
          <w:p w14:paraId="65DF6AC2"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1</w:t>
            </w:r>
          </w:p>
        </w:tc>
        <w:tc>
          <w:tcPr>
            <w:tcW w:w="3157" w:type="dxa"/>
          </w:tcPr>
          <w:p w14:paraId="470F835F"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States</w:t>
            </w:r>
          </w:p>
        </w:tc>
        <w:tc>
          <w:tcPr>
            <w:tcW w:w="1900" w:type="dxa"/>
          </w:tcPr>
          <w:p w14:paraId="392FA6C2"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40%</w:t>
            </w:r>
          </w:p>
        </w:tc>
        <w:tc>
          <w:tcPr>
            <w:tcW w:w="1920" w:type="dxa"/>
          </w:tcPr>
          <w:p w14:paraId="741D32BF"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60%</w:t>
            </w:r>
          </w:p>
        </w:tc>
      </w:tr>
      <w:tr w:rsidR="00A9591E" w:rsidRPr="0087755F" w14:paraId="119871CC" w14:textId="77777777" w:rsidTr="0087755F">
        <w:trPr>
          <w:trHeight w:val="55"/>
        </w:trPr>
        <w:tc>
          <w:tcPr>
            <w:tcW w:w="1022" w:type="dxa"/>
          </w:tcPr>
          <w:p w14:paraId="2A7C5C97"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2</w:t>
            </w:r>
          </w:p>
        </w:tc>
        <w:tc>
          <w:tcPr>
            <w:tcW w:w="3157" w:type="dxa"/>
          </w:tcPr>
          <w:p w14:paraId="7FF8E292"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 xml:space="preserve">Hilly States (Himachal Pradesh,  </w:t>
            </w:r>
            <w:r w:rsidRPr="0087755F">
              <w:rPr>
                <w:rFonts w:asciiTheme="minorHAnsi" w:hAnsiTheme="minorHAnsi" w:cstheme="minorHAnsi"/>
                <w:sz w:val="22"/>
              </w:rPr>
              <w:lastRenderedPageBreak/>
              <w:t>Uttrakhand) and NE States</w:t>
            </w:r>
          </w:p>
        </w:tc>
        <w:tc>
          <w:tcPr>
            <w:tcW w:w="1900" w:type="dxa"/>
          </w:tcPr>
          <w:p w14:paraId="0A18F374"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lastRenderedPageBreak/>
              <w:t>10%</w:t>
            </w:r>
          </w:p>
        </w:tc>
        <w:tc>
          <w:tcPr>
            <w:tcW w:w="1920" w:type="dxa"/>
          </w:tcPr>
          <w:p w14:paraId="7A4058B8"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90%</w:t>
            </w:r>
          </w:p>
        </w:tc>
      </w:tr>
      <w:tr w:rsidR="00A9591E" w:rsidRPr="0087755F" w14:paraId="7A7D1A61" w14:textId="77777777" w:rsidTr="0087755F">
        <w:trPr>
          <w:trHeight w:val="55"/>
        </w:trPr>
        <w:tc>
          <w:tcPr>
            <w:tcW w:w="1022" w:type="dxa"/>
          </w:tcPr>
          <w:p w14:paraId="205268C4"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3</w:t>
            </w:r>
          </w:p>
        </w:tc>
        <w:tc>
          <w:tcPr>
            <w:tcW w:w="3157" w:type="dxa"/>
          </w:tcPr>
          <w:p w14:paraId="1489EFE3"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UTs (including Jammu &amp; Kashmir and Ladakh)</w:t>
            </w:r>
          </w:p>
        </w:tc>
        <w:tc>
          <w:tcPr>
            <w:tcW w:w="1900" w:type="dxa"/>
          </w:tcPr>
          <w:p w14:paraId="0AC4924A"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0%</w:t>
            </w:r>
          </w:p>
        </w:tc>
        <w:tc>
          <w:tcPr>
            <w:tcW w:w="1920" w:type="dxa"/>
          </w:tcPr>
          <w:p w14:paraId="322CC48D" w14:textId="77777777" w:rsidR="00A9591E" w:rsidRPr="0087755F" w:rsidRDefault="00A9591E" w:rsidP="0087755F">
            <w:pPr>
              <w:pStyle w:val="ListParagraph"/>
              <w:ind w:left="0"/>
              <w:jc w:val="both"/>
              <w:rPr>
                <w:rFonts w:asciiTheme="minorHAnsi" w:hAnsiTheme="minorHAnsi" w:cstheme="minorHAnsi"/>
                <w:sz w:val="22"/>
              </w:rPr>
            </w:pPr>
            <w:r w:rsidRPr="0087755F">
              <w:rPr>
                <w:rFonts w:asciiTheme="minorHAnsi" w:hAnsiTheme="minorHAnsi" w:cstheme="minorHAnsi"/>
                <w:sz w:val="22"/>
              </w:rPr>
              <w:t>100%</w:t>
            </w:r>
          </w:p>
        </w:tc>
      </w:tr>
    </w:tbl>
    <w:p w14:paraId="76E326C3" w14:textId="77777777" w:rsidR="00A9591E" w:rsidRPr="0087755F" w:rsidRDefault="00A9591E" w:rsidP="0087755F">
      <w:pPr>
        <w:jc w:val="both"/>
        <w:rPr>
          <w:rFonts w:asciiTheme="minorHAnsi" w:hAnsiTheme="minorHAnsi" w:cstheme="minorHAnsi"/>
          <w:sz w:val="22"/>
        </w:rPr>
      </w:pPr>
      <w:r w:rsidRPr="0087755F">
        <w:rPr>
          <w:rFonts w:asciiTheme="minorHAnsi" w:hAnsiTheme="minorHAnsi" w:cstheme="minorHAnsi"/>
          <w:sz w:val="22"/>
        </w:rPr>
        <w:t>On other hand, access to the larger pool of NHM resources has allowed States to smooth the flow of funds to districts through a mechanism by which NHM makes short term loans to NTEP to bridge any time gaps in receipt of resources from the Centre.</w:t>
      </w:r>
    </w:p>
    <w:p w14:paraId="1F9BCCDA" w14:textId="77777777" w:rsidR="00A9591E" w:rsidRPr="0087755F" w:rsidRDefault="00A9591E" w:rsidP="0087755F">
      <w:pPr>
        <w:jc w:val="both"/>
        <w:rPr>
          <w:rFonts w:asciiTheme="minorHAnsi" w:hAnsiTheme="minorHAnsi" w:cstheme="minorHAnsi"/>
          <w:b/>
          <w:color w:val="C86A07"/>
          <w:sz w:val="22"/>
        </w:rPr>
      </w:pPr>
      <w:r w:rsidRPr="0087755F">
        <w:rPr>
          <w:rFonts w:asciiTheme="minorHAnsi" w:hAnsiTheme="minorHAnsi" w:cstheme="minorHAnsi"/>
          <w:b/>
          <w:color w:val="C86A07"/>
          <w:sz w:val="22"/>
        </w:rPr>
        <w:t>Auditing arrangements</w:t>
      </w:r>
    </w:p>
    <w:p w14:paraId="370E84CA"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b/>
          <w:bCs/>
          <w:sz w:val="22"/>
        </w:rPr>
        <w:t>The Director General of Audit (Central Expenditure) (DGACE) under</w:t>
      </w:r>
      <w:r w:rsidRPr="0087755F">
        <w:rPr>
          <w:rFonts w:asciiTheme="minorHAnsi" w:hAnsiTheme="minorHAnsi" w:cstheme="minorHAnsi"/>
          <w:sz w:val="22"/>
        </w:rPr>
        <w:t xml:space="preserve"> Comptroller and Auditor General (CAG) will audit the accounts of CTD. Local Chartered Accountant firms on the panel of CAG/state AG appointed by state/NHM will audit the state and district societies will be audited as per state NHM Manual and guidance for audit by empaneled chartered accountancy firms of the state on annual basis. </w:t>
      </w:r>
    </w:p>
    <w:p w14:paraId="43090FB3"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sz w:val="22"/>
        </w:rPr>
        <w:t xml:space="preserve">The auditors will carry out such tests and controls as deemed necessary by them. This may include visits to districts, verification of bank accounts, physical inspection etc. as per the Terms of Reference which will be forwarded by CTD as per Operational Policies of </w:t>
      </w:r>
      <w:r w:rsidRPr="0087755F">
        <w:rPr>
          <w:rFonts w:asciiTheme="minorHAnsi" w:hAnsiTheme="minorHAnsi" w:cstheme="minorHAnsi"/>
          <w:b/>
          <w:bCs/>
          <w:sz w:val="22"/>
        </w:rPr>
        <w:t>funding agencies/NHM</w:t>
      </w:r>
      <w:r w:rsidRPr="0087755F">
        <w:rPr>
          <w:rFonts w:asciiTheme="minorHAnsi" w:hAnsiTheme="minorHAnsi" w:cstheme="minorHAnsi"/>
          <w:sz w:val="22"/>
        </w:rPr>
        <w:t xml:space="preserve">. The Audit reports will be forwarded to CTD within </w:t>
      </w:r>
      <w:r w:rsidRPr="0087755F">
        <w:rPr>
          <w:rFonts w:asciiTheme="minorHAnsi" w:hAnsiTheme="minorHAnsi" w:cstheme="minorHAnsi"/>
          <w:b/>
          <w:bCs/>
          <w:sz w:val="22"/>
        </w:rPr>
        <w:t>four</w:t>
      </w:r>
      <w:r w:rsidRPr="0087755F">
        <w:rPr>
          <w:rFonts w:asciiTheme="minorHAnsi" w:hAnsiTheme="minorHAnsi" w:cstheme="minorHAnsi"/>
          <w:sz w:val="22"/>
        </w:rPr>
        <w:t xml:space="preserve"> months of close of financial year (as per external funding agencies, if any, Operational Policies).</w:t>
      </w:r>
      <w:r w:rsidRPr="0087755F">
        <w:rPr>
          <w:rFonts w:asciiTheme="minorHAnsi" w:eastAsiaTheme="minorEastAsia" w:hAnsiTheme="minorHAnsi" w:cstheme="minorHAnsi"/>
          <w:color w:val="3071C3" w:themeColor="text2" w:themeTint="BF"/>
          <w:kern w:val="24"/>
          <w:sz w:val="22"/>
        </w:rPr>
        <w:t xml:space="preserve"> </w:t>
      </w:r>
      <w:r w:rsidRPr="0087755F">
        <w:rPr>
          <w:rFonts w:asciiTheme="minorHAnsi" w:hAnsiTheme="minorHAnsi" w:cstheme="minorHAnsi"/>
          <w:sz w:val="22"/>
        </w:rPr>
        <w:t>All SHS, DPMUs, CHCs, PHCs along with other implementing agencies are responsible to make compliance of audit observations made in the audit report within the timeline prescribed by the controlling authority. CTD will compile these and forward to appropriate authorities in Government/External Funding Agencies, if any</w:t>
      </w:r>
    </w:p>
    <w:p w14:paraId="60BF48C4" w14:textId="77777777" w:rsidR="00A9591E" w:rsidRPr="0087755F" w:rsidRDefault="00A9591E" w:rsidP="0087755F">
      <w:pPr>
        <w:spacing w:after="0"/>
        <w:jc w:val="both"/>
        <w:rPr>
          <w:rFonts w:asciiTheme="minorHAnsi" w:hAnsiTheme="minorHAnsi" w:cstheme="minorHAnsi"/>
          <w:b/>
          <w:color w:val="C86A07"/>
          <w:sz w:val="22"/>
        </w:rPr>
      </w:pPr>
      <w:r w:rsidRPr="0087755F">
        <w:rPr>
          <w:rFonts w:asciiTheme="minorHAnsi" w:hAnsiTheme="minorHAnsi" w:cstheme="minorHAnsi"/>
          <w:b/>
          <w:color w:val="C86A07"/>
          <w:sz w:val="22"/>
        </w:rPr>
        <w:t>Innovative mechanisms for resourcing the NSP</w:t>
      </w:r>
    </w:p>
    <w:p w14:paraId="25576A2F" w14:textId="77777777" w:rsidR="00A9591E" w:rsidRPr="0087755F" w:rsidRDefault="00A9591E" w:rsidP="0087755F">
      <w:pPr>
        <w:spacing w:before="0" w:after="0"/>
        <w:jc w:val="both"/>
        <w:rPr>
          <w:rFonts w:asciiTheme="minorHAnsi" w:hAnsiTheme="minorHAnsi" w:cstheme="minorHAnsi"/>
          <w:sz w:val="22"/>
        </w:rPr>
      </w:pPr>
      <w:r w:rsidRPr="0087755F">
        <w:rPr>
          <w:rFonts w:asciiTheme="minorHAnsi" w:hAnsiTheme="minorHAnsi" w:cstheme="minorHAnsi"/>
          <w:sz w:val="22"/>
        </w:rPr>
        <w:t xml:space="preserve">Innovative mechanisms will be the openness and creative thinking of the programme. It also emphasizes the willingness of the programme to think ‘’out of the box’’ for devising solutions to difficult challenges in TB elimination.   </w:t>
      </w:r>
    </w:p>
    <w:p w14:paraId="259164E4" w14:textId="77777777" w:rsidR="00A9591E" w:rsidRPr="0087755F" w:rsidRDefault="00A9591E" w:rsidP="0087755F">
      <w:pPr>
        <w:rPr>
          <w:sz w:val="22"/>
        </w:rPr>
      </w:pPr>
    </w:p>
    <w:p w14:paraId="55D8542C" w14:textId="77777777" w:rsidR="00A9591E" w:rsidRPr="0087755F" w:rsidRDefault="00A9591E" w:rsidP="0087755F">
      <w:pPr>
        <w:rPr>
          <w:sz w:val="22"/>
        </w:rPr>
      </w:pPr>
    </w:p>
    <w:p w14:paraId="105295F3" w14:textId="77777777" w:rsidR="007137CC" w:rsidRPr="0087755F" w:rsidRDefault="007137CC" w:rsidP="0087755F">
      <w:pPr>
        <w:spacing w:before="0"/>
        <w:contextualSpacing/>
        <w:jc w:val="both"/>
        <w:rPr>
          <w:rFonts w:asciiTheme="minorHAnsi" w:hAnsiTheme="minorHAnsi" w:cstheme="minorHAnsi"/>
          <w:b/>
          <w:color w:val="CD630B" w:themeColor="accent4" w:themeShade="80"/>
          <w:sz w:val="22"/>
        </w:rPr>
      </w:pPr>
    </w:p>
    <w:p w14:paraId="4B4F3683" w14:textId="77777777" w:rsidR="007137CC" w:rsidRPr="0087755F" w:rsidRDefault="007137CC" w:rsidP="0087755F">
      <w:pPr>
        <w:spacing w:before="0"/>
        <w:contextualSpacing/>
        <w:jc w:val="both"/>
        <w:rPr>
          <w:rFonts w:asciiTheme="minorHAnsi" w:hAnsiTheme="minorHAnsi" w:cstheme="minorHAnsi"/>
          <w:b/>
          <w:color w:val="CD630B" w:themeColor="accent4" w:themeShade="80"/>
          <w:sz w:val="22"/>
        </w:rPr>
      </w:pPr>
    </w:p>
    <w:p w14:paraId="38EB1203" w14:textId="77777777" w:rsidR="007137CC" w:rsidRPr="0087755F" w:rsidRDefault="007137CC" w:rsidP="0087755F">
      <w:pPr>
        <w:spacing w:before="0"/>
        <w:contextualSpacing/>
        <w:jc w:val="both"/>
        <w:rPr>
          <w:rFonts w:asciiTheme="minorHAnsi" w:hAnsiTheme="minorHAnsi" w:cstheme="minorHAnsi"/>
          <w:b/>
          <w:color w:val="CD630B" w:themeColor="accent4" w:themeShade="80"/>
          <w:sz w:val="22"/>
        </w:rPr>
      </w:pPr>
    </w:p>
    <w:p w14:paraId="54B1745C" w14:textId="77777777" w:rsidR="007137CC" w:rsidRPr="0087755F" w:rsidRDefault="007137CC" w:rsidP="0087755F">
      <w:pPr>
        <w:spacing w:before="0"/>
        <w:contextualSpacing/>
        <w:jc w:val="both"/>
        <w:rPr>
          <w:rFonts w:asciiTheme="minorHAnsi" w:hAnsiTheme="minorHAnsi" w:cstheme="minorHAnsi"/>
          <w:b/>
          <w:color w:val="CD630B" w:themeColor="accent4" w:themeShade="80"/>
          <w:sz w:val="22"/>
        </w:rPr>
      </w:pPr>
    </w:p>
    <w:p w14:paraId="36C9D01A" w14:textId="77777777" w:rsidR="007137CC" w:rsidRPr="0087755F" w:rsidRDefault="007137CC" w:rsidP="0087755F">
      <w:pPr>
        <w:spacing w:before="0"/>
        <w:contextualSpacing/>
        <w:jc w:val="both"/>
        <w:rPr>
          <w:rFonts w:asciiTheme="minorHAnsi" w:hAnsiTheme="minorHAnsi" w:cstheme="minorHAnsi"/>
          <w:b/>
          <w:color w:val="CD630B" w:themeColor="accent4" w:themeShade="80"/>
          <w:sz w:val="22"/>
        </w:rPr>
      </w:pPr>
    </w:p>
    <w:p w14:paraId="774157C0" w14:textId="77777777" w:rsidR="007137CC" w:rsidRPr="0087755F" w:rsidRDefault="007137CC" w:rsidP="0087755F">
      <w:pPr>
        <w:spacing w:before="0"/>
        <w:contextualSpacing/>
        <w:jc w:val="both"/>
        <w:rPr>
          <w:rFonts w:asciiTheme="minorHAnsi" w:hAnsiTheme="minorHAnsi" w:cstheme="minorHAnsi"/>
          <w:b/>
          <w:color w:val="CD630B" w:themeColor="accent4" w:themeShade="80"/>
          <w:sz w:val="22"/>
        </w:rPr>
      </w:pPr>
    </w:p>
    <w:p w14:paraId="20D04694" w14:textId="77777777" w:rsidR="007137CC" w:rsidRPr="0087755F" w:rsidRDefault="007137CC" w:rsidP="0087755F">
      <w:pPr>
        <w:spacing w:before="0"/>
        <w:contextualSpacing/>
        <w:jc w:val="both"/>
        <w:rPr>
          <w:rFonts w:asciiTheme="minorHAnsi" w:hAnsiTheme="minorHAnsi" w:cstheme="minorHAnsi"/>
          <w:b/>
          <w:color w:val="CD630B" w:themeColor="accent4" w:themeShade="80"/>
          <w:sz w:val="22"/>
        </w:rPr>
      </w:pPr>
    </w:p>
    <w:p w14:paraId="71306FE8" w14:textId="77777777" w:rsidR="007137CC" w:rsidRDefault="007137CC" w:rsidP="00DD4576">
      <w:pPr>
        <w:spacing w:before="0"/>
        <w:contextualSpacing/>
        <w:jc w:val="both"/>
        <w:rPr>
          <w:rFonts w:asciiTheme="minorHAnsi" w:hAnsiTheme="minorHAnsi" w:cstheme="minorHAnsi"/>
          <w:b/>
          <w:color w:val="CD630B" w:themeColor="accent4" w:themeShade="80"/>
          <w:sz w:val="24"/>
        </w:rPr>
      </w:pPr>
    </w:p>
    <w:p w14:paraId="6A4216CF" w14:textId="77777777" w:rsidR="007137CC" w:rsidRDefault="007137CC" w:rsidP="00DD4576">
      <w:pPr>
        <w:spacing w:before="0"/>
        <w:contextualSpacing/>
        <w:jc w:val="both"/>
        <w:rPr>
          <w:rFonts w:asciiTheme="minorHAnsi" w:hAnsiTheme="minorHAnsi" w:cstheme="minorHAnsi"/>
          <w:b/>
          <w:color w:val="CD630B" w:themeColor="accent4" w:themeShade="80"/>
          <w:sz w:val="24"/>
        </w:rPr>
      </w:pPr>
    </w:p>
    <w:p w14:paraId="0471E309" w14:textId="77777777" w:rsidR="007137CC" w:rsidRDefault="007137CC" w:rsidP="00DD4576">
      <w:pPr>
        <w:spacing w:before="0"/>
        <w:contextualSpacing/>
        <w:jc w:val="both"/>
        <w:rPr>
          <w:rFonts w:asciiTheme="minorHAnsi" w:hAnsiTheme="minorHAnsi" w:cstheme="minorHAnsi"/>
          <w:b/>
          <w:color w:val="CD630B" w:themeColor="accent4" w:themeShade="80"/>
          <w:sz w:val="24"/>
        </w:rPr>
      </w:pPr>
    </w:p>
    <w:p w14:paraId="201F8FF6" w14:textId="77777777" w:rsidR="007137CC" w:rsidRDefault="007137CC" w:rsidP="00DD4576">
      <w:pPr>
        <w:spacing w:before="0"/>
        <w:contextualSpacing/>
        <w:jc w:val="both"/>
        <w:rPr>
          <w:rFonts w:asciiTheme="minorHAnsi" w:hAnsiTheme="minorHAnsi" w:cstheme="minorHAnsi"/>
          <w:b/>
          <w:color w:val="CD630B" w:themeColor="accent4" w:themeShade="80"/>
          <w:sz w:val="24"/>
        </w:rPr>
      </w:pPr>
    </w:p>
    <w:bookmarkEnd w:id="11"/>
    <w:bookmarkEnd w:id="12"/>
    <w:bookmarkEnd w:id="13"/>
    <w:bookmarkEnd w:id="14"/>
    <w:bookmarkEnd w:id="83"/>
    <w:p w14:paraId="01E1747F" w14:textId="6FF3B9D5" w:rsidR="00FD7680" w:rsidRPr="00622EE9" w:rsidRDefault="00FD7680" w:rsidP="00622EE9">
      <w:pPr>
        <w:spacing w:before="0" w:after="0"/>
        <w:rPr>
          <w:rFonts w:asciiTheme="minorHAnsi" w:eastAsia="Times New Roman" w:hAnsiTheme="minorHAnsi" w:cstheme="minorHAnsi"/>
          <w:b/>
          <w:caps/>
          <w:snapToGrid w:val="0"/>
          <w:sz w:val="36"/>
          <w:szCs w:val="28"/>
        </w:rPr>
      </w:pPr>
    </w:p>
    <w:sectPr w:rsidR="00FD7680" w:rsidRPr="00622EE9" w:rsidSect="008858C9">
      <w:type w:val="continuous"/>
      <w:pgSz w:w="11907" w:h="16839" w:code="9"/>
      <w:pgMar w:top="1440" w:right="1440" w:bottom="1440" w:left="1440" w:header="720" w:footer="720" w:gutter="0"/>
      <w:cols w:space="36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A277B" w14:textId="77777777" w:rsidR="00575DDF" w:rsidRDefault="00575DDF" w:rsidP="003816EA">
      <w:r>
        <w:separator/>
      </w:r>
    </w:p>
    <w:p w14:paraId="76A96C2D" w14:textId="77777777" w:rsidR="00575DDF" w:rsidRDefault="00575DDF"/>
  </w:endnote>
  <w:endnote w:type="continuationSeparator" w:id="0">
    <w:p w14:paraId="332FA5CD" w14:textId="77777777" w:rsidR="00575DDF" w:rsidRDefault="00575DDF" w:rsidP="003816EA">
      <w:r>
        <w:continuationSeparator/>
      </w:r>
    </w:p>
    <w:p w14:paraId="45F87959" w14:textId="77777777" w:rsidR="00575DDF" w:rsidRDefault="00575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hrut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Gloucester MT Extra Condensed">
    <w:panose1 w:val="02030808020601010101"/>
    <w:charset w:val="00"/>
    <w:family w:val="roman"/>
    <w:pitch w:val="variable"/>
    <w:sig w:usb0="00000003" w:usb1="00000000" w:usb2="00000000" w:usb3="00000000" w:csb0="00000001" w:csb1="00000000"/>
  </w:font>
  <w:font w:name="Gill Sans">
    <w:altName w:val="Times New Roman"/>
    <w:charset w:val="B1"/>
    <w:family w:val="swiss"/>
    <w:pitch w:val="variable"/>
    <w:sig w:usb0="80000A67" w:usb1="00000000" w:usb2="00000000" w:usb3="00000000" w:csb0="000001F7" w:csb1="00000000"/>
  </w:font>
  <w:font w:name="Consolas">
    <w:panose1 w:val="020B0609020204030204"/>
    <w:charset w:val="00"/>
    <w:family w:val="modern"/>
    <w:pitch w:val="fixed"/>
    <w:sig w:usb0="E00006FF" w:usb1="0000FCFF" w:usb2="00000001" w:usb3="00000000" w:csb0="0000019F" w:csb1="00000000"/>
  </w:font>
  <w:font w:name="Lucida Grande">
    <w:panose1 w:val="00000000000000000000"/>
    <w:charset w:val="00"/>
    <w:family w:val="swiss"/>
    <w:notTrueType/>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AMSSV+HelveticaNeue-ThinItalic">
    <w:altName w:val="Helvetica Neue"/>
    <w:panose1 w:val="00000000000000000000"/>
    <w:charset w:val="00"/>
    <w:family w:val="swiss"/>
    <w:notTrueType/>
    <w:pitch w:val="default"/>
    <w:sig w:usb0="00000003" w:usb1="00000000" w:usb2="00000000" w:usb3="00000000" w:csb0="00000001" w:csb1="00000000"/>
  </w:font>
  <w:font w:name="Tunga">
    <w:panose1 w:val="020B0502040204020203"/>
    <w:charset w:val="01"/>
    <w:family w:val="roman"/>
    <w:notTrueType/>
    <w:pitch w:val="variable"/>
  </w:font>
  <w:font w:name="Bauhaus 93">
    <w:panose1 w:val="04030905020B02020C02"/>
    <w:charset w:val="00"/>
    <w:family w:val="decorative"/>
    <w:pitch w:val="variable"/>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mn-ea">
    <w:altName w:val="Times New Roman"/>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j-ea">
    <w:altName w:val="Times New Roman"/>
    <w:panose1 w:val="00000000000000000000"/>
    <w:charset w:val="00"/>
    <w:family w:val="roman"/>
    <w:notTrueType/>
    <w:pitch w:val="default"/>
  </w:font>
  <w:font w:name="Roboto-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1C134" w14:textId="77777777" w:rsidR="00D55F8F" w:rsidRDefault="00D55F8F" w:rsidP="00D70276">
    <w:pPr>
      <w:pStyle w:val="Footer"/>
      <w:rPr>
        <w:noProof/>
      </w:rPr>
    </w:pPr>
    <w:r>
      <w:fldChar w:fldCharType="begin"/>
    </w:r>
    <w:r>
      <w:instrText xml:space="preserve"> PAGE   \* MERGEFORMAT </w:instrText>
    </w:r>
    <w:r>
      <w:fldChar w:fldCharType="separate"/>
    </w:r>
    <w:r>
      <w:rPr>
        <w:noProof/>
      </w:rPr>
      <w:t>2</w:t>
    </w:r>
    <w:r>
      <w:rPr>
        <w:noProof/>
      </w:rPr>
      <w:fldChar w:fldCharType="end"/>
    </w:r>
    <w:r>
      <w:rPr>
        <w:noProof/>
      </w:rPr>
      <w:tab/>
    </w:r>
    <w:r>
      <w:tab/>
    </w:r>
  </w:p>
  <w:p w14:paraId="0E5DE091" w14:textId="77777777" w:rsidR="00D55F8F" w:rsidRDefault="00D55F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rPr>
      <w:id w:val="2104842487"/>
      <w:docPartObj>
        <w:docPartGallery w:val="Page Numbers (Bottom of Page)"/>
        <w:docPartUnique/>
      </w:docPartObj>
    </w:sdtPr>
    <w:sdtEndPr>
      <w:rPr>
        <w:noProof/>
      </w:rPr>
    </w:sdtEndPr>
    <w:sdtContent>
      <w:p w14:paraId="1D2E5E04" w14:textId="77777777" w:rsidR="00D55F8F" w:rsidRDefault="00D55F8F">
        <w:pPr>
          <w:pStyle w:val="Footer"/>
        </w:pPr>
        <w:r>
          <w:fldChar w:fldCharType="begin"/>
        </w:r>
        <w:r>
          <w:instrText xml:space="preserve"> PAGE   \* MERGEFORMAT </w:instrText>
        </w:r>
        <w:r>
          <w:fldChar w:fldCharType="separate"/>
        </w:r>
        <w:r w:rsidR="005D47AA">
          <w:rPr>
            <w:noProof/>
          </w:rPr>
          <w:t>1</w:t>
        </w:r>
        <w:r>
          <w:rPr>
            <w:noProof/>
          </w:rPr>
          <w:fldChar w:fldCharType="end"/>
        </w:r>
      </w:p>
    </w:sdtContent>
  </w:sdt>
  <w:p w14:paraId="16D9722F" w14:textId="77777777" w:rsidR="00D55F8F" w:rsidRDefault="00D55F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50923" w14:textId="77777777" w:rsidR="00D55F8F" w:rsidRPr="00CF2C67" w:rsidRDefault="00D55F8F" w:rsidP="007E4D9F">
    <w:pPr>
      <w:pStyle w:val="Footer"/>
      <w:rPr>
        <w:color w:val="auto"/>
      </w:rPr>
    </w:pPr>
  </w:p>
  <w:p w14:paraId="05EC5B4F" w14:textId="77777777" w:rsidR="00D55F8F" w:rsidRPr="00CF2C67" w:rsidRDefault="00D55F8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B025A" w14:textId="41122044" w:rsidR="00D55F8F" w:rsidRPr="003922CE" w:rsidRDefault="00D55F8F" w:rsidP="003922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44084" w14:textId="77777777" w:rsidR="00D55F8F" w:rsidRDefault="00D55F8F">
    <w:pPr>
      <w:jc w:val="right"/>
      <w:rPr>
        <w:rFonts w:ascii="Times New Roman" w:eastAsia="Times New Roman" w:hAnsi="Times New Roman"/>
      </w:rP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sidR="005D47AA">
      <w:rPr>
        <w:rFonts w:ascii="Times New Roman" w:eastAsia="Times New Roman" w:hAnsi="Times New Roman"/>
        <w:noProof/>
      </w:rPr>
      <w:t>47</w:t>
    </w:r>
    <w:r>
      <w:rPr>
        <w:rFonts w:ascii="Times New Roman" w:eastAsia="Times New Roman" w:hAnsi="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810170"/>
      <w:docPartObj>
        <w:docPartGallery w:val="Page Numbers (Bottom of Page)"/>
        <w:docPartUnique/>
      </w:docPartObj>
    </w:sdtPr>
    <w:sdtEndPr>
      <w:rPr>
        <w:noProof/>
      </w:rPr>
    </w:sdtEndPr>
    <w:sdtContent>
      <w:p w14:paraId="608C0438" w14:textId="4446CB33" w:rsidR="00D55F8F" w:rsidRDefault="00D55F8F">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6640F11B" w14:textId="77777777" w:rsidR="00D55F8F" w:rsidRPr="003922CE" w:rsidRDefault="00D55F8F" w:rsidP="003922CE">
    <w:pPr>
      <w:jc w:val="right"/>
      <w:rPr>
        <w:rFonts w:eastAsia="Times New Roman"/>
        <w:noProof/>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009315"/>
      <w:docPartObj>
        <w:docPartGallery w:val="Page Numbers (Bottom of Page)"/>
        <w:docPartUnique/>
      </w:docPartObj>
    </w:sdtPr>
    <w:sdtEndPr>
      <w:rPr>
        <w:noProof/>
        <w:color w:val="auto"/>
      </w:rPr>
    </w:sdtEndPr>
    <w:sdtContent>
      <w:p w14:paraId="12756990" w14:textId="14E544A1" w:rsidR="00D55F8F" w:rsidRPr="003922CE" w:rsidRDefault="00D55F8F">
        <w:pPr>
          <w:pStyle w:val="Footer"/>
          <w:jc w:val="right"/>
          <w:rPr>
            <w:color w:val="auto"/>
          </w:rPr>
        </w:pPr>
        <w:r w:rsidRPr="003922CE">
          <w:rPr>
            <w:color w:val="auto"/>
          </w:rPr>
          <w:fldChar w:fldCharType="begin"/>
        </w:r>
        <w:r w:rsidRPr="003922CE">
          <w:rPr>
            <w:color w:val="auto"/>
          </w:rPr>
          <w:instrText xml:space="preserve"> PAGE   \* MERGEFORMAT </w:instrText>
        </w:r>
        <w:r w:rsidRPr="003922CE">
          <w:rPr>
            <w:color w:val="auto"/>
          </w:rPr>
          <w:fldChar w:fldCharType="separate"/>
        </w:r>
        <w:r w:rsidR="005D47AA">
          <w:rPr>
            <w:noProof/>
            <w:color w:val="auto"/>
          </w:rPr>
          <w:t>119</w:t>
        </w:r>
        <w:r w:rsidRPr="003922CE">
          <w:rPr>
            <w:noProof/>
            <w:color w:val="auto"/>
          </w:rPr>
          <w:fldChar w:fldCharType="end"/>
        </w:r>
      </w:p>
    </w:sdtContent>
  </w:sdt>
  <w:p w14:paraId="6B22C1C1" w14:textId="3660094C" w:rsidR="00D55F8F" w:rsidRDefault="00D55F8F" w:rsidP="00E220A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239E5" w14:textId="77777777" w:rsidR="00D55F8F" w:rsidRPr="00E220A3" w:rsidRDefault="00D55F8F" w:rsidP="00E22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90506" w14:textId="77777777" w:rsidR="00575DDF" w:rsidRDefault="00575DDF" w:rsidP="003816EA">
      <w:r>
        <w:separator/>
      </w:r>
    </w:p>
  </w:footnote>
  <w:footnote w:type="continuationSeparator" w:id="0">
    <w:p w14:paraId="7315D4E6" w14:textId="77777777" w:rsidR="00575DDF" w:rsidRDefault="00575DDF" w:rsidP="003816EA">
      <w:r>
        <w:continuationSeparator/>
      </w:r>
    </w:p>
    <w:p w14:paraId="27957697" w14:textId="77777777" w:rsidR="00575DDF" w:rsidRDefault="00575DDF"/>
  </w:footnote>
  <w:footnote w:id="1">
    <w:p w14:paraId="5B9036AF" w14:textId="69A6EDB4" w:rsidR="00D55F8F" w:rsidRPr="00AB78FA" w:rsidRDefault="00D55F8F" w:rsidP="00AB78FA">
      <w:pPr>
        <w:pStyle w:val="FootnoteText"/>
        <w:spacing w:line="240" w:lineRule="auto"/>
        <w:ind w:left="0"/>
        <w:rPr>
          <w:sz w:val="16"/>
          <w:szCs w:val="16"/>
          <w:lang w:val="en-US"/>
        </w:rPr>
      </w:pPr>
      <w:r w:rsidRPr="00AB78FA">
        <w:rPr>
          <w:rStyle w:val="FootnoteReference"/>
          <w:sz w:val="16"/>
          <w:szCs w:val="16"/>
        </w:rPr>
        <w:footnoteRef/>
      </w:r>
      <w:r w:rsidRPr="00AB78FA">
        <w:rPr>
          <w:rFonts w:cstheme="minorHAnsi"/>
          <w:sz w:val="16"/>
          <w:szCs w:val="16"/>
        </w:rPr>
        <w:t xml:space="preserve">Mandal S, Chadha VK, Laxminarayan R, </w:t>
      </w:r>
      <w:r w:rsidRPr="00AB78FA">
        <w:rPr>
          <w:rFonts w:cstheme="minorHAnsi"/>
          <w:i/>
          <w:sz w:val="16"/>
          <w:szCs w:val="16"/>
        </w:rPr>
        <w:t>et al</w:t>
      </w:r>
      <w:r w:rsidRPr="00AB78FA">
        <w:rPr>
          <w:rFonts w:cstheme="minorHAnsi"/>
          <w:sz w:val="16"/>
          <w:szCs w:val="16"/>
        </w:rPr>
        <w:t xml:space="preserve">. Counting the lives saved by DOTS in India: a model-based approach. </w:t>
      </w:r>
      <w:r w:rsidRPr="00AB78FA">
        <w:rPr>
          <w:rFonts w:cstheme="minorHAnsi"/>
          <w:b/>
          <w:sz w:val="16"/>
          <w:szCs w:val="16"/>
        </w:rPr>
        <w:t>BMC Med</w:t>
      </w:r>
      <w:r w:rsidRPr="00AB78FA">
        <w:rPr>
          <w:rFonts w:cstheme="minorHAnsi"/>
          <w:sz w:val="16"/>
          <w:szCs w:val="16"/>
        </w:rPr>
        <w:t xml:space="preserve"> 2017;15:47</w:t>
      </w:r>
    </w:p>
  </w:footnote>
  <w:footnote w:id="2">
    <w:p w14:paraId="247593C0" w14:textId="0E0F9DE5" w:rsidR="00D55F8F" w:rsidRPr="00AB78FA" w:rsidRDefault="00D55F8F" w:rsidP="00AB78FA">
      <w:pPr>
        <w:pStyle w:val="FootnoteText"/>
        <w:ind w:left="0"/>
        <w:rPr>
          <w:sz w:val="16"/>
          <w:szCs w:val="16"/>
          <w:lang w:val="en-US"/>
        </w:rPr>
      </w:pPr>
      <w:r w:rsidRPr="00AB78FA">
        <w:rPr>
          <w:rStyle w:val="FootnoteReference"/>
          <w:sz w:val="16"/>
          <w:szCs w:val="16"/>
        </w:rPr>
        <w:footnoteRef/>
      </w:r>
      <w:r w:rsidRPr="00AB78FA">
        <w:rPr>
          <w:sz w:val="16"/>
          <w:szCs w:val="16"/>
        </w:rPr>
        <w:t xml:space="preserve"> World Health Organization.  Global tuberculosis report, 2019.  WHO: Geneva, 2019. (WHO/CDS/TB/2019.15).</w:t>
      </w:r>
    </w:p>
  </w:footnote>
  <w:footnote w:id="3">
    <w:p w14:paraId="4C981C90" w14:textId="2541093C" w:rsidR="00D55F8F" w:rsidRPr="00AB78FA" w:rsidRDefault="00D55F8F" w:rsidP="00AB78FA">
      <w:pPr>
        <w:pStyle w:val="FootnoteText"/>
        <w:ind w:left="0"/>
        <w:rPr>
          <w:sz w:val="16"/>
          <w:szCs w:val="16"/>
          <w:lang w:val="en-US"/>
        </w:rPr>
      </w:pPr>
      <w:r w:rsidRPr="00AB78FA">
        <w:rPr>
          <w:rStyle w:val="FootnoteReference"/>
          <w:sz w:val="16"/>
          <w:szCs w:val="16"/>
        </w:rPr>
        <w:footnoteRef/>
      </w:r>
      <w:r w:rsidRPr="00AB78FA">
        <w:rPr>
          <w:sz w:val="16"/>
          <w:szCs w:val="16"/>
        </w:rPr>
        <w:t xml:space="preserve"> </w:t>
      </w:r>
      <w:r w:rsidRPr="00AB78FA">
        <w:rPr>
          <w:rFonts w:cstheme="minorHAnsi"/>
          <w:sz w:val="16"/>
          <w:szCs w:val="16"/>
          <w:lang w:val="en"/>
        </w:rPr>
        <w:t xml:space="preserve">Chadha VK. </w:t>
      </w:r>
      <w:r w:rsidRPr="00AB78FA">
        <w:rPr>
          <w:rFonts w:cstheme="minorHAnsi"/>
          <w:iCs/>
          <w:sz w:val="16"/>
          <w:szCs w:val="16"/>
          <w:lang w:val="en"/>
        </w:rPr>
        <w:t xml:space="preserve">Tuberculosis epidemiology in India: a review. </w:t>
      </w:r>
      <w:r w:rsidRPr="00AB78FA">
        <w:rPr>
          <w:rFonts w:cstheme="minorHAnsi"/>
          <w:b/>
          <w:iCs/>
          <w:sz w:val="16"/>
          <w:szCs w:val="16"/>
          <w:lang w:val="en"/>
        </w:rPr>
        <w:t>Int J Tuberc Lung Dis.</w:t>
      </w:r>
      <w:r w:rsidRPr="00AB78FA">
        <w:rPr>
          <w:rFonts w:cstheme="minorHAnsi"/>
          <w:iCs/>
          <w:sz w:val="16"/>
          <w:szCs w:val="16"/>
          <w:lang w:val="en"/>
        </w:rPr>
        <w:t xml:space="preserve"> 2005;9:1072–82</w:t>
      </w:r>
    </w:p>
  </w:footnote>
  <w:footnote w:id="4">
    <w:p w14:paraId="68869E11" w14:textId="3CDD615A" w:rsidR="00D55F8F" w:rsidRPr="00076DD5" w:rsidRDefault="00D55F8F" w:rsidP="00076DD5">
      <w:pPr>
        <w:pStyle w:val="FootnoteText"/>
        <w:ind w:left="0"/>
      </w:pPr>
      <w:r w:rsidRPr="00076DD5">
        <w:footnoteRef/>
      </w:r>
      <w:r>
        <w:t xml:space="preserve"> </w:t>
      </w:r>
      <w:r w:rsidRPr="00076DD5">
        <w:t>Goodchild M, et al. A cost-benefit analysis of scaling up tuberculosis control in India. 2011;15(3):358-62.</w:t>
      </w:r>
    </w:p>
  </w:footnote>
  <w:footnote w:id="5">
    <w:p w14:paraId="13023B8A" w14:textId="077B3C3E" w:rsidR="00D55F8F" w:rsidRPr="007C55E6" w:rsidRDefault="00D55F8F" w:rsidP="007C55E6">
      <w:pPr>
        <w:pStyle w:val="FootnoteText"/>
        <w:ind w:left="0"/>
      </w:pPr>
      <w:r>
        <w:rPr>
          <w:rStyle w:val="FootnoteReference"/>
        </w:rPr>
        <w:footnoteRef/>
      </w:r>
      <w:r>
        <w:t xml:space="preserve"> Government of India (2020), India TB Report 2020: National Tuberculosis Elimination Programme – Annual Report, Central TB Division, Ministry of Health and Family Welfare, New Delhi.</w:t>
      </w:r>
    </w:p>
  </w:footnote>
  <w:footnote w:id="6">
    <w:p w14:paraId="0F95B57C" w14:textId="44408035" w:rsidR="00D55F8F" w:rsidRPr="00B1202A" w:rsidRDefault="00D55F8F" w:rsidP="00B1202A">
      <w:pPr>
        <w:pStyle w:val="FootnoteText"/>
        <w:ind w:left="0"/>
        <w:rPr>
          <w:lang w:val="en-US"/>
        </w:rPr>
      </w:pPr>
      <w:r w:rsidRPr="00B1202A">
        <w:rPr>
          <w:rStyle w:val="FootnoteReference"/>
        </w:rPr>
        <w:footnoteRef/>
      </w:r>
      <w:r w:rsidRPr="00B1202A">
        <w:t xml:space="preserve"> </w:t>
      </w:r>
      <w:hyperlink r:id="rId1" w:history="1">
        <w:r w:rsidRPr="00B1202A">
          <w:rPr>
            <w:rStyle w:val="Hyperlink"/>
            <w:color w:val="auto"/>
          </w:rPr>
          <w:t>https://www.who.int/tb/publications/2020/rapid-communications-molecular-assays/en/</w:t>
        </w:r>
      </w:hyperlink>
    </w:p>
  </w:footnote>
  <w:footnote w:id="7">
    <w:p w14:paraId="594AC4F3" w14:textId="7559D87D" w:rsidR="00D55F8F" w:rsidRDefault="00D55F8F" w:rsidP="00E01EE7">
      <w:pPr>
        <w:pStyle w:val="CommentText"/>
        <w:spacing w:before="0" w:after="0"/>
      </w:pPr>
      <w:r>
        <w:rPr>
          <w:rStyle w:val="FootnoteReference"/>
        </w:rPr>
        <w:footnoteRef/>
      </w:r>
      <w:r>
        <w:t xml:space="preserve"> https://www.theglobalfund.org/media/5885/psm_qadiagnostics_policy_en.pdf </w:t>
      </w:r>
    </w:p>
    <w:p w14:paraId="2DFC5EE3" w14:textId="7D1527B9" w:rsidR="00D55F8F" w:rsidRPr="008A3808" w:rsidRDefault="00D55F8F">
      <w:pPr>
        <w:pStyle w:val="FootnoteText"/>
        <w:rPr>
          <w:lang w:val="en-US"/>
        </w:rPr>
      </w:pPr>
    </w:p>
  </w:footnote>
  <w:footnote w:id="8">
    <w:p w14:paraId="1851BADB" w14:textId="318C015F" w:rsidR="00D55F8F" w:rsidRPr="00E01EE7" w:rsidRDefault="00D55F8F" w:rsidP="00E01EE7">
      <w:pPr>
        <w:pStyle w:val="CommentText"/>
      </w:pPr>
      <w:r w:rsidRPr="00E01EE7">
        <w:rPr>
          <w:rStyle w:val="FootnoteReference"/>
        </w:rPr>
        <w:footnoteRef/>
      </w:r>
      <w:r w:rsidRPr="00E01EE7">
        <w:t xml:space="preserve"> </w:t>
      </w:r>
      <w:hyperlink r:id="rId2" w:history="1">
        <w:r w:rsidRPr="00E01EE7">
          <w:rPr>
            <w:rStyle w:val="Hyperlink"/>
            <w:color w:val="auto"/>
          </w:rPr>
          <w:t>http://www.stoptb.org/assets/documents/global/plan/GPR_2018-2022_Digital.pdf</w:t>
        </w:r>
      </w:hyperlink>
    </w:p>
  </w:footnote>
  <w:footnote w:id="9">
    <w:p w14:paraId="72DD64F3" w14:textId="3526CFF4" w:rsidR="00D55F8F" w:rsidRPr="00977695" w:rsidRDefault="00D55F8F" w:rsidP="00977695">
      <w:pPr>
        <w:pStyle w:val="FootnoteText"/>
        <w:ind w:left="0"/>
        <w:rPr>
          <w:rFonts w:cstheme="minorHAnsi"/>
        </w:rPr>
      </w:pPr>
      <w:r w:rsidRPr="00977695">
        <w:rPr>
          <w:rFonts w:cstheme="minorHAnsi"/>
        </w:rPr>
        <w:footnoteRef/>
      </w:r>
      <w:r w:rsidRPr="00977695">
        <w:rPr>
          <w:rFonts w:cstheme="minorHAnsi"/>
        </w:rPr>
        <w:t xml:space="preserve"> </w:t>
      </w:r>
      <w:hyperlink r:id="rId3" w:history="1">
        <w:r w:rsidRPr="00977695">
          <w:rPr>
            <w:rFonts w:cstheme="minorHAnsi"/>
          </w:rPr>
          <w:t>http://statisticstimes.com/demographics/population-of-india.php</w:t>
        </w:r>
      </w:hyperlink>
    </w:p>
  </w:footnote>
  <w:footnote w:id="10">
    <w:p w14:paraId="4C668B7B" w14:textId="760FA28B" w:rsidR="00D55F8F" w:rsidRPr="0027696F" w:rsidRDefault="00D55F8F" w:rsidP="00676FAE">
      <w:pPr>
        <w:pStyle w:val="FootnoteText"/>
        <w:ind w:left="0"/>
        <w:rPr>
          <w:rFonts w:cstheme="minorHAnsi"/>
        </w:rPr>
      </w:pPr>
      <w:r w:rsidRPr="009D5999">
        <w:rPr>
          <w:rFonts w:cstheme="minorHAnsi"/>
          <w:vertAlign w:val="superscript"/>
        </w:rPr>
        <w:footnoteRef/>
      </w:r>
      <w:r w:rsidRPr="0027696F">
        <w:rPr>
          <w:rFonts w:cstheme="minorHAnsi"/>
        </w:rPr>
        <w:t xml:space="preserve"> Bihar, Chattisgarh, Jharkhand, Madhya Pradesh, Odisha, Rajasthan, Uttar Pradesh, and Uttarakhand.</w:t>
      </w:r>
    </w:p>
  </w:footnote>
  <w:footnote w:id="11">
    <w:p w14:paraId="16DE5471" w14:textId="4AD868E5" w:rsidR="00D55F8F" w:rsidRPr="0027696F" w:rsidRDefault="00D55F8F" w:rsidP="007811EF">
      <w:pPr>
        <w:pStyle w:val="FootnoteText"/>
        <w:ind w:left="0"/>
        <w:rPr>
          <w:rFonts w:cstheme="minorHAnsi"/>
        </w:rPr>
      </w:pPr>
      <w:r w:rsidRPr="009D5999">
        <w:rPr>
          <w:rFonts w:cstheme="minorHAnsi"/>
          <w:vertAlign w:val="superscript"/>
        </w:rPr>
        <w:footnoteRef/>
      </w:r>
      <w:r w:rsidRPr="009D5999">
        <w:rPr>
          <w:rFonts w:cstheme="minorHAnsi"/>
          <w:vertAlign w:val="superscript"/>
        </w:rPr>
        <w:t xml:space="preserve"> </w:t>
      </w:r>
      <w:r w:rsidRPr="0027696F">
        <w:rPr>
          <w:rFonts w:cstheme="minorHAnsi"/>
        </w:rPr>
        <w:t>ICMR and IHME, Health of the Nation’s States, 2018. Available at http://www.healthdata.org/policy-report/india-healthnation’s- states</w:t>
      </w:r>
    </w:p>
  </w:footnote>
  <w:footnote w:id="12">
    <w:p w14:paraId="478B7E78" w14:textId="2C1B3889" w:rsidR="00D55F8F" w:rsidRPr="0027696F" w:rsidRDefault="00D55F8F" w:rsidP="00503098">
      <w:pPr>
        <w:pStyle w:val="FootnoteText"/>
        <w:ind w:left="0"/>
        <w:rPr>
          <w:rFonts w:cstheme="minorHAnsi"/>
        </w:rPr>
      </w:pPr>
      <w:r w:rsidRPr="009D5999">
        <w:rPr>
          <w:rFonts w:cstheme="minorHAnsi"/>
          <w:vertAlign w:val="superscript"/>
        </w:rPr>
        <w:footnoteRef/>
      </w:r>
      <w:r w:rsidRPr="009D5999">
        <w:rPr>
          <w:rFonts w:cstheme="minorHAnsi"/>
          <w:vertAlign w:val="superscript"/>
        </w:rPr>
        <w:t xml:space="preserve"> </w:t>
      </w:r>
      <w:r w:rsidRPr="0027696F">
        <w:rPr>
          <w:rFonts w:cstheme="minorHAnsi"/>
        </w:rPr>
        <w:t>National Health Profile 2019, Central Bureau of Health Intelligence, DGHS, MOHFW</w:t>
      </w:r>
    </w:p>
  </w:footnote>
  <w:footnote w:id="13">
    <w:p w14:paraId="1F1AEA4F" w14:textId="4D25B079" w:rsidR="00D55F8F" w:rsidRPr="009D5999" w:rsidRDefault="00D55F8F" w:rsidP="00D62640">
      <w:pPr>
        <w:pStyle w:val="FootnoteText"/>
        <w:ind w:left="0"/>
        <w:rPr>
          <w:rFonts w:cstheme="minorHAnsi"/>
        </w:rPr>
      </w:pPr>
      <w:r w:rsidRPr="009D5999">
        <w:rPr>
          <w:rFonts w:cstheme="minorHAnsi"/>
          <w:vertAlign w:val="superscript"/>
        </w:rPr>
        <w:footnoteRef/>
      </w:r>
      <w:r w:rsidRPr="009D5999">
        <w:rPr>
          <w:rFonts w:cstheme="minorHAnsi"/>
          <w:vertAlign w:val="superscript"/>
        </w:rPr>
        <w:t xml:space="preserve"> </w:t>
      </w:r>
      <w:hyperlink r:id="rId4" w:history="1">
        <w:r w:rsidRPr="009D5999">
          <w:rPr>
            <w:rFonts w:cstheme="minorHAnsi"/>
          </w:rPr>
          <w:t>https://databank.worldbank.org/views/reports/reportwidget.aspx?Report_Name=CountryProfile&amp;Id=b450fd57&amp;tbar=</w:t>
        </w:r>
        <w:r>
          <w:rPr>
            <w:rFonts w:cstheme="minorHAnsi"/>
          </w:rPr>
          <w:t xml:space="preserve"> </w:t>
        </w:r>
        <w:r w:rsidRPr="009D5999">
          <w:rPr>
            <w:rFonts w:cstheme="minorHAnsi"/>
          </w:rPr>
          <w:t>y&amp;dd=y&amp;inf= n&amp;zm =n&amp;country=IND</w:t>
        </w:r>
      </w:hyperlink>
    </w:p>
  </w:footnote>
  <w:footnote w:id="14">
    <w:p w14:paraId="022C10ED" w14:textId="43A3CEDE" w:rsidR="00D55F8F" w:rsidRPr="009D5999" w:rsidRDefault="00D55F8F" w:rsidP="009D5999">
      <w:pPr>
        <w:pStyle w:val="FootnoteText"/>
        <w:ind w:left="0"/>
        <w:rPr>
          <w:rFonts w:cstheme="minorHAnsi"/>
        </w:rPr>
      </w:pPr>
      <w:r w:rsidRPr="009D5999">
        <w:rPr>
          <w:rFonts w:cstheme="minorHAnsi"/>
          <w:vertAlign w:val="superscript"/>
        </w:rPr>
        <w:footnoteRef/>
      </w:r>
      <w:r w:rsidRPr="009D5999">
        <w:rPr>
          <w:rFonts w:cstheme="minorHAnsi"/>
          <w:vertAlign w:val="superscript"/>
        </w:rPr>
        <w:t xml:space="preserve"> </w:t>
      </w:r>
      <w:r w:rsidRPr="009D5999">
        <w:rPr>
          <w:rFonts w:cstheme="minorHAnsi"/>
        </w:rPr>
        <w:t>Census Women and Men in India (A statistical compilation of Gender related Indicators in India). 20th Issue. 2018. Central Statistics Office. Ministry of Statistics and Programme Implementation.</w:t>
      </w:r>
    </w:p>
  </w:footnote>
  <w:footnote w:id="15">
    <w:p w14:paraId="332BCA4D" w14:textId="77777777" w:rsidR="00D55F8F" w:rsidRPr="00692C69" w:rsidRDefault="00D55F8F" w:rsidP="00692C69">
      <w:pPr>
        <w:pStyle w:val="FootnoteText"/>
        <w:spacing w:line="240" w:lineRule="auto"/>
        <w:ind w:left="0"/>
        <w:rPr>
          <w:rFonts w:cs="Arial"/>
          <w:szCs w:val="18"/>
        </w:rPr>
      </w:pPr>
      <w:r w:rsidRPr="00692C69">
        <w:rPr>
          <w:rStyle w:val="FootnoteReference"/>
          <w:rFonts w:cs="Arial"/>
        </w:rPr>
        <w:footnoteRef/>
      </w:r>
      <w:r w:rsidRPr="00692C69">
        <w:rPr>
          <w:rFonts w:cs="Arial"/>
          <w:szCs w:val="18"/>
        </w:rPr>
        <w:t xml:space="preserve"> </w:t>
      </w:r>
      <w:r w:rsidRPr="00692C69">
        <w:rPr>
          <w:rFonts w:cs="Arial"/>
          <w:szCs w:val="18"/>
          <w:lang w:val="en-IN"/>
        </w:rPr>
        <w:t>National Health Accounts (NHA) 2014-2015</w:t>
      </w:r>
    </w:p>
  </w:footnote>
  <w:footnote w:id="16">
    <w:p w14:paraId="482C7A85" w14:textId="6147A0A6" w:rsidR="00D55F8F" w:rsidRPr="000B2FA5" w:rsidRDefault="00D55F8F" w:rsidP="000B2FA5">
      <w:pPr>
        <w:autoSpaceDE w:val="0"/>
        <w:autoSpaceDN w:val="0"/>
        <w:adjustRightInd w:val="0"/>
        <w:spacing w:before="0" w:after="0"/>
        <w:rPr>
          <w:lang w:val="en-IN"/>
        </w:rPr>
      </w:pPr>
      <w:r w:rsidRPr="00692C69">
        <w:rPr>
          <w:rStyle w:val="FootnoteReference"/>
          <w:rFonts w:cs="Arial"/>
        </w:rPr>
        <w:footnoteRef/>
      </w:r>
      <w:r w:rsidRPr="00692C69">
        <w:rPr>
          <w:rFonts w:cs="Arial"/>
          <w:sz w:val="18"/>
          <w:szCs w:val="18"/>
        </w:rPr>
        <w:t xml:space="preserve"> </w:t>
      </w:r>
      <w:r w:rsidRPr="00692C69">
        <w:rPr>
          <w:rFonts w:cs="Arial"/>
          <w:sz w:val="18"/>
          <w:szCs w:val="18"/>
          <w:lang w:val="en-IN"/>
        </w:rPr>
        <w:t>Gupta I, Chowdhury S, Prinja S, Trivedi M (2016) Out-of-Pocket Spending on Out-Patient Care in India: Assessment and Options</w:t>
      </w:r>
      <w:r>
        <w:rPr>
          <w:rFonts w:cs="Arial"/>
          <w:sz w:val="18"/>
          <w:szCs w:val="18"/>
          <w:lang w:val="en-IN"/>
        </w:rPr>
        <w:t xml:space="preserve"> </w:t>
      </w:r>
      <w:r w:rsidRPr="000B2FA5">
        <w:rPr>
          <w:rFonts w:cs="Arial"/>
          <w:lang w:val="en-IN"/>
        </w:rPr>
        <w:t>Based on Results from a District Level Survey. PLoS ONE 11 (11): e0166775. doi:10.1371/journal.</w:t>
      </w:r>
    </w:p>
  </w:footnote>
  <w:footnote w:id="17">
    <w:p w14:paraId="3221B417" w14:textId="7CB1A58E" w:rsidR="00D55F8F" w:rsidRPr="0027696F" w:rsidRDefault="00D55F8F" w:rsidP="00E01EE7">
      <w:pPr>
        <w:pStyle w:val="FootnoteText"/>
        <w:spacing w:line="240" w:lineRule="auto"/>
        <w:ind w:left="0"/>
        <w:rPr>
          <w:rFonts w:cstheme="minorHAnsi"/>
        </w:rPr>
      </w:pPr>
      <w:r w:rsidRPr="008C7837">
        <w:rPr>
          <w:rFonts w:cstheme="minorHAnsi"/>
          <w:vertAlign w:val="superscript"/>
        </w:rPr>
        <w:footnoteRef/>
      </w:r>
      <w:r w:rsidRPr="008C7837">
        <w:rPr>
          <w:rFonts w:cstheme="minorHAnsi"/>
          <w:vertAlign w:val="superscript"/>
        </w:rPr>
        <w:t xml:space="preserve"> </w:t>
      </w:r>
      <w:r w:rsidRPr="0027696F">
        <w:rPr>
          <w:rFonts w:cstheme="minorHAnsi"/>
        </w:rPr>
        <w:t>Office of Registrar General &amp; Census Commissioner India. CensusInfo. Ministry of Home Affairs, Government of India. 2011. Available from:  http://www.censusindia.gov.in/2011census/HLO/HH14.html</w:t>
      </w:r>
    </w:p>
  </w:footnote>
  <w:footnote w:id="18">
    <w:p w14:paraId="1FCC0027" w14:textId="0CEF5EFC" w:rsidR="00D55F8F" w:rsidRPr="0027696F" w:rsidRDefault="00D55F8F" w:rsidP="00AD45E1">
      <w:pPr>
        <w:pStyle w:val="FootnoteText"/>
        <w:ind w:left="0"/>
        <w:rPr>
          <w:rFonts w:cstheme="minorHAnsi"/>
        </w:rPr>
      </w:pPr>
      <w:r w:rsidRPr="008C7837">
        <w:rPr>
          <w:rFonts w:cstheme="minorHAnsi"/>
          <w:vertAlign w:val="superscript"/>
        </w:rPr>
        <w:footnoteRef/>
      </w:r>
      <w:r w:rsidRPr="0027696F">
        <w:rPr>
          <w:rFonts w:cstheme="minorHAnsi"/>
        </w:rPr>
        <w:t xml:space="preserve"> Thomas BE, Adinarayanan S, Manogaran C, Swaminathan S. Pulmonary tuberculosis among tribals in India: A systematic review &amp; meta-analysis. Indian J Med Res. 2015;141:614–23.</w:t>
      </w:r>
    </w:p>
  </w:footnote>
  <w:footnote w:id="19">
    <w:p w14:paraId="1F1D7EFD" w14:textId="2D843A16" w:rsidR="00D55F8F" w:rsidRPr="0027696F" w:rsidRDefault="00D55F8F" w:rsidP="00E4063F">
      <w:pPr>
        <w:pStyle w:val="FootnoteText"/>
        <w:ind w:left="0"/>
        <w:rPr>
          <w:rFonts w:cstheme="minorHAnsi"/>
        </w:rPr>
      </w:pPr>
      <w:r w:rsidRPr="00AD14E0">
        <w:rPr>
          <w:rFonts w:cstheme="minorHAnsi"/>
          <w:vertAlign w:val="superscript"/>
        </w:rPr>
        <w:footnoteRef/>
      </w:r>
      <w:r w:rsidRPr="0027696F">
        <w:rPr>
          <w:rFonts w:cstheme="minorHAnsi"/>
        </w:rPr>
        <w:t xml:space="preserve"> National Health Profile 2019, Central Bureau Of Health Intelligence, Directorate General of Health Services, Ministry of Health &amp; Family Welfare, 401 &amp; 404-A Wing, Nirman Bhawan, Maulana Azad Road, New Delhi-110108</w:t>
      </w:r>
    </w:p>
  </w:footnote>
  <w:footnote w:id="20">
    <w:p w14:paraId="45E06221" w14:textId="222B352A" w:rsidR="00D55F8F" w:rsidRPr="00530773" w:rsidRDefault="00D55F8F" w:rsidP="00B003BA">
      <w:pPr>
        <w:pStyle w:val="FootnoteText"/>
        <w:ind w:left="0"/>
        <w:rPr>
          <w:rFonts w:cstheme="minorHAnsi"/>
          <w:szCs w:val="18"/>
        </w:rPr>
      </w:pPr>
      <w:r w:rsidRPr="0027696F">
        <w:rPr>
          <w:rFonts w:cstheme="minorHAnsi"/>
        </w:rPr>
        <w:footnoteRef/>
      </w:r>
      <w:r w:rsidRPr="0027696F">
        <w:rPr>
          <w:rFonts w:cstheme="minorHAnsi"/>
        </w:rPr>
        <w:t xml:space="preserve"> </w:t>
      </w:r>
      <w:r w:rsidRPr="00530773">
        <w:rPr>
          <w:rFonts w:cstheme="minorHAnsi"/>
          <w:szCs w:val="18"/>
        </w:rPr>
        <w:t xml:space="preserve">Health system for a new India; Building blocks – Potential pathways to reform; Niti Aayog, Sept 2019 </w:t>
      </w:r>
      <w:hyperlink r:id="rId5" w:history="1">
        <w:r w:rsidRPr="00530773">
          <w:rPr>
            <w:rFonts w:cstheme="minorHAnsi"/>
            <w:szCs w:val="18"/>
          </w:rPr>
          <w:t>https://niti.gov.in/sites/default/files/2019-11/NitiAayogBook_compressed.pdf</w:t>
        </w:r>
      </w:hyperlink>
    </w:p>
  </w:footnote>
  <w:footnote w:id="21">
    <w:p w14:paraId="1651155C" w14:textId="7822CB67" w:rsidR="00D55F8F" w:rsidRPr="00C76A3E" w:rsidRDefault="00D55F8F" w:rsidP="00C76A3E">
      <w:pPr>
        <w:pStyle w:val="FootnoteText"/>
        <w:ind w:left="0"/>
        <w:rPr>
          <w:lang w:val="en-US"/>
        </w:rPr>
      </w:pPr>
      <w:r>
        <w:rPr>
          <w:rStyle w:val="FootnoteReference"/>
        </w:rPr>
        <w:footnoteRef/>
      </w:r>
      <w:r>
        <w:t xml:space="preserve"> </w:t>
      </w:r>
      <w:hyperlink r:id="rId6" w:history="1">
        <w:r w:rsidRPr="00530773">
          <w:rPr>
            <w:rStyle w:val="Hyperlink"/>
            <w:color w:val="auto"/>
            <w:szCs w:val="18"/>
          </w:rPr>
          <w:t>https://economictimes.indiatimes.com/news/economy/policy/india-to-increase-public-health-spending-to-2-5-of-gdp-pm-modi/articleshow/67055735.cms?from=mdr</w:t>
        </w:r>
      </w:hyperlink>
    </w:p>
  </w:footnote>
  <w:footnote w:id="22">
    <w:p w14:paraId="35A4775C" w14:textId="2AEC3D8A" w:rsidR="00D55F8F" w:rsidRPr="00E34F06" w:rsidRDefault="00D55F8F" w:rsidP="00E34F06">
      <w:pPr>
        <w:pStyle w:val="FootnoteText"/>
        <w:ind w:left="0"/>
        <w:rPr>
          <w:lang w:val="en-US"/>
        </w:rPr>
      </w:pPr>
      <w:r>
        <w:rPr>
          <w:rStyle w:val="FootnoteReference"/>
        </w:rPr>
        <w:footnoteRef/>
      </w:r>
      <w:r>
        <w:t xml:space="preserve"> </w:t>
      </w:r>
      <w:r>
        <w:rPr>
          <w:color w:val="000000"/>
          <w:shd w:val="clear" w:color="auto" w:fill="FFFFFF"/>
        </w:rPr>
        <w:t>O’Connell T, Rasanathan K, Chopra M. What does universal health coverage mean? </w:t>
      </w:r>
      <w:r>
        <w:rPr>
          <w:rStyle w:val="ref-journal"/>
          <w:color w:val="000000"/>
          <w:shd w:val="clear" w:color="auto" w:fill="FFFFFF"/>
        </w:rPr>
        <w:t>Lancet. </w:t>
      </w:r>
      <w:r>
        <w:rPr>
          <w:color w:val="000000"/>
          <w:shd w:val="clear" w:color="auto" w:fill="FFFFFF"/>
        </w:rPr>
        <w:t>2014;</w:t>
      </w:r>
      <w:r>
        <w:rPr>
          <w:rStyle w:val="ref-vol"/>
          <w:color w:val="000000"/>
          <w:shd w:val="clear" w:color="auto" w:fill="FFFFFF"/>
        </w:rPr>
        <w:t>383</w:t>
      </w:r>
      <w:r>
        <w:rPr>
          <w:color w:val="000000"/>
          <w:shd w:val="clear" w:color="auto" w:fill="FFFFFF"/>
        </w:rPr>
        <w:t>:277–9. doi: 10.1016/S0140-6736(13)60955-1</w:t>
      </w:r>
    </w:p>
  </w:footnote>
  <w:footnote w:id="23">
    <w:p w14:paraId="15E702E6" w14:textId="46BA1C0B" w:rsidR="00D55F8F" w:rsidRPr="00E34F06" w:rsidRDefault="00D55F8F" w:rsidP="00E34F06">
      <w:pPr>
        <w:pStyle w:val="FootnoteText"/>
        <w:ind w:left="0"/>
        <w:rPr>
          <w:lang w:val="en-US"/>
        </w:rPr>
      </w:pPr>
      <w:r>
        <w:rPr>
          <w:rStyle w:val="FootnoteReference"/>
        </w:rPr>
        <w:footnoteRef/>
      </w:r>
      <w:r>
        <w:t xml:space="preserve"> </w:t>
      </w:r>
      <w:r>
        <w:rPr>
          <w:color w:val="000000"/>
          <w:shd w:val="clear" w:color="auto" w:fill="FFFFFF"/>
        </w:rPr>
        <w:t>Pettigrew LM, De Maeseneer J, Anderson MI, Essuman A, Kidd MR, Haines A. Primary health care and the Sustainable Development Goals. </w:t>
      </w:r>
      <w:r>
        <w:rPr>
          <w:rStyle w:val="ref-journal"/>
          <w:color w:val="000000"/>
          <w:shd w:val="clear" w:color="auto" w:fill="FFFFFF"/>
        </w:rPr>
        <w:t>Lancet. </w:t>
      </w:r>
      <w:r>
        <w:rPr>
          <w:color w:val="000000"/>
          <w:shd w:val="clear" w:color="auto" w:fill="FFFFFF"/>
        </w:rPr>
        <w:t>2015;</w:t>
      </w:r>
      <w:r>
        <w:rPr>
          <w:rStyle w:val="ref-vol"/>
          <w:color w:val="000000"/>
          <w:shd w:val="clear" w:color="auto" w:fill="FFFFFF"/>
        </w:rPr>
        <w:t>386</w:t>
      </w:r>
      <w:r>
        <w:rPr>
          <w:color w:val="000000"/>
          <w:shd w:val="clear" w:color="auto" w:fill="FFFFFF"/>
        </w:rPr>
        <w:t>:2119–21</w:t>
      </w:r>
    </w:p>
  </w:footnote>
  <w:footnote w:id="24">
    <w:p w14:paraId="210ADFDD" w14:textId="71768912" w:rsidR="00D55F8F" w:rsidRPr="00E34F06" w:rsidRDefault="00D55F8F" w:rsidP="00E34F06">
      <w:pPr>
        <w:pStyle w:val="FootnoteText"/>
        <w:ind w:left="0"/>
        <w:rPr>
          <w:lang w:val="en-US"/>
        </w:rPr>
      </w:pPr>
      <w:r>
        <w:rPr>
          <w:rStyle w:val="FootnoteReference"/>
        </w:rPr>
        <w:footnoteRef/>
      </w:r>
      <w:r>
        <w:t xml:space="preserve"> </w:t>
      </w:r>
      <w:r>
        <w:rPr>
          <w:color w:val="000000"/>
          <w:shd w:val="clear" w:color="auto" w:fill="FFFFFF"/>
        </w:rPr>
        <w:t>Hone T, Macinko J, Millett C. Revisiting Alma-Ata: what is the role of primary health care in achieving the Sustainable Development Goals? </w:t>
      </w:r>
      <w:r>
        <w:rPr>
          <w:rStyle w:val="ref-journal"/>
          <w:color w:val="000000"/>
          <w:shd w:val="clear" w:color="auto" w:fill="FFFFFF"/>
        </w:rPr>
        <w:t>Lancet. </w:t>
      </w:r>
      <w:r>
        <w:rPr>
          <w:color w:val="000000"/>
          <w:shd w:val="clear" w:color="auto" w:fill="FFFFFF"/>
        </w:rPr>
        <w:t>2018;</w:t>
      </w:r>
      <w:r>
        <w:rPr>
          <w:rStyle w:val="ref-vol"/>
          <w:color w:val="000000"/>
          <w:shd w:val="clear" w:color="auto" w:fill="FFFFFF"/>
        </w:rPr>
        <w:t>392</w:t>
      </w:r>
      <w:r>
        <w:rPr>
          <w:color w:val="000000"/>
          <w:shd w:val="clear" w:color="auto" w:fill="FFFFFF"/>
        </w:rPr>
        <w:t>:1461–72. doi: 10.1016/S0140-6736(18)31829-4</w:t>
      </w:r>
    </w:p>
  </w:footnote>
  <w:footnote w:id="25">
    <w:p w14:paraId="3EBCFA30" w14:textId="0D018E6E" w:rsidR="00D55F8F" w:rsidRPr="0027696F" w:rsidRDefault="00D55F8F" w:rsidP="008C22D0">
      <w:pPr>
        <w:pStyle w:val="FootnoteText"/>
        <w:ind w:left="0"/>
        <w:rPr>
          <w:rFonts w:cstheme="minorHAnsi"/>
          <w:lang w:val="en-US"/>
        </w:rPr>
      </w:pPr>
      <w:r w:rsidRPr="0027696F">
        <w:rPr>
          <w:rStyle w:val="FootnoteReference"/>
          <w:rFonts w:cstheme="minorHAnsi"/>
        </w:rPr>
        <w:footnoteRef/>
      </w:r>
      <w:r w:rsidRPr="0027696F">
        <w:rPr>
          <w:rFonts w:cstheme="minorHAnsi"/>
        </w:rPr>
        <w:t xml:space="preserve"> term developed by Merrill Singer in 1990s to describe the aggregation of two or more concurrent or sequential epidemics or disease clusters in a population with biological interactions, which exacerbate the prognosis and burden of disease</w:t>
      </w:r>
    </w:p>
  </w:footnote>
  <w:footnote w:id="26">
    <w:p w14:paraId="33615BDE" w14:textId="6DB6D59B" w:rsidR="00D55F8F" w:rsidRPr="0027696F" w:rsidRDefault="00D55F8F" w:rsidP="00F60998">
      <w:pPr>
        <w:autoSpaceDE w:val="0"/>
        <w:autoSpaceDN w:val="0"/>
        <w:adjustRightInd w:val="0"/>
        <w:spacing w:before="0" w:after="0"/>
        <w:rPr>
          <w:rFonts w:cstheme="minorHAnsi"/>
          <w:sz w:val="18"/>
          <w:szCs w:val="16"/>
          <w:lang w:val="en-GB"/>
        </w:rPr>
      </w:pPr>
      <w:r w:rsidRPr="0027696F">
        <w:rPr>
          <w:rStyle w:val="FootnoteReference"/>
          <w:rFonts w:cstheme="minorHAnsi"/>
          <w:szCs w:val="16"/>
        </w:rPr>
        <w:footnoteRef/>
      </w:r>
      <w:r w:rsidRPr="0027696F">
        <w:rPr>
          <w:rFonts w:cstheme="minorHAnsi"/>
          <w:sz w:val="18"/>
          <w:szCs w:val="16"/>
        </w:rPr>
        <w:t xml:space="preserve"> </w:t>
      </w:r>
      <w:r w:rsidRPr="0027696F">
        <w:rPr>
          <w:rFonts w:cstheme="minorHAnsi"/>
          <w:sz w:val="18"/>
          <w:szCs w:val="16"/>
          <w:lang w:val="en-IN"/>
        </w:rPr>
        <w:t>Lonnroth</w:t>
      </w:r>
      <w:r w:rsidRPr="0027696F">
        <w:rPr>
          <w:rFonts w:cstheme="minorHAnsi"/>
          <w:sz w:val="18"/>
          <w:szCs w:val="16"/>
        </w:rPr>
        <w:t xml:space="preserve"> K, Glaziou P, Weil D, Floyd K, Uplekar M, Raviglione M. Beyond UHC: monitoring health and social protection coverage in the context of tuberculosis care and prevention. PLoS Med 2014; 11 (9): e1001693.</w:t>
      </w:r>
    </w:p>
  </w:footnote>
  <w:footnote w:id="27">
    <w:p w14:paraId="61E98B7D" w14:textId="5453D44D" w:rsidR="00D55F8F" w:rsidRPr="004D3907" w:rsidRDefault="00D55F8F" w:rsidP="00555D49">
      <w:pPr>
        <w:pStyle w:val="FootnoteText"/>
        <w:ind w:left="0"/>
        <w:rPr>
          <w:sz w:val="20"/>
          <w:lang w:val="en-US"/>
        </w:rPr>
      </w:pPr>
      <w:r w:rsidRPr="004D3907">
        <w:rPr>
          <w:rStyle w:val="FootnoteReference"/>
          <w:sz w:val="20"/>
        </w:rPr>
        <w:footnoteRef/>
      </w:r>
      <w:r w:rsidRPr="004D3907">
        <w:rPr>
          <w:sz w:val="20"/>
        </w:rPr>
        <w:t xml:space="preserve"> </w:t>
      </w:r>
      <w:r w:rsidRPr="004D3907">
        <w:rPr>
          <w:sz w:val="20"/>
          <w:lang w:val="en-US"/>
        </w:rPr>
        <w:t xml:space="preserve">The projections are based on scenario II (pragmatic approach) of the NTEP impact modelling, Table 6, 7, </w:t>
      </w:r>
      <w:r w:rsidRPr="00555D49">
        <w:rPr>
          <w:sz w:val="20"/>
          <w:lang w:val="en-US"/>
        </w:rPr>
        <w:t>Page 33,</w:t>
      </w:r>
      <w:r>
        <w:rPr>
          <w:sz w:val="20"/>
          <w:lang w:val="en-US"/>
        </w:rPr>
        <w:t xml:space="preserve"> </w:t>
      </w:r>
      <w:r w:rsidRPr="00555D49">
        <w:rPr>
          <w:sz w:val="20"/>
          <w:lang w:val="en-US"/>
        </w:rPr>
        <w:t>34</w:t>
      </w:r>
      <w:r>
        <w:rPr>
          <w:sz w:val="20"/>
          <w:lang w:val="en-US"/>
        </w:rPr>
        <w:t xml:space="preserve"> and </w:t>
      </w:r>
      <w:r w:rsidRPr="00555D49">
        <w:rPr>
          <w:sz w:val="20"/>
          <w:lang w:val="en-US"/>
        </w:rPr>
        <w:t>35 Chapter 6</w:t>
      </w:r>
    </w:p>
  </w:footnote>
  <w:footnote w:id="28">
    <w:p w14:paraId="31D33FE9" w14:textId="77777777" w:rsidR="00D55F8F" w:rsidRPr="005B58D1" w:rsidRDefault="00D55F8F" w:rsidP="00217C7F">
      <w:pPr>
        <w:pStyle w:val="FootnoteText"/>
        <w:rPr>
          <w:lang w:val="en-US"/>
        </w:rPr>
      </w:pPr>
      <w:r w:rsidRPr="005B58D1">
        <w:rPr>
          <w:rStyle w:val="FootnoteReference"/>
        </w:rPr>
        <w:footnoteRef/>
      </w:r>
      <w:r w:rsidRPr="005B58D1">
        <w:t xml:space="preserve"> </w:t>
      </w:r>
      <w:hyperlink r:id="rId7" w:history="1">
        <w:r w:rsidRPr="005B58D1">
          <w:rPr>
            <w:rStyle w:val="Hyperlink"/>
            <w:color w:val="auto"/>
          </w:rPr>
          <w:t>http://www.ima-india.org/ima/free-way-page.php?pid=2</w:t>
        </w:r>
      </w:hyperlink>
    </w:p>
  </w:footnote>
  <w:footnote w:id="29">
    <w:p w14:paraId="12F90698" w14:textId="7167F603" w:rsidR="00D55F8F" w:rsidRPr="000976C0" w:rsidRDefault="00D55F8F">
      <w:pPr>
        <w:pStyle w:val="FootnoteText"/>
        <w:rPr>
          <w:lang w:val="en-US"/>
        </w:rPr>
      </w:pPr>
      <w:r>
        <w:rPr>
          <w:rStyle w:val="FootnoteReference"/>
        </w:rPr>
        <w:footnoteRef/>
      </w:r>
      <w:r>
        <w:t xml:space="preserve"> </w:t>
      </w:r>
      <w:r w:rsidRPr="000976C0">
        <w:rPr>
          <w:sz w:val="16"/>
          <w:szCs w:val="16"/>
        </w:rPr>
        <w:t xml:space="preserve">Examples include </w:t>
      </w:r>
      <w:r w:rsidRPr="000976C0">
        <w:rPr>
          <w:rFonts w:cs="Calibri"/>
          <w:kern w:val="24"/>
          <w:sz w:val="16"/>
          <w:szCs w:val="16"/>
          <w:lang w:eastAsia="en-IN"/>
        </w:rPr>
        <w:t>Ministry of information technology, planning, urban development, rural development, women and child development, social justice and empowerment, human resource development, information and broadcasting, tribal affairs, minority affairs, skill development and entrepreneurship, heavy industries and public enterprises, science and technology, mining, statistics, Railways etc.</w:t>
      </w:r>
    </w:p>
  </w:footnote>
  <w:footnote w:id="30">
    <w:p w14:paraId="6A89EA95" w14:textId="47F94E8A" w:rsidR="00D55F8F" w:rsidRPr="007E093C" w:rsidRDefault="00D55F8F" w:rsidP="00150B60">
      <w:pPr>
        <w:pStyle w:val="FootnoteText"/>
        <w:ind w:left="0"/>
        <w:rPr>
          <w:lang w:val="en-US"/>
        </w:rPr>
      </w:pPr>
      <w:r>
        <w:rPr>
          <w:rStyle w:val="FootnoteReference"/>
        </w:rPr>
        <w:footnoteRef/>
      </w:r>
      <w:r>
        <w:t xml:space="preserve"> </w:t>
      </w:r>
      <w:r w:rsidRPr="007E093C">
        <w:rPr>
          <w:lang w:val="en-US"/>
        </w:rPr>
        <w:t>Dewa L. Social distancing in covid -19: what are the mental health implications? BMJ. 369</w:t>
      </w:r>
      <w:r>
        <w:rPr>
          <w:lang w:val="en-US"/>
        </w:rPr>
        <w:t xml:space="preserve"> </w:t>
      </w:r>
      <w:r w:rsidRPr="007E093C">
        <w:rPr>
          <w:lang w:val="en-US"/>
        </w:rPr>
        <w:t>DOI: https://doi.org/10.1136/bmj.m1379</w:t>
      </w:r>
    </w:p>
  </w:footnote>
  <w:footnote w:id="31">
    <w:p w14:paraId="2DAF006A" w14:textId="77777777" w:rsidR="00D55F8F" w:rsidRPr="00840F1C" w:rsidRDefault="00D55F8F" w:rsidP="007E093C">
      <w:pPr>
        <w:pStyle w:val="FootnoteText"/>
        <w:ind w:left="0"/>
        <w:rPr>
          <w:sz w:val="16"/>
          <w:szCs w:val="16"/>
          <w:lang w:val="en-US"/>
        </w:rPr>
      </w:pPr>
      <w:r w:rsidRPr="00840F1C">
        <w:rPr>
          <w:rStyle w:val="FootnoteReference"/>
          <w:sz w:val="16"/>
          <w:szCs w:val="16"/>
        </w:rPr>
        <w:footnoteRef/>
      </w:r>
      <w:r w:rsidRPr="00840F1C">
        <w:rPr>
          <w:sz w:val="16"/>
          <w:szCs w:val="16"/>
        </w:rPr>
        <w:t xml:space="preserve"> </w:t>
      </w:r>
      <w:r w:rsidRPr="00840F1C">
        <w:rPr>
          <w:sz w:val="16"/>
          <w:szCs w:val="16"/>
          <w:lang w:val="en-US"/>
        </w:rPr>
        <w:t xml:space="preserve">Chakrabartty A, Basu P, Ali KM, </w:t>
      </w:r>
      <w:r w:rsidRPr="00840F1C">
        <w:rPr>
          <w:i/>
          <w:iCs/>
          <w:sz w:val="16"/>
          <w:szCs w:val="16"/>
          <w:lang w:val="en-US"/>
        </w:rPr>
        <w:t>et al</w:t>
      </w:r>
      <w:r w:rsidRPr="00840F1C">
        <w:rPr>
          <w:sz w:val="16"/>
          <w:szCs w:val="16"/>
          <w:lang w:val="en-US"/>
        </w:rPr>
        <w:t>. Tuberculosis related stigma and its effect on the delay for sputum examination under the Revised National Tuberculosis Control Program in India. IJRTB; 65 (2018) 145–151</w:t>
      </w:r>
    </w:p>
  </w:footnote>
  <w:footnote w:id="32">
    <w:p w14:paraId="2DAFBFDF" w14:textId="77777777" w:rsidR="00D55F8F" w:rsidRPr="00840F1C" w:rsidRDefault="00D55F8F" w:rsidP="007E093C">
      <w:pPr>
        <w:pStyle w:val="FootnoteText"/>
        <w:ind w:left="0"/>
        <w:rPr>
          <w:sz w:val="16"/>
          <w:szCs w:val="16"/>
          <w:lang w:val="en-US"/>
        </w:rPr>
      </w:pPr>
      <w:r w:rsidRPr="00840F1C">
        <w:rPr>
          <w:rStyle w:val="FootnoteReference"/>
          <w:sz w:val="16"/>
          <w:szCs w:val="16"/>
        </w:rPr>
        <w:footnoteRef/>
      </w:r>
      <w:r w:rsidRPr="00840F1C">
        <w:rPr>
          <w:sz w:val="16"/>
          <w:szCs w:val="16"/>
        </w:rPr>
        <w:t xml:space="preserve"> </w:t>
      </w:r>
      <w:r w:rsidRPr="00840F1C">
        <w:rPr>
          <w:sz w:val="16"/>
          <w:szCs w:val="16"/>
          <w:lang w:val="en-US"/>
        </w:rPr>
        <w:t xml:space="preserve">Chakrabartty A, Basu P, Ali KM, </w:t>
      </w:r>
      <w:r w:rsidRPr="00840F1C">
        <w:rPr>
          <w:i/>
          <w:iCs/>
          <w:sz w:val="16"/>
          <w:szCs w:val="16"/>
          <w:lang w:val="en-US"/>
        </w:rPr>
        <w:t>et al</w:t>
      </w:r>
      <w:r w:rsidRPr="00840F1C">
        <w:rPr>
          <w:sz w:val="16"/>
          <w:szCs w:val="16"/>
          <w:lang w:val="en-US"/>
        </w:rPr>
        <w:t>. Tuberculosis related stigma attached to the adherence of Directly Observed Treatment Short Course (DOTS) in West Bengal, India. IJRTB; 66 (2019): 259-265</w:t>
      </w:r>
    </w:p>
  </w:footnote>
  <w:footnote w:id="33">
    <w:p w14:paraId="4C8014F1" w14:textId="18EEEEBD" w:rsidR="00D55F8F" w:rsidRPr="007762D7" w:rsidRDefault="00D55F8F" w:rsidP="007762D7">
      <w:pPr>
        <w:pStyle w:val="FootnoteText"/>
        <w:ind w:left="0"/>
        <w:rPr>
          <w:sz w:val="16"/>
          <w:szCs w:val="16"/>
          <w:lang w:val="en-US"/>
        </w:rPr>
      </w:pPr>
      <w:r w:rsidRPr="007762D7">
        <w:rPr>
          <w:rStyle w:val="FootnoteReference"/>
          <w:sz w:val="16"/>
          <w:szCs w:val="16"/>
        </w:rPr>
        <w:footnoteRef/>
      </w:r>
      <w:r w:rsidRPr="007762D7">
        <w:rPr>
          <w:rStyle w:val="FootnoteReference"/>
          <w:sz w:val="16"/>
          <w:szCs w:val="16"/>
        </w:rPr>
        <w:t xml:space="preserve"> </w:t>
      </w:r>
      <w:r w:rsidRPr="007762D7">
        <w:rPr>
          <w:sz w:val="16"/>
          <w:szCs w:val="16"/>
          <w:lang w:val="en-US"/>
        </w:rPr>
        <w:t xml:space="preserve"> Ministry of Health with Family Welfare (2017). National Strategic Plan for Tuberculosis 2017-25</w:t>
      </w:r>
    </w:p>
  </w:footnote>
  <w:footnote w:id="34">
    <w:p w14:paraId="0D37946E" w14:textId="5A17321B" w:rsidR="00D55F8F" w:rsidRPr="007762D7" w:rsidRDefault="00D55F8F" w:rsidP="007762D7">
      <w:pPr>
        <w:pStyle w:val="FootnoteText"/>
        <w:ind w:left="0"/>
        <w:rPr>
          <w:sz w:val="16"/>
          <w:szCs w:val="16"/>
          <w:lang w:val="en-US"/>
        </w:rPr>
      </w:pPr>
      <w:r w:rsidRPr="007762D7">
        <w:rPr>
          <w:rStyle w:val="FootnoteReference"/>
          <w:sz w:val="16"/>
          <w:szCs w:val="16"/>
        </w:rPr>
        <w:footnoteRef/>
      </w:r>
      <w:r w:rsidRPr="007762D7">
        <w:rPr>
          <w:sz w:val="16"/>
          <w:szCs w:val="16"/>
        </w:rPr>
        <w:t xml:space="preserve"> </w:t>
      </w:r>
      <w:r w:rsidRPr="007762D7">
        <w:rPr>
          <w:sz w:val="16"/>
          <w:szCs w:val="16"/>
          <w:lang w:val="en-US"/>
        </w:rPr>
        <w:t xml:space="preserve">Courtwright A, Turner AN. Tuberculosis and stigmatization: pathways and interventions. Public Health Rep 2010;125(Suppl 4):34–42. </w:t>
      </w:r>
    </w:p>
  </w:footnote>
  <w:footnote w:id="35">
    <w:p w14:paraId="4DC9E2E9" w14:textId="7B5C282E" w:rsidR="00D55F8F" w:rsidRPr="007762D7" w:rsidRDefault="00D55F8F" w:rsidP="007762D7">
      <w:pPr>
        <w:pStyle w:val="FootnoteText"/>
        <w:ind w:left="0"/>
        <w:rPr>
          <w:sz w:val="16"/>
          <w:szCs w:val="16"/>
          <w:lang w:val="en-US"/>
        </w:rPr>
      </w:pPr>
      <w:r w:rsidRPr="007762D7">
        <w:rPr>
          <w:rStyle w:val="FootnoteReference"/>
          <w:sz w:val="16"/>
          <w:szCs w:val="16"/>
        </w:rPr>
        <w:footnoteRef/>
      </w:r>
      <w:r w:rsidRPr="007762D7">
        <w:rPr>
          <w:sz w:val="16"/>
          <w:szCs w:val="16"/>
        </w:rPr>
        <w:t xml:space="preserve"> </w:t>
      </w:r>
      <w:r w:rsidRPr="007762D7">
        <w:rPr>
          <w:sz w:val="16"/>
          <w:szCs w:val="16"/>
          <w:lang w:val="en-US"/>
        </w:rPr>
        <w:t xml:space="preserve">Stangl AL, Lloyd JK, Brady LM, et al. A systematic review of interventions to reduce HIV-related stigma and discrimination from 2002 to 2013: how far have we come? J Int AIDS Soc 2013;16(3 Suppl 2):18734. </w:t>
      </w:r>
    </w:p>
  </w:footnote>
  <w:footnote w:id="36">
    <w:p w14:paraId="73787C4F" w14:textId="28D1FC25" w:rsidR="00D55F8F" w:rsidRPr="007762D7" w:rsidRDefault="00D55F8F" w:rsidP="007762D7">
      <w:pPr>
        <w:pStyle w:val="FootnoteText"/>
        <w:ind w:left="0"/>
        <w:rPr>
          <w:sz w:val="16"/>
          <w:szCs w:val="16"/>
          <w:lang w:val="en-US"/>
        </w:rPr>
      </w:pPr>
      <w:r w:rsidRPr="007762D7">
        <w:rPr>
          <w:rStyle w:val="FootnoteReference"/>
          <w:sz w:val="16"/>
          <w:szCs w:val="16"/>
        </w:rPr>
        <w:footnoteRef/>
      </w:r>
      <w:r w:rsidRPr="007762D7">
        <w:rPr>
          <w:sz w:val="16"/>
          <w:szCs w:val="16"/>
        </w:rPr>
        <w:t xml:space="preserve"> </w:t>
      </w:r>
      <w:r w:rsidRPr="007762D7">
        <w:rPr>
          <w:sz w:val="16"/>
          <w:szCs w:val="16"/>
          <w:lang w:val="en-US"/>
        </w:rPr>
        <w:t>Sommerland N, Wouters E, Mitchell EMH, et al. Evidence-based interventions to reduce tuberculosis stigma: a systematic review. Int J Tuberc Lung Dis 2017;21:81–6.</w:t>
      </w:r>
    </w:p>
  </w:footnote>
  <w:footnote w:id="37">
    <w:p w14:paraId="41080697" w14:textId="7078BCE9" w:rsidR="00D55F8F" w:rsidRPr="007762D7" w:rsidRDefault="00D55F8F" w:rsidP="007762D7">
      <w:pPr>
        <w:pStyle w:val="FootnoteText"/>
        <w:ind w:left="0"/>
        <w:rPr>
          <w:sz w:val="16"/>
          <w:szCs w:val="16"/>
          <w:lang w:val="en-US"/>
        </w:rPr>
      </w:pPr>
      <w:r w:rsidRPr="007762D7">
        <w:rPr>
          <w:rStyle w:val="FootnoteReference"/>
          <w:sz w:val="16"/>
          <w:szCs w:val="16"/>
        </w:rPr>
        <w:footnoteRef/>
      </w:r>
      <w:r w:rsidRPr="007762D7">
        <w:rPr>
          <w:sz w:val="16"/>
          <w:szCs w:val="16"/>
        </w:rPr>
        <w:t xml:space="preserve"> </w:t>
      </w:r>
      <w:r w:rsidRPr="007762D7">
        <w:rPr>
          <w:sz w:val="16"/>
          <w:szCs w:val="16"/>
          <w:lang w:val="en-US"/>
        </w:rPr>
        <w:t>Sharpe L, Ginsburg G, Gordon G, et al. Trying to make the personal political: feminism and consciousness-raising - a reprint of consciousness raising guidelines (1975). Chicago: Women's Action Alliance, Half Letter Press, 2017.</w:t>
      </w:r>
    </w:p>
  </w:footnote>
  <w:footnote w:id="38">
    <w:p w14:paraId="03C0E34D" w14:textId="4494A1E1" w:rsidR="00D55F8F" w:rsidRPr="007762D7" w:rsidRDefault="00D55F8F" w:rsidP="00EB401B">
      <w:pPr>
        <w:pStyle w:val="FootnoteText"/>
        <w:ind w:left="0"/>
        <w:rPr>
          <w:sz w:val="16"/>
          <w:szCs w:val="16"/>
          <w:lang w:val="en-US"/>
        </w:rPr>
      </w:pPr>
      <w:r w:rsidRPr="007762D7">
        <w:rPr>
          <w:rStyle w:val="FootnoteReference"/>
          <w:rFonts w:cstheme="minorHAnsi"/>
          <w:sz w:val="16"/>
          <w:szCs w:val="16"/>
        </w:rPr>
        <w:footnoteRef/>
      </w:r>
      <w:r w:rsidRPr="007762D7">
        <w:rPr>
          <w:rFonts w:cstheme="minorHAnsi"/>
          <w:sz w:val="16"/>
          <w:szCs w:val="16"/>
        </w:rPr>
        <w:t xml:space="preserve"> </w:t>
      </w:r>
      <w:hyperlink r:id="rId8" w:history="1">
        <w:r w:rsidRPr="007762D7">
          <w:rPr>
            <w:rStyle w:val="Hyperlink"/>
            <w:rFonts w:cstheme="minorHAnsi"/>
            <w:color w:val="auto"/>
            <w:sz w:val="16"/>
            <w:szCs w:val="16"/>
          </w:rPr>
          <w:t>https://tbcindia.gov.in/WriteReadData/l892s/388838054811%20NTEP%20Gender%20Responsive%20Framework_311219.pdf</w:t>
        </w:r>
      </w:hyperlink>
    </w:p>
  </w:footnote>
  <w:footnote w:id="39">
    <w:p w14:paraId="7E5136F1" w14:textId="79E0B7EE" w:rsidR="00D55F8F" w:rsidRPr="00ED1FA2" w:rsidRDefault="00D55F8F" w:rsidP="006642CF">
      <w:pPr>
        <w:pStyle w:val="FootnoteText"/>
        <w:ind w:left="0"/>
        <w:rPr>
          <w:rFonts w:asciiTheme="minorHAnsi" w:hAnsiTheme="minorHAnsi" w:cstheme="minorHAnsi"/>
          <w:sz w:val="16"/>
          <w:szCs w:val="16"/>
          <w:lang w:val="en-US"/>
        </w:rPr>
      </w:pPr>
      <w:r w:rsidRPr="00ED1FA2">
        <w:rPr>
          <w:rStyle w:val="FootnoteReference"/>
          <w:rFonts w:asciiTheme="minorHAnsi" w:hAnsiTheme="minorHAnsi" w:cstheme="minorHAnsi"/>
          <w:sz w:val="16"/>
          <w:szCs w:val="16"/>
        </w:rPr>
        <w:footnoteRef/>
      </w:r>
      <w:r w:rsidRPr="00ED1FA2">
        <w:rPr>
          <w:rFonts w:asciiTheme="minorHAnsi" w:hAnsiTheme="minorHAnsi" w:cstheme="minorHAnsi"/>
          <w:sz w:val="16"/>
          <w:szCs w:val="16"/>
        </w:rPr>
        <w:t xml:space="preserve"> </w:t>
      </w:r>
      <w:r w:rsidRPr="006642CF">
        <w:rPr>
          <w:rFonts w:asciiTheme="minorHAnsi" w:hAnsiTheme="minorHAnsi" w:cstheme="minorHAnsi"/>
          <w:sz w:val="16"/>
          <w:szCs w:val="16"/>
        </w:rPr>
        <w:t>impact of infectious disease epidemics on tuberculosis diagnostic, management, and prevention services: experiences and lessons from the 2014–2015 Ebola virus disease outbreak in West Africa</w:t>
      </w:r>
      <w:r>
        <w:rPr>
          <w:rFonts w:asciiTheme="minorHAnsi" w:hAnsiTheme="minorHAnsi" w:cstheme="minorHAnsi"/>
          <w:sz w:val="16"/>
          <w:szCs w:val="16"/>
        </w:rPr>
        <w:t xml:space="preserve"> </w:t>
      </w:r>
      <w:r w:rsidRPr="006642CF">
        <w:rPr>
          <w:rFonts w:asciiTheme="minorHAnsi" w:hAnsiTheme="minorHAnsi" w:cstheme="minorHAnsi"/>
          <w:sz w:val="16"/>
          <w:szCs w:val="16"/>
        </w:rPr>
        <w:t>Rashid Ansumana</w:t>
      </w:r>
      <w:r w:rsidRPr="00ED1FA2">
        <w:rPr>
          <w:rFonts w:asciiTheme="minorHAnsi" w:hAnsiTheme="minorHAnsi" w:cstheme="minorHAnsi"/>
          <w:sz w:val="16"/>
          <w:szCs w:val="16"/>
        </w:rPr>
        <w:t>DOI:https://doi.org/10.1016/j.ijid.2016.10.010</w:t>
      </w:r>
    </w:p>
  </w:footnote>
  <w:footnote w:id="40">
    <w:p w14:paraId="3A5FD0A8" w14:textId="21D2CFEF" w:rsidR="00D55F8F" w:rsidRPr="006F6335" w:rsidRDefault="00D55F8F" w:rsidP="006F6335">
      <w:pPr>
        <w:spacing w:before="0" w:after="0"/>
        <w:jc w:val="both"/>
        <w:rPr>
          <w:sz w:val="16"/>
          <w:szCs w:val="16"/>
        </w:rPr>
      </w:pPr>
      <w:r w:rsidRPr="006F6335">
        <w:rPr>
          <w:rStyle w:val="FootnoteReference"/>
          <w:sz w:val="16"/>
          <w:szCs w:val="16"/>
        </w:rPr>
        <w:footnoteRef/>
      </w:r>
      <w:r w:rsidRPr="006F6335">
        <w:rPr>
          <w:sz w:val="16"/>
          <w:szCs w:val="16"/>
        </w:rPr>
        <w:t xml:space="preserve"> </w:t>
      </w:r>
      <w:r w:rsidRPr="006F6335">
        <w:rPr>
          <w:rFonts w:eastAsia="Times New Roman" w:cstheme="minorHAnsi"/>
          <w:color w:val="333333"/>
          <w:sz w:val="16"/>
          <w:szCs w:val="16"/>
          <w:lang w:val="en"/>
        </w:rPr>
        <w:t xml:space="preserve">Houben R, Menzies NA, Sumner T, </w:t>
      </w:r>
      <w:r w:rsidRPr="006F6335">
        <w:rPr>
          <w:rFonts w:eastAsia="Times New Roman" w:cstheme="minorHAnsi"/>
          <w:i/>
          <w:color w:val="333333"/>
          <w:sz w:val="16"/>
          <w:szCs w:val="16"/>
          <w:lang w:val="en"/>
        </w:rPr>
        <w:t>et al</w:t>
      </w:r>
      <w:r w:rsidRPr="006F6335">
        <w:rPr>
          <w:rFonts w:eastAsia="Times New Roman" w:cstheme="minorHAnsi"/>
          <w:color w:val="333333"/>
          <w:sz w:val="16"/>
          <w:szCs w:val="16"/>
          <w:lang w:val="en"/>
        </w:rPr>
        <w:t xml:space="preserve">. Feasibility of achieving the 2025 WHO global tuberculosis targets in South Africa, China, and India: a combined analysis of 11 mathematical models. </w:t>
      </w:r>
      <w:r w:rsidRPr="006F6335">
        <w:rPr>
          <w:rFonts w:eastAsia="Times New Roman" w:cstheme="minorHAnsi"/>
          <w:b/>
          <w:color w:val="333333"/>
          <w:sz w:val="16"/>
          <w:szCs w:val="16"/>
          <w:lang w:val="en"/>
        </w:rPr>
        <w:t>Lancet Glob Health.</w:t>
      </w:r>
      <w:r w:rsidRPr="006F6335">
        <w:rPr>
          <w:rFonts w:eastAsia="Times New Roman" w:cstheme="minorHAnsi"/>
          <w:color w:val="333333"/>
          <w:sz w:val="16"/>
          <w:szCs w:val="16"/>
          <w:lang w:val="en"/>
        </w:rPr>
        <w:t xml:space="preserve"> 2016;4:e806–e815. </w:t>
      </w:r>
    </w:p>
  </w:footnote>
  <w:footnote w:id="41">
    <w:p w14:paraId="3796786C" w14:textId="0B4C94B2" w:rsidR="00D55F8F" w:rsidRPr="006F6335" w:rsidRDefault="00D55F8F" w:rsidP="006F6335">
      <w:pPr>
        <w:spacing w:before="0" w:after="0"/>
        <w:jc w:val="both"/>
      </w:pPr>
      <w:r w:rsidRPr="006F6335">
        <w:rPr>
          <w:rStyle w:val="FootnoteReference"/>
          <w:sz w:val="16"/>
        </w:rPr>
        <w:footnoteRef/>
      </w:r>
      <w:r w:rsidRPr="006F6335">
        <w:rPr>
          <w:sz w:val="16"/>
          <w:szCs w:val="18"/>
        </w:rPr>
        <w:t xml:space="preserve"> </w:t>
      </w:r>
      <w:r w:rsidRPr="006F6335">
        <w:rPr>
          <w:rFonts w:eastAsia="Times New Roman" w:cstheme="minorHAnsi"/>
          <w:color w:val="333333"/>
          <w:sz w:val="16"/>
          <w:szCs w:val="18"/>
          <w:lang w:val="en"/>
        </w:rPr>
        <w:t xml:space="preserve">Cohen A, Mathiasen VD, Schön T, Wejse C. The global prevalence of latent tuberculosis: a systematic review and meta-analysis. </w:t>
      </w:r>
      <w:r w:rsidRPr="006F6335">
        <w:rPr>
          <w:rFonts w:eastAsia="Times New Roman" w:cstheme="minorHAnsi"/>
          <w:b/>
          <w:color w:val="333333"/>
          <w:sz w:val="16"/>
          <w:szCs w:val="18"/>
          <w:lang w:val="en"/>
        </w:rPr>
        <w:t>Eur Respir J.</w:t>
      </w:r>
      <w:r w:rsidRPr="006F6335">
        <w:rPr>
          <w:rFonts w:eastAsia="Times New Roman" w:cstheme="minorHAnsi"/>
          <w:color w:val="333333"/>
          <w:sz w:val="16"/>
          <w:szCs w:val="18"/>
          <w:lang w:val="en"/>
        </w:rPr>
        <w:t xml:space="preserve"> 2019;54(3):1900655.</w:t>
      </w:r>
      <w:r>
        <w:rPr>
          <w:rFonts w:eastAsia="Times New Roman" w:cstheme="minorHAnsi"/>
          <w:color w:val="333333"/>
          <w:sz w:val="16"/>
          <w:szCs w:val="18"/>
          <w:lang w:val="en"/>
        </w:rPr>
        <w:t xml:space="preserve"> </w:t>
      </w:r>
    </w:p>
  </w:footnote>
  <w:footnote w:id="42">
    <w:p w14:paraId="4FFE08C5" w14:textId="0908AE2B" w:rsidR="00D55F8F" w:rsidRPr="006F6335" w:rsidRDefault="00D55F8F" w:rsidP="006F6335">
      <w:pPr>
        <w:spacing w:before="0" w:after="0"/>
        <w:jc w:val="both"/>
      </w:pPr>
      <w:r w:rsidRPr="006F6335">
        <w:rPr>
          <w:rStyle w:val="FootnoteReference"/>
          <w:sz w:val="16"/>
          <w:szCs w:val="16"/>
        </w:rPr>
        <w:footnoteRef/>
      </w:r>
      <w:r w:rsidRPr="006F6335">
        <w:rPr>
          <w:sz w:val="16"/>
          <w:szCs w:val="16"/>
        </w:rPr>
        <w:t xml:space="preserve"> </w:t>
      </w:r>
      <w:r w:rsidRPr="006F6335">
        <w:rPr>
          <w:rFonts w:eastAsia="Times New Roman" w:cstheme="minorHAnsi"/>
          <w:color w:val="333333"/>
          <w:sz w:val="16"/>
          <w:szCs w:val="16"/>
          <w:lang w:val="en"/>
        </w:rPr>
        <w:t xml:space="preserve">Narasimhan P, MacIntyre CR, Mathai D, </w:t>
      </w:r>
      <w:r w:rsidRPr="006F6335">
        <w:rPr>
          <w:rFonts w:eastAsia="Times New Roman" w:cstheme="minorHAnsi"/>
          <w:i/>
          <w:color w:val="333333"/>
          <w:sz w:val="16"/>
          <w:szCs w:val="16"/>
          <w:lang w:val="en"/>
        </w:rPr>
        <w:t>et al.</w:t>
      </w:r>
      <w:r w:rsidRPr="006F6335">
        <w:rPr>
          <w:rFonts w:eastAsia="Times New Roman" w:cstheme="minorHAnsi"/>
          <w:color w:val="333333"/>
          <w:sz w:val="16"/>
          <w:szCs w:val="16"/>
          <w:lang w:val="en"/>
        </w:rPr>
        <w:t xml:space="preserve"> High rates of latent TB infection in contacts and the wider community in South India. </w:t>
      </w:r>
      <w:r w:rsidRPr="006F6335">
        <w:rPr>
          <w:rFonts w:eastAsia="Times New Roman" w:cstheme="minorHAnsi"/>
          <w:b/>
          <w:color w:val="333333"/>
          <w:sz w:val="16"/>
          <w:szCs w:val="16"/>
          <w:lang w:val="en"/>
        </w:rPr>
        <w:t>Trans R Soc Trop Med Hyg.</w:t>
      </w:r>
      <w:r w:rsidRPr="006F6335">
        <w:rPr>
          <w:rFonts w:eastAsia="Times New Roman" w:cstheme="minorHAnsi"/>
          <w:color w:val="333333"/>
          <w:sz w:val="16"/>
          <w:szCs w:val="16"/>
          <w:lang w:val="en"/>
        </w:rPr>
        <w:t xml:space="preserve"> 2017;111:55–61.</w:t>
      </w:r>
      <w:r>
        <w:rPr>
          <w:rFonts w:eastAsia="Times New Roman" w:cstheme="minorHAnsi"/>
          <w:color w:val="333333"/>
          <w:sz w:val="16"/>
          <w:szCs w:val="16"/>
          <w:lang w:val="en"/>
        </w:rPr>
        <w:t xml:space="preserve"> </w:t>
      </w:r>
    </w:p>
  </w:footnote>
  <w:footnote w:id="43">
    <w:p w14:paraId="6635778B" w14:textId="15474CB9" w:rsidR="00D55F8F" w:rsidRPr="006F6335" w:rsidRDefault="00D55F8F" w:rsidP="006F6335">
      <w:pPr>
        <w:spacing w:before="0" w:after="0"/>
        <w:jc w:val="both"/>
      </w:pPr>
      <w:r>
        <w:rPr>
          <w:rStyle w:val="FootnoteReference"/>
        </w:rPr>
        <w:footnoteRef/>
      </w:r>
      <w:r>
        <w:t xml:space="preserve"> </w:t>
      </w:r>
      <w:r w:rsidRPr="006F6335">
        <w:rPr>
          <w:rFonts w:eastAsia="Times New Roman" w:cstheme="minorHAnsi"/>
          <w:iCs/>
          <w:color w:val="333333"/>
          <w:sz w:val="16"/>
          <w:szCs w:val="16"/>
          <w:lang w:val="en"/>
        </w:rPr>
        <w:t>Office of the Registrar General and Census Commissioner, India, 2018. HH-01. Normal households by household size</w:t>
      </w:r>
      <w:r w:rsidRPr="006F6335">
        <w:rPr>
          <w:rFonts w:eastAsia="Times New Roman" w:cstheme="minorHAnsi"/>
          <w:i/>
          <w:iCs/>
          <w:color w:val="333333"/>
          <w:sz w:val="16"/>
          <w:szCs w:val="16"/>
          <w:lang w:val="en"/>
        </w:rPr>
        <w:t xml:space="preserve">. Available from: </w:t>
      </w:r>
      <w:hyperlink r:id="rId9" w:history="1">
        <w:r w:rsidRPr="006F6335">
          <w:rPr>
            <w:rFonts w:eastAsia="Times New Roman" w:cstheme="minorHAnsi"/>
            <w:i/>
            <w:iCs/>
            <w:color w:val="2A6EBB"/>
            <w:sz w:val="16"/>
            <w:szCs w:val="16"/>
            <w:lang w:val="en"/>
          </w:rPr>
          <w:t>http://www.censusindia.gov.in/2011census/hh-series/hh01.html</w:t>
        </w:r>
      </w:hyperlink>
      <w:r w:rsidRPr="006F6335">
        <w:rPr>
          <w:rFonts w:eastAsia="Times New Roman" w:cstheme="minorHAnsi"/>
          <w:i/>
          <w:iCs/>
          <w:color w:val="333333"/>
          <w:sz w:val="16"/>
          <w:szCs w:val="16"/>
          <w:lang w:val="en"/>
        </w:rPr>
        <w:t>.</w:t>
      </w:r>
      <w:r>
        <w:rPr>
          <w:rFonts w:eastAsia="Times New Roman" w:cstheme="minorHAnsi"/>
          <w:i/>
          <w:iCs/>
          <w:color w:val="333333"/>
          <w:sz w:val="16"/>
          <w:szCs w:val="16"/>
          <w:lang w:val="en"/>
        </w:rPr>
        <w:t xml:space="preserve"> </w:t>
      </w:r>
    </w:p>
  </w:footnote>
  <w:footnote w:id="44">
    <w:p w14:paraId="1BE632F4" w14:textId="16F20B25" w:rsidR="00D55F8F" w:rsidRPr="006F6335" w:rsidRDefault="00D55F8F" w:rsidP="006F6335">
      <w:pPr>
        <w:spacing w:before="0" w:after="0"/>
        <w:jc w:val="both"/>
      </w:pPr>
      <w:r>
        <w:rPr>
          <w:rStyle w:val="FootnoteReference"/>
        </w:rPr>
        <w:footnoteRef/>
      </w:r>
      <w:r>
        <w:t xml:space="preserve"> </w:t>
      </w:r>
      <w:r w:rsidRPr="006F6335">
        <w:rPr>
          <w:rFonts w:eastAsia="Times New Roman" w:cstheme="minorHAnsi"/>
          <w:iCs/>
          <w:color w:val="333333"/>
          <w:sz w:val="16"/>
          <w:szCs w:val="16"/>
          <w:lang w:val="en"/>
        </w:rPr>
        <w:t xml:space="preserve">Khaparde K, Jethani P, Dewan PK, </w:t>
      </w:r>
      <w:r w:rsidRPr="006F6335">
        <w:rPr>
          <w:rFonts w:eastAsia="Times New Roman" w:cstheme="minorHAnsi"/>
          <w:i/>
          <w:iCs/>
          <w:color w:val="333333"/>
          <w:sz w:val="16"/>
          <w:szCs w:val="16"/>
          <w:lang w:val="en"/>
        </w:rPr>
        <w:t>et al.</w:t>
      </w:r>
      <w:r w:rsidRPr="006F6335">
        <w:rPr>
          <w:rFonts w:eastAsia="Times New Roman" w:cstheme="minorHAnsi"/>
          <w:iCs/>
          <w:color w:val="333333"/>
          <w:sz w:val="16"/>
          <w:szCs w:val="16"/>
          <w:lang w:val="en"/>
        </w:rPr>
        <w:t xml:space="preserve"> Evaluation of TB Case Finding through Systematic Contact Investigation, Chhattisgarh, India. </w:t>
      </w:r>
      <w:r w:rsidRPr="006F6335">
        <w:rPr>
          <w:rFonts w:eastAsia="Times New Roman" w:cstheme="minorHAnsi"/>
          <w:b/>
          <w:iCs/>
          <w:color w:val="333333"/>
          <w:sz w:val="16"/>
          <w:szCs w:val="16"/>
          <w:lang w:val="en"/>
        </w:rPr>
        <w:t>Tuberc Res Treat</w:t>
      </w:r>
      <w:r w:rsidRPr="006F6335">
        <w:rPr>
          <w:rFonts w:eastAsia="Times New Roman" w:cstheme="minorHAnsi"/>
          <w:iCs/>
          <w:color w:val="333333"/>
          <w:sz w:val="16"/>
          <w:szCs w:val="16"/>
          <w:lang w:val="en"/>
        </w:rPr>
        <w:t>. 2015; 670167.</w:t>
      </w:r>
      <w:r>
        <w:rPr>
          <w:rFonts w:eastAsia="Times New Roman" w:cstheme="minorHAnsi"/>
          <w:iCs/>
          <w:color w:val="333333"/>
          <w:sz w:val="16"/>
          <w:szCs w:val="16"/>
          <w:lang w:val="en"/>
        </w:rPr>
        <w:t xml:space="preserve"> </w:t>
      </w:r>
    </w:p>
  </w:footnote>
  <w:footnote w:id="45">
    <w:p w14:paraId="4157BCE2" w14:textId="77777777" w:rsidR="00D55F8F" w:rsidRPr="006F6335" w:rsidRDefault="00D55F8F" w:rsidP="006F6335">
      <w:pPr>
        <w:spacing w:before="0" w:after="0"/>
        <w:jc w:val="both"/>
        <w:rPr>
          <w:rFonts w:eastAsia="Times New Roman" w:cstheme="minorHAnsi"/>
          <w:iCs/>
          <w:color w:val="333333"/>
          <w:sz w:val="16"/>
          <w:szCs w:val="16"/>
          <w:lang w:val="en"/>
        </w:rPr>
      </w:pPr>
      <w:r w:rsidRPr="006F6335">
        <w:rPr>
          <w:rFonts w:eastAsia="Times New Roman" w:cstheme="minorHAnsi"/>
          <w:iCs/>
          <w:color w:val="333333"/>
          <w:sz w:val="16"/>
          <w:szCs w:val="16"/>
          <w:lang w:val="en"/>
        </w:rPr>
        <w:footnoteRef/>
      </w:r>
      <w:r w:rsidRPr="006F6335">
        <w:rPr>
          <w:rFonts w:eastAsia="Times New Roman" w:cstheme="minorHAnsi"/>
          <w:iCs/>
          <w:color w:val="333333"/>
          <w:sz w:val="16"/>
          <w:szCs w:val="16"/>
          <w:lang w:val="en"/>
        </w:rPr>
        <w:t xml:space="preserve"> Moonan PK, Nair SA, Chadha VK, et al. Tuberculosis preventive treatment: the next chapter of tuberculosis elimination in India. BMJ Glob Health. 2018; 3(5):e001135.</w:t>
      </w:r>
    </w:p>
    <w:p w14:paraId="0D6D62C4" w14:textId="2584EAA7" w:rsidR="00D55F8F" w:rsidRPr="006F6335" w:rsidRDefault="00D55F8F">
      <w:pPr>
        <w:pStyle w:val="FootnoteText"/>
        <w:rPr>
          <w:lang w:val="en-US"/>
        </w:rPr>
      </w:pPr>
    </w:p>
  </w:footnote>
  <w:footnote w:id="46">
    <w:p w14:paraId="100E4801" w14:textId="77777777" w:rsidR="00D55F8F" w:rsidRPr="00951FE3" w:rsidRDefault="00D55F8F" w:rsidP="008C655D">
      <w:pPr>
        <w:pStyle w:val="FootnoteText"/>
        <w:rPr>
          <w:sz w:val="16"/>
          <w:lang w:val="en-US"/>
        </w:rPr>
      </w:pPr>
      <w:r w:rsidRPr="00951FE3">
        <w:rPr>
          <w:rStyle w:val="FootnoteReference"/>
          <w:sz w:val="16"/>
        </w:rPr>
        <w:footnoteRef/>
      </w:r>
      <w:r w:rsidRPr="00951FE3">
        <w:rPr>
          <w:sz w:val="16"/>
        </w:rPr>
        <w:t xml:space="preserve"> </w:t>
      </w:r>
      <w:r w:rsidRPr="00951FE3">
        <w:rPr>
          <w:sz w:val="16"/>
          <w:lang w:val="en-US"/>
        </w:rPr>
        <w:t>Global TB Report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E6374" w14:textId="77777777" w:rsidR="00D55F8F" w:rsidRDefault="00D55F8F" w:rsidP="00E13E11">
    <w:pPr>
      <w:pStyle w:val="Header"/>
      <w:tabs>
        <w:tab w:val="clear" w:pos="9360"/>
        <w:tab w:val="right" w:pos="10800"/>
      </w:tabs>
      <w:ind w:right="-1080"/>
    </w:pPr>
    <w:r>
      <w:rPr>
        <w:noProof/>
        <w:lang w:val="en-IN" w:eastAsia="en-IN"/>
      </w:rPr>
      <mc:AlternateContent>
        <mc:Choice Requires="wps">
          <w:drawing>
            <wp:anchor distT="0" distB="0" distL="114300" distR="114300" simplePos="0" relativeHeight="251657216" behindDoc="0" locked="0" layoutInCell="1" allowOverlap="1" wp14:anchorId="06DA5A5C" wp14:editId="01C922C3">
              <wp:simplePos x="0" y="0"/>
              <wp:positionH relativeFrom="column">
                <wp:posOffset>4219575</wp:posOffset>
              </wp:positionH>
              <wp:positionV relativeFrom="paragraph">
                <wp:posOffset>24130</wp:posOffset>
              </wp:positionV>
              <wp:extent cx="2390775" cy="81915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8907F" w14:textId="77777777" w:rsidR="00D55F8F" w:rsidRDefault="00D55F8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DA5A5C" id="_x0000_t202" coordsize="21600,21600" o:spt="202" path="m,l,21600r21600,l21600,xe">
              <v:stroke joinstyle="miter"/>
              <v:path gradientshapeok="t" o:connecttype="rect"/>
            </v:shapetype>
            <v:shape id="Text Box 12" o:spid="_x0000_s1033" type="#_x0000_t202" style="position:absolute;left:0;text-align:left;margin-left:332.25pt;margin-top:1.9pt;width:188.2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" filled="f" stroked="f" strokeweight=".5pt">
              <v:path arrowok="t"/>
              <v:textbox inset="0,0,0,0">
                <w:txbxContent>
                  <w:p w14:paraId="6AC8907F" w14:textId="77777777" w:rsidR="00D55F8F" w:rsidRDefault="00D55F8F"/>
                </w:txbxContent>
              </v:textbox>
            </v:shape>
          </w:pict>
        </mc:Fallback>
      </mc:AlternateContent>
    </w:r>
    <w:r>
      <w:rPr>
        <w:noProof/>
        <w:lang w:val="en-IN" w:eastAsia="en-IN"/>
      </w:rPr>
      <mc:AlternateContent>
        <mc:Choice Requires="wps">
          <w:drawing>
            <wp:anchor distT="0" distB="0" distL="114300" distR="114300" simplePos="0" relativeHeight="251655168" behindDoc="0" locked="0" layoutInCell="1" allowOverlap="1" wp14:anchorId="1C47542E" wp14:editId="77752B2C">
              <wp:simplePos x="0" y="0"/>
              <wp:positionH relativeFrom="column">
                <wp:posOffset>-114300</wp:posOffset>
              </wp:positionH>
              <wp:positionV relativeFrom="paragraph">
                <wp:posOffset>-5080</wp:posOffset>
              </wp:positionV>
              <wp:extent cx="2600325" cy="87630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857E1" w14:textId="77777777" w:rsidR="00D55F8F" w:rsidRDefault="00D55F8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47542E" id="Text Box 11" o:spid="_x0000_s1034" type="#_x0000_t202" style="position:absolute;left:0;text-align:left;margin-left:-9pt;margin-top:-.4pt;width:204.75pt;height: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" filled="f" stroked="f" strokeweight=".5pt">
              <v:path arrowok="t"/>
              <v:textbox inset="0,0,0,0">
                <w:txbxContent>
                  <w:p w14:paraId="0D8857E1" w14:textId="77777777" w:rsidR="00D55F8F" w:rsidRDefault="00D55F8F"/>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13D83" w14:textId="77777777" w:rsidR="00D55F8F" w:rsidRDefault="00D55F8F">
    <w:pPr>
      <w:pStyle w:val="Header"/>
    </w:pPr>
    <w:r>
      <w:rPr>
        <w:noProof/>
        <w:lang w:val="en-IN" w:eastAsia="en-IN"/>
      </w:rPr>
      <mc:AlternateContent>
        <mc:Choice Requires="wps">
          <w:drawing>
            <wp:anchor distT="0" distB="0" distL="114300" distR="114300" simplePos="0" relativeHeight="251659264" behindDoc="0" locked="0" layoutInCell="1" allowOverlap="1" wp14:anchorId="65062C3F" wp14:editId="38DC5111">
              <wp:simplePos x="0" y="0"/>
              <wp:positionH relativeFrom="column">
                <wp:posOffset>3914775</wp:posOffset>
              </wp:positionH>
              <wp:positionV relativeFrom="paragraph">
                <wp:posOffset>-28575</wp:posOffset>
              </wp:positionV>
              <wp:extent cx="2352675" cy="79057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743EB" w14:textId="77777777" w:rsidR="00D55F8F" w:rsidRDefault="00D55F8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062C3F" id="_x0000_t202" coordsize="21600,21600" o:spt="202" path="m,l,21600r21600,l21600,xe">
              <v:stroke joinstyle="miter"/>
              <v:path gradientshapeok="t" o:connecttype="rect"/>
            </v:shapetype>
            <v:shape id="Text Box 14" o:spid="_x0000_s1035" type="#_x0000_t202" style="position:absolute;left:0;text-align:left;margin-left:308.25pt;margin-top:-2.25pt;width:185.2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" filled="f" stroked="f" strokeweight=".5pt">
              <v:path arrowok="t"/>
              <v:textbox inset="0,0,0,0">
                <w:txbxContent>
                  <w:p w14:paraId="125743EB" w14:textId="77777777" w:rsidR="00D55F8F" w:rsidRDefault="00D55F8F"/>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498FB" w14:textId="77777777" w:rsidR="00D55F8F" w:rsidRDefault="00D55F8F" w:rsidP="005C7098">
    <w:pPr>
      <w:pStyle w:val="1-DocTex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29266" w14:textId="77777777" w:rsidR="00D55F8F" w:rsidRDefault="00D55F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D6EA6" w14:textId="77777777" w:rsidR="00D55F8F" w:rsidRDefault="00D55F8F" w:rsidP="00266F55">
    <w:pPr>
      <w:pStyle w:val="1-DocTex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7738F" w14:textId="77777777" w:rsidR="00D55F8F" w:rsidRDefault="00D55F8F" w:rsidP="00B54E50">
    <w:pPr>
      <w:pStyle w:val="Header"/>
      <w:ind w:left="-1440"/>
    </w:pPr>
  </w:p>
  <w:p w14:paraId="43D1E564" w14:textId="77777777" w:rsidR="00D55F8F" w:rsidRDefault="00D55F8F"/>
  <w:p w14:paraId="3E970222" w14:textId="77777777" w:rsidR="00D55F8F" w:rsidRDefault="00D55F8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D7BFC" w14:textId="77777777" w:rsidR="00D55F8F" w:rsidRPr="00E220A3" w:rsidRDefault="00D55F8F" w:rsidP="00E220A3">
    <w:pPr>
      <w:pStyle w:val="Header"/>
      <w:spacing w:before="0" w:after="0"/>
      <w:rPr>
        <w:rFonts w:asciiTheme="minorHAnsi" w:hAnsiTheme="minorHAnsi" w:cstheme="minorHAnsi"/>
        <w:sz w:val="22"/>
      </w:rPr>
    </w:pPr>
  </w:p>
  <w:p w14:paraId="607B9879" w14:textId="77777777" w:rsidR="00D55F8F" w:rsidRDefault="00D55F8F"/>
  <w:p w14:paraId="42841157" w14:textId="77777777" w:rsidR="00D55F8F" w:rsidRDefault="00D55F8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F1793" w14:textId="77777777" w:rsidR="00D55F8F" w:rsidRPr="00E220A3" w:rsidRDefault="00D55F8F" w:rsidP="00E220A3">
    <w:pPr>
      <w:pStyle w:val="1-DocText"/>
      <w:spacing w:before="0" w:after="0"/>
      <w:rPr>
        <w:rFonts w:asciiTheme="minorHAnsi" w:hAnsiTheme="minorHAnsi" w:cstheme="minorHAnsi"/>
      </w:rPr>
    </w:pPr>
  </w:p>
  <w:p w14:paraId="7E80359B" w14:textId="77777777" w:rsidR="00D55F8F" w:rsidRDefault="00D55F8F"/>
  <w:p w14:paraId="32D2FBB2" w14:textId="77777777" w:rsidR="00D55F8F" w:rsidRDefault="00D55F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29E1"/>
    <w:multiLevelType w:val="multilevel"/>
    <w:tmpl w:val="93244A80"/>
    <w:lvl w:ilvl="0">
      <w:start w:val="1"/>
      <w:numFmt w:val="lowerLetter"/>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B40848"/>
    <w:multiLevelType w:val="multilevel"/>
    <w:tmpl w:val="E3BA0E0A"/>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2609A9"/>
    <w:multiLevelType w:val="multilevel"/>
    <w:tmpl w:val="24C27744"/>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1D0E74"/>
    <w:multiLevelType w:val="multilevel"/>
    <w:tmpl w:val="5178008E"/>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492758"/>
    <w:multiLevelType w:val="multilevel"/>
    <w:tmpl w:val="F5901BF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9078EB"/>
    <w:multiLevelType w:val="multilevel"/>
    <w:tmpl w:val="DA7A2E2A"/>
    <w:lvl w:ilvl="0">
      <w:start w:val="1"/>
      <w:numFmt w:val="lowerLetter"/>
      <w:lvlText w:val="%1."/>
      <w:lvlJc w:val="left"/>
      <w:pPr>
        <w:ind w:left="360" w:hanging="360"/>
      </w:pPr>
    </w:lvl>
    <w:lvl w:ilvl="1">
      <w:start w:val="1"/>
      <w:numFmt w:val="upperRoman"/>
      <w:lvlText w:val="%2."/>
      <w:lvlJc w:val="right"/>
      <w:pPr>
        <w:ind w:left="1080" w:hanging="360"/>
      </w:pPr>
    </w:lvl>
    <w:lvl w:ilvl="2">
      <w:start w:val="1"/>
      <w:numFmt w:val="bullet"/>
      <w:lvlText w:val="-"/>
      <w:lvlJc w:val="left"/>
      <w:pPr>
        <w:ind w:left="1980" w:hanging="360"/>
      </w:pPr>
      <w:rPr>
        <w:rFonts w:ascii="Calibri" w:eastAsia="Calibri" w:hAnsi="Calibri" w:cs="Calibri" w:hint="default"/>
      </w:rPr>
    </w:lvl>
    <w:lvl w:ilvl="3">
      <w:start w:val="1"/>
      <w:numFmt w:val="decimal"/>
      <w:lvlText w:val="%4."/>
      <w:lvlJc w:val="left"/>
      <w:pPr>
        <w:ind w:left="2880" w:hanging="720"/>
      </w:pPr>
      <w:rPr>
        <w:rFonts w:hint="default"/>
      </w:rPr>
    </w:lvl>
    <w:lvl w:ilvl="4">
      <w:numFmt w:val="bullet"/>
      <w:lvlText w:val="•"/>
      <w:lvlJc w:val="left"/>
      <w:pPr>
        <w:ind w:left="3600" w:hanging="720"/>
      </w:pPr>
      <w:rPr>
        <w:rFonts w:ascii="Calibri" w:eastAsia="Times New Roman" w:hAnsi="Calibri" w:cs="Calibri" w:hint="default"/>
      </w:r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0C6A7205"/>
    <w:multiLevelType w:val="hybridMultilevel"/>
    <w:tmpl w:val="03E2393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5A13F6"/>
    <w:multiLevelType w:val="hybridMultilevel"/>
    <w:tmpl w:val="2EEA56AE"/>
    <w:lvl w:ilvl="0" w:tplc="CB90FFA4">
      <w:start w:val="1"/>
      <w:numFmt w:val="bullet"/>
      <w:pStyle w:val="Bullet1"/>
      <w:lvlText w:val=""/>
      <w:lvlJc w:val="left"/>
      <w:pPr>
        <w:tabs>
          <w:tab w:val="num" w:pos="360"/>
        </w:tabs>
        <w:ind w:left="360" w:hanging="360"/>
      </w:pPr>
      <w:rPr>
        <w:rFonts w:ascii="Symbol" w:hAnsi="Symbol" w:hint="default"/>
        <w:color w:val="auto"/>
        <w:sz w:val="21"/>
      </w:rPr>
    </w:lvl>
    <w:lvl w:ilvl="1" w:tplc="04090003">
      <w:start w:val="1"/>
      <w:numFmt w:val="bullet"/>
      <w:lvlText w:val="o"/>
      <w:lvlJc w:val="left"/>
      <w:pPr>
        <w:tabs>
          <w:tab w:val="num" w:pos="216"/>
        </w:tabs>
        <w:ind w:left="216" w:hanging="360"/>
      </w:pPr>
      <w:rPr>
        <w:rFonts w:ascii="Courier New" w:hAnsi="Courier New" w:hint="default"/>
      </w:rPr>
    </w:lvl>
    <w:lvl w:ilvl="2" w:tplc="04090005">
      <w:start w:val="1"/>
      <w:numFmt w:val="bullet"/>
      <w:lvlText w:val=""/>
      <w:lvlJc w:val="left"/>
      <w:pPr>
        <w:tabs>
          <w:tab w:val="num" w:pos="936"/>
        </w:tabs>
        <w:ind w:left="936" w:hanging="360"/>
      </w:pPr>
      <w:rPr>
        <w:rFonts w:ascii="Wingdings" w:hAnsi="Wingdings" w:hint="default"/>
      </w:rPr>
    </w:lvl>
    <w:lvl w:ilvl="3" w:tplc="04090001">
      <w:start w:val="1"/>
      <w:numFmt w:val="bullet"/>
      <w:lvlText w:val=""/>
      <w:lvlJc w:val="left"/>
      <w:pPr>
        <w:tabs>
          <w:tab w:val="num" w:pos="1656"/>
        </w:tabs>
        <w:ind w:left="1656" w:hanging="360"/>
      </w:pPr>
      <w:rPr>
        <w:rFonts w:ascii="Symbol" w:hAnsi="Symbol" w:hint="default"/>
      </w:rPr>
    </w:lvl>
    <w:lvl w:ilvl="4" w:tplc="04090003" w:tentative="1">
      <w:start w:val="1"/>
      <w:numFmt w:val="bullet"/>
      <w:lvlText w:val="o"/>
      <w:lvlJc w:val="left"/>
      <w:pPr>
        <w:tabs>
          <w:tab w:val="num" w:pos="2376"/>
        </w:tabs>
        <w:ind w:left="2376" w:hanging="360"/>
      </w:pPr>
      <w:rPr>
        <w:rFonts w:ascii="Courier New" w:hAnsi="Courier New" w:hint="default"/>
      </w:rPr>
    </w:lvl>
    <w:lvl w:ilvl="5" w:tplc="04090005" w:tentative="1">
      <w:start w:val="1"/>
      <w:numFmt w:val="bullet"/>
      <w:lvlText w:val=""/>
      <w:lvlJc w:val="left"/>
      <w:pPr>
        <w:tabs>
          <w:tab w:val="num" w:pos="3096"/>
        </w:tabs>
        <w:ind w:left="3096" w:hanging="360"/>
      </w:pPr>
      <w:rPr>
        <w:rFonts w:ascii="Wingdings" w:hAnsi="Wingdings" w:hint="default"/>
      </w:rPr>
    </w:lvl>
    <w:lvl w:ilvl="6" w:tplc="04090001" w:tentative="1">
      <w:start w:val="1"/>
      <w:numFmt w:val="bullet"/>
      <w:lvlText w:val=""/>
      <w:lvlJc w:val="left"/>
      <w:pPr>
        <w:tabs>
          <w:tab w:val="num" w:pos="3816"/>
        </w:tabs>
        <w:ind w:left="3816" w:hanging="360"/>
      </w:pPr>
      <w:rPr>
        <w:rFonts w:ascii="Symbol" w:hAnsi="Symbol" w:hint="default"/>
      </w:rPr>
    </w:lvl>
    <w:lvl w:ilvl="7" w:tplc="04090003" w:tentative="1">
      <w:start w:val="1"/>
      <w:numFmt w:val="bullet"/>
      <w:lvlText w:val="o"/>
      <w:lvlJc w:val="left"/>
      <w:pPr>
        <w:tabs>
          <w:tab w:val="num" w:pos="4536"/>
        </w:tabs>
        <w:ind w:left="4536" w:hanging="360"/>
      </w:pPr>
      <w:rPr>
        <w:rFonts w:ascii="Courier New" w:hAnsi="Courier New" w:hint="default"/>
      </w:rPr>
    </w:lvl>
    <w:lvl w:ilvl="8" w:tplc="04090005" w:tentative="1">
      <w:start w:val="1"/>
      <w:numFmt w:val="bullet"/>
      <w:lvlText w:val=""/>
      <w:lvlJc w:val="left"/>
      <w:pPr>
        <w:tabs>
          <w:tab w:val="num" w:pos="5256"/>
        </w:tabs>
        <w:ind w:left="5256" w:hanging="360"/>
      </w:pPr>
      <w:rPr>
        <w:rFonts w:ascii="Wingdings" w:hAnsi="Wingdings" w:hint="default"/>
      </w:rPr>
    </w:lvl>
  </w:abstractNum>
  <w:abstractNum w:abstractNumId="8" w15:restartNumberingAfterBreak="0">
    <w:nsid w:val="0F5C6E23"/>
    <w:multiLevelType w:val="hybridMultilevel"/>
    <w:tmpl w:val="23E0B1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FEF728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6A62F9"/>
    <w:multiLevelType w:val="multilevel"/>
    <w:tmpl w:val="25B4E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F2E7A"/>
    <w:multiLevelType w:val="hybridMultilevel"/>
    <w:tmpl w:val="62C2480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19E0558"/>
    <w:multiLevelType w:val="multilevel"/>
    <w:tmpl w:val="66DA3142"/>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1B61CF8"/>
    <w:multiLevelType w:val="hybridMultilevel"/>
    <w:tmpl w:val="D4F663C6"/>
    <w:lvl w:ilvl="0" w:tplc="12DAB93A">
      <w:start w:val="1"/>
      <w:numFmt w:val="lowerLetter"/>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12BA2B69"/>
    <w:multiLevelType w:val="multilevel"/>
    <w:tmpl w:val="4FCEE852"/>
    <w:lvl w:ilvl="0">
      <w:start w:val="1"/>
      <w:numFmt w:val="lowerLetter"/>
      <w:lvlText w:val="%1."/>
      <w:lvlJc w:val="left"/>
      <w:pPr>
        <w:ind w:left="360" w:hanging="360"/>
      </w:pPr>
      <w:rPr>
        <w:rFonts w:hint="default"/>
        <w:b/>
        <w:u w:val="none"/>
      </w:rPr>
    </w:lvl>
    <w:lvl w:ilvl="1">
      <w:start w:val="1"/>
      <w:numFmt w:val="decimal"/>
      <w:lvlText w:val="%1.%2."/>
      <w:lvlJc w:val="left"/>
      <w:pPr>
        <w:ind w:left="792" w:hanging="432"/>
      </w:pPr>
      <w:rPr>
        <w:rFonts w:hint="default"/>
        <w:u w:val="none"/>
      </w:rPr>
    </w:lvl>
    <w:lvl w:ilvl="2">
      <w:start w:val="1"/>
      <w:numFmt w:val="lowerLetter"/>
      <w:lvlText w:val="%3."/>
      <w:lvlJc w:val="left"/>
      <w:pPr>
        <w:ind w:left="1224" w:hanging="504"/>
      </w:pPr>
      <w:rPr>
        <w:rFonts w:hint="default"/>
        <w:b/>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5" w15:restartNumberingAfterBreak="0">
    <w:nsid w:val="12F57CF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EF6555"/>
    <w:multiLevelType w:val="multilevel"/>
    <w:tmpl w:val="96F49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326C9D"/>
    <w:multiLevelType w:val="hybridMultilevel"/>
    <w:tmpl w:val="BFEAF382"/>
    <w:lvl w:ilvl="0" w:tplc="70FE338C">
      <w:start w:val="1"/>
      <w:numFmt w:val="bullet"/>
      <w:pStyle w:val="TableBullet"/>
      <w:lvlText w:val=""/>
      <w:lvlJc w:val="left"/>
      <w:pPr>
        <w:ind w:left="540" w:hanging="360"/>
      </w:pPr>
      <w:rPr>
        <w:rFonts w:ascii="Symbol" w:hAnsi="Symbol" w:cs="Symbol" w:hint="default"/>
        <w:color w:val="F78E1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3607C9"/>
    <w:multiLevelType w:val="multilevel"/>
    <w:tmpl w:val="94089C88"/>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145413A1"/>
    <w:multiLevelType w:val="multilevel"/>
    <w:tmpl w:val="653C4E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54" w:hanging="504"/>
      </w:pPr>
      <w:rPr>
        <w:b/>
      </w:rPr>
    </w:lvl>
    <w:lvl w:ilvl="3">
      <w:start w:val="1"/>
      <w:numFmt w:val="bullet"/>
      <w:lvlText w:val=""/>
      <w:lvlJc w:val="left"/>
      <w:pPr>
        <w:ind w:left="1728" w:hanging="648"/>
      </w:pPr>
      <w:rPr>
        <w:rFonts w:ascii="Symbol" w:hAnsi="Symbol"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5D704E"/>
    <w:multiLevelType w:val="multilevel"/>
    <w:tmpl w:val="4B2E9D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48D0FC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6F1464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8A8082D"/>
    <w:multiLevelType w:val="multilevel"/>
    <w:tmpl w:val="88604BC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9CA07B0"/>
    <w:multiLevelType w:val="multilevel"/>
    <w:tmpl w:val="3CD4E62A"/>
    <w:lvl w:ilvl="0">
      <w:start w:val="1"/>
      <w:numFmt w:val="lowerLetter"/>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AA200CE"/>
    <w:multiLevelType w:val="hybridMultilevel"/>
    <w:tmpl w:val="33EC3F8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1AF560EA"/>
    <w:multiLevelType w:val="hybridMultilevel"/>
    <w:tmpl w:val="961AD31A"/>
    <w:lvl w:ilvl="0" w:tplc="D6AC110C">
      <w:start w:val="1"/>
      <w:numFmt w:val="upperLetter"/>
      <w:pStyle w:val="TableBulletAB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084823"/>
    <w:multiLevelType w:val="hybridMultilevel"/>
    <w:tmpl w:val="E7F68FE8"/>
    <w:lvl w:ilvl="0" w:tplc="501469DE">
      <w:start w:val="1"/>
      <w:numFmt w:val="bullet"/>
      <w:pStyle w:val="1-Bullet"/>
      <w:lvlText w:val=""/>
      <w:lvlJc w:val="left"/>
      <w:pPr>
        <w:ind w:left="360" w:hanging="360"/>
      </w:pPr>
      <w:rPr>
        <w:rFonts w:ascii="Symbol" w:hAnsi="Symbol" w:cs="Symbol" w:hint="default"/>
        <w:color w:val="F78E1E"/>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B1819D4"/>
    <w:multiLevelType w:val="multilevel"/>
    <w:tmpl w:val="298A16C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BB51F32"/>
    <w:multiLevelType w:val="hybridMultilevel"/>
    <w:tmpl w:val="091E2028"/>
    <w:lvl w:ilvl="0" w:tplc="72943792">
      <w:start w:val="1"/>
      <w:numFmt w:val="lowerLetter"/>
      <w:pStyle w:val="Table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F0078F"/>
    <w:multiLevelType w:val="hybridMultilevel"/>
    <w:tmpl w:val="40EE403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1D0C7C15"/>
    <w:multiLevelType w:val="hybridMultilevel"/>
    <w:tmpl w:val="F4A28392"/>
    <w:lvl w:ilvl="0" w:tplc="40090013">
      <w:start w:val="1"/>
      <w:numFmt w:val="upperRoman"/>
      <w:lvlText w:val="%1."/>
      <w:lvlJc w:val="right"/>
      <w:pPr>
        <w:ind w:left="990" w:hanging="360"/>
      </w:pPr>
      <w:rPr>
        <w:rFonts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32" w15:restartNumberingAfterBreak="0">
    <w:nsid w:val="1D5A2DD5"/>
    <w:multiLevelType w:val="hybridMultilevel"/>
    <w:tmpl w:val="5EE291AA"/>
    <w:lvl w:ilvl="0" w:tplc="97CCE7D2">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1E5729E1"/>
    <w:multiLevelType w:val="hybridMultilevel"/>
    <w:tmpl w:val="96D4B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1EC05506"/>
    <w:multiLevelType w:val="multilevel"/>
    <w:tmpl w:val="2C5ABD74"/>
    <w:lvl w:ilvl="0">
      <w:start w:val="1"/>
      <w:numFmt w:val="lowerLetter"/>
      <w:lvlText w:val="%1."/>
      <w:lvlJc w:val="left"/>
      <w:pPr>
        <w:ind w:left="360" w:hanging="360"/>
      </w:pPr>
      <w:rPr>
        <w:rFonts w:hint="default"/>
        <w:b/>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02B517F"/>
    <w:multiLevelType w:val="hybridMultilevel"/>
    <w:tmpl w:val="611E27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204A6370"/>
    <w:multiLevelType w:val="hybridMultilevel"/>
    <w:tmpl w:val="0568D6C8"/>
    <w:lvl w:ilvl="0" w:tplc="40090019">
      <w:start w:val="1"/>
      <w:numFmt w:val="lowerLetter"/>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20B442AC"/>
    <w:multiLevelType w:val="hybridMultilevel"/>
    <w:tmpl w:val="AA3EA9A2"/>
    <w:lvl w:ilvl="0" w:tplc="42C29DA0">
      <w:start w:val="1"/>
      <w:numFmt w:val="lowerLetter"/>
      <w:lvlText w:val="%1."/>
      <w:lvlJc w:val="left"/>
      <w:pPr>
        <w:ind w:left="360" w:hanging="360"/>
      </w:pPr>
      <w:rPr>
        <w:color w:val="auto"/>
      </w:rPr>
    </w:lvl>
    <w:lvl w:ilvl="1" w:tplc="FE9EC12A">
      <w:start w:val="1"/>
      <w:numFmt w:val="lowerRoman"/>
      <w:lvlText w:val="%2)"/>
      <w:lvlJc w:val="left"/>
      <w:pPr>
        <w:ind w:left="1440" w:hanging="72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22733EFF"/>
    <w:multiLevelType w:val="hybridMultilevel"/>
    <w:tmpl w:val="943EB70A"/>
    <w:lvl w:ilvl="0" w:tplc="61F8C9FE">
      <w:start w:val="1"/>
      <w:numFmt w:val="decimal"/>
      <w:pStyle w:val="TAbleBulletNumnber"/>
      <w:lvlText w:val="%1."/>
      <w:lvlJc w:val="left"/>
      <w:pPr>
        <w:ind w:left="403" w:hanging="360"/>
      </w:pPr>
      <w:rPr>
        <w:rFonts w:ascii="Gill Sans MT" w:hAnsi="Gill Sans MT" w:cs="Gill Sans MT" w:hint="default"/>
        <w:b w:val="0"/>
        <w:i w:val="0"/>
        <w:color w:val="auto"/>
        <w:sz w:val="20"/>
        <w:szCs w:val="20"/>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39" w15:restartNumberingAfterBreak="0">
    <w:nsid w:val="23DC5F2F"/>
    <w:multiLevelType w:val="multilevel"/>
    <w:tmpl w:val="071C1C94"/>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4C3745E"/>
    <w:multiLevelType w:val="hybridMultilevel"/>
    <w:tmpl w:val="00900B46"/>
    <w:lvl w:ilvl="0" w:tplc="40090019">
      <w:start w:val="1"/>
      <w:numFmt w:val="lowerLetter"/>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cs="Wingdings" w:hint="default"/>
      </w:rPr>
    </w:lvl>
    <w:lvl w:ilvl="3" w:tplc="40090001" w:tentative="1">
      <w:start w:val="1"/>
      <w:numFmt w:val="bullet"/>
      <w:lvlText w:val=""/>
      <w:lvlJc w:val="left"/>
      <w:pPr>
        <w:ind w:left="2520" w:hanging="360"/>
      </w:pPr>
      <w:rPr>
        <w:rFonts w:ascii="Symbol" w:hAnsi="Symbol" w:cs="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cs="Wingdings" w:hint="default"/>
      </w:rPr>
    </w:lvl>
    <w:lvl w:ilvl="6" w:tplc="40090001" w:tentative="1">
      <w:start w:val="1"/>
      <w:numFmt w:val="bullet"/>
      <w:lvlText w:val=""/>
      <w:lvlJc w:val="left"/>
      <w:pPr>
        <w:ind w:left="4680" w:hanging="360"/>
      </w:pPr>
      <w:rPr>
        <w:rFonts w:ascii="Symbol" w:hAnsi="Symbol" w:cs="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cs="Wingdings" w:hint="default"/>
      </w:rPr>
    </w:lvl>
  </w:abstractNum>
  <w:abstractNum w:abstractNumId="41" w15:restartNumberingAfterBreak="0">
    <w:nsid w:val="24D5400F"/>
    <w:multiLevelType w:val="multilevel"/>
    <w:tmpl w:val="951E4624"/>
    <w:lvl w:ilvl="0">
      <w:start w:val="1"/>
      <w:numFmt w:val="lowerLetter"/>
      <w:lvlText w:val="%1."/>
      <w:lvlJc w:val="left"/>
      <w:pPr>
        <w:ind w:left="360" w:hanging="360"/>
      </w:pPr>
    </w:lvl>
    <w:lvl w:ilvl="1">
      <w:start w:val="1"/>
      <w:numFmt w:val="upperRoman"/>
      <w:lvlText w:val="%2."/>
      <w:lvlJc w:val="right"/>
      <w:pPr>
        <w:ind w:left="1080" w:hanging="360"/>
      </w:pPr>
    </w:lvl>
    <w:lvl w:ilvl="2">
      <w:start w:val="1"/>
      <w:numFmt w:val="bullet"/>
      <w:lvlText w:val="-"/>
      <w:lvlJc w:val="left"/>
      <w:pPr>
        <w:ind w:left="1980" w:hanging="360"/>
      </w:pPr>
      <w:rPr>
        <w:rFonts w:ascii="Calibri" w:eastAsia="Calibri" w:hAnsi="Calibri" w:cs="Calibri" w:hint="default"/>
      </w:rPr>
    </w:lvl>
    <w:lvl w:ilvl="3">
      <w:start w:val="1"/>
      <w:numFmt w:val="decimal"/>
      <w:lvlText w:val="%4."/>
      <w:lvlJc w:val="left"/>
      <w:pPr>
        <w:ind w:left="2880" w:hanging="720"/>
      </w:pPr>
      <w:rPr>
        <w:rFonts w:hint="default"/>
      </w:r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15:restartNumberingAfterBreak="0">
    <w:nsid w:val="266F23B2"/>
    <w:multiLevelType w:val="multilevel"/>
    <w:tmpl w:val="4CDAB9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7010B61"/>
    <w:multiLevelType w:val="multilevel"/>
    <w:tmpl w:val="8AB84A1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4" w15:restartNumberingAfterBreak="0">
    <w:nsid w:val="28323FEB"/>
    <w:multiLevelType w:val="hybridMultilevel"/>
    <w:tmpl w:val="2DBCEF90"/>
    <w:lvl w:ilvl="0" w:tplc="F8E618D2">
      <w:start w:val="1"/>
      <w:numFmt w:val="lowerRoman"/>
      <w:pStyle w:val="1-BulletNumberiiiiii"/>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F2628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B8C5D71"/>
    <w:multiLevelType w:val="hybridMultilevel"/>
    <w:tmpl w:val="F7CA9E0E"/>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2C0F7DCD"/>
    <w:multiLevelType w:val="hybridMultilevel"/>
    <w:tmpl w:val="E9DAFAA8"/>
    <w:lvl w:ilvl="0" w:tplc="40090019">
      <w:start w:val="1"/>
      <w:numFmt w:val="low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2E01186E"/>
    <w:multiLevelType w:val="hybridMultilevel"/>
    <w:tmpl w:val="E7EE3BC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15:restartNumberingAfterBreak="0">
    <w:nsid w:val="2FFE5187"/>
    <w:multiLevelType w:val="hybridMultilevel"/>
    <w:tmpl w:val="BDC4A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30D926ED"/>
    <w:multiLevelType w:val="hybridMultilevel"/>
    <w:tmpl w:val="0234E69E"/>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15:restartNumberingAfterBreak="0">
    <w:nsid w:val="32E3696D"/>
    <w:multiLevelType w:val="hybridMultilevel"/>
    <w:tmpl w:val="9626B6B6"/>
    <w:lvl w:ilvl="0" w:tplc="FE8AC190">
      <w:numFmt w:val="bullet"/>
      <w:lvlText w:val="•"/>
      <w:lvlJc w:val="left"/>
      <w:pPr>
        <w:ind w:left="1080" w:hanging="360"/>
      </w:pPr>
      <w:rPr>
        <w:rFonts w:ascii="Arial" w:eastAsia="Times New Roman" w:hAnsi="Arial" w:cs="Aria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2" w15:restartNumberingAfterBreak="0">
    <w:nsid w:val="33A03A30"/>
    <w:multiLevelType w:val="hybridMultilevel"/>
    <w:tmpl w:val="F22C159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15:restartNumberingAfterBreak="0">
    <w:nsid w:val="33B55F32"/>
    <w:multiLevelType w:val="hybridMultilevel"/>
    <w:tmpl w:val="F788DF6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54" w15:restartNumberingAfterBreak="0">
    <w:nsid w:val="349F65FC"/>
    <w:multiLevelType w:val="hybridMultilevel"/>
    <w:tmpl w:val="6EF05D82"/>
    <w:lvl w:ilvl="0" w:tplc="40090019">
      <w:start w:val="1"/>
      <w:numFmt w:val="low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36691793"/>
    <w:multiLevelType w:val="multilevel"/>
    <w:tmpl w:val="68E81EE4"/>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8AC59F9"/>
    <w:multiLevelType w:val="multilevel"/>
    <w:tmpl w:val="F5901BF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BDA53B9"/>
    <w:multiLevelType w:val="hybridMultilevel"/>
    <w:tmpl w:val="51A2349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3C681C34"/>
    <w:multiLevelType w:val="multilevel"/>
    <w:tmpl w:val="3CD4E62A"/>
    <w:lvl w:ilvl="0">
      <w:start w:val="1"/>
      <w:numFmt w:val="lowerLetter"/>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ECB2079"/>
    <w:multiLevelType w:val="hybridMultilevel"/>
    <w:tmpl w:val="8C0664FC"/>
    <w:lvl w:ilvl="0" w:tplc="A198CD10">
      <w:start w:val="6"/>
      <w:numFmt w:val="bullet"/>
      <w:lvlText w:val="-"/>
      <w:lvlJc w:val="left"/>
      <w:pPr>
        <w:ind w:left="360" w:hanging="360"/>
      </w:pPr>
      <w:rPr>
        <w:rFonts w:ascii="Calibri" w:eastAsia="Calibri" w:hAnsi="Calibri" w:cs="Calibr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0" w15:restartNumberingAfterBreak="0">
    <w:nsid w:val="3FDF1526"/>
    <w:multiLevelType w:val="hybridMultilevel"/>
    <w:tmpl w:val="37A8B50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1" w15:restartNumberingAfterBreak="0">
    <w:nsid w:val="405E0AD5"/>
    <w:multiLevelType w:val="multilevel"/>
    <w:tmpl w:val="740C66E6"/>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0CD3146"/>
    <w:multiLevelType w:val="hybridMultilevel"/>
    <w:tmpl w:val="EB64DA88"/>
    <w:lvl w:ilvl="0" w:tplc="40090001">
      <w:start w:val="1"/>
      <w:numFmt w:val="bullet"/>
      <w:lvlText w:val=""/>
      <w:lvlJc w:val="left"/>
      <w:pPr>
        <w:ind w:left="1080" w:hanging="360"/>
      </w:pPr>
      <w:rPr>
        <w:rFonts w:ascii="Symbol" w:hAnsi="Symbol" w:cs="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cs="Wingdings" w:hint="default"/>
      </w:rPr>
    </w:lvl>
    <w:lvl w:ilvl="3" w:tplc="40090001" w:tentative="1">
      <w:start w:val="1"/>
      <w:numFmt w:val="bullet"/>
      <w:lvlText w:val=""/>
      <w:lvlJc w:val="left"/>
      <w:pPr>
        <w:ind w:left="3240" w:hanging="360"/>
      </w:pPr>
      <w:rPr>
        <w:rFonts w:ascii="Symbol" w:hAnsi="Symbol" w:cs="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cs="Wingdings" w:hint="default"/>
      </w:rPr>
    </w:lvl>
    <w:lvl w:ilvl="6" w:tplc="40090001" w:tentative="1">
      <w:start w:val="1"/>
      <w:numFmt w:val="bullet"/>
      <w:lvlText w:val=""/>
      <w:lvlJc w:val="left"/>
      <w:pPr>
        <w:ind w:left="5400" w:hanging="360"/>
      </w:pPr>
      <w:rPr>
        <w:rFonts w:ascii="Symbol" w:hAnsi="Symbol" w:cs="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cs="Wingdings" w:hint="default"/>
      </w:rPr>
    </w:lvl>
  </w:abstractNum>
  <w:abstractNum w:abstractNumId="63" w15:restartNumberingAfterBreak="0">
    <w:nsid w:val="42BF6664"/>
    <w:multiLevelType w:val="hybridMultilevel"/>
    <w:tmpl w:val="DB3AFD72"/>
    <w:lvl w:ilvl="0" w:tplc="9A5E74F2">
      <w:start w:val="1"/>
      <w:numFmt w:val="lowerLetter"/>
      <w:lvlText w:val="%1."/>
      <w:lvlJc w:val="left"/>
      <w:pPr>
        <w:ind w:left="360" w:hanging="360"/>
      </w:pPr>
      <w:rPr>
        <w:rFonts w:hint="default"/>
        <w:b/>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4" w15:restartNumberingAfterBreak="0">
    <w:nsid w:val="430D0E88"/>
    <w:multiLevelType w:val="hybridMultilevel"/>
    <w:tmpl w:val="86526F3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5" w15:restartNumberingAfterBreak="0">
    <w:nsid w:val="43CE65A3"/>
    <w:multiLevelType w:val="hybridMultilevel"/>
    <w:tmpl w:val="C6146634"/>
    <w:lvl w:ilvl="0" w:tplc="F3FCCB02">
      <w:start w:val="1"/>
      <w:numFmt w:val="bullet"/>
      <w:pStyle w:val="TableBullet4"/>
      <w:lvlText w:val=""/>
      <w:lvlJc w:val="left"/>
      <w:pPr>
        <w:ind w:left="720" w:hanging="360"/>
      </w:pPr>
      <w:rPr>
        <w:rFonts w:ascii="Symbol" w:hAnsi="Symbol" w:hint="default"/>
        <w:color w:val="2B39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4E77F6"/>
    <w:multiLevelType w:val="hybridMultilevel"/>
    <w:tmpl w:val="8C9E0B2E"/>
    <w:lvl w:ilvl="0" w:tplc="204C8672">
      <w:start w:val="1"/>
      <w:numFmt w:val="lowerLetter"/>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45F62A7C"/>
    <w:multiLevelType w:val="hybridMultilevel"/>
    <w:tmpl w:val="3ECC899C"/>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8" w15:restartNumberingAfterBreak="0">
    <w:nsid w:val="460E5D56"/>
    <w:multiLevelType w:val="multilevel"/>
    <w:tmpl w:val="63A2D65E"/>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62666CB"/>
    <w:multiLevelType w:val="multilevel"/>
    <w:tmpl w:val="63A2D65E"/>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635340F"/>
    <w:multiLevelType w:val="hybridMultilevel"/>
    <w:tmpl w:val="C5B8B1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47135598"/>
    <w:multiLevelType w:val="hybridMultilevel"/>
    <w:tmpl w:val="2BDCEF70"/>
    <w:lvl w:ilvl="0" w:tplc="616CD214">
      <w:start w:val="1"/>
      <w:numFmt w:val="decimal"/>
      <w:lvlText w:val="%1."/>
      <w:lvlJc w:val="left"/>
      <w:pPr>
        <w:ind w:left="360" w:hanging="360"/>
      </w:pPr>
      <w:rPr>
        <w:b/>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2" w15:restartNumberingAfterBreak="0">
    <w:nsid w:val="476D64C5"/>
    <w:multiLevelType w:val="hybridMultilevel"/>
    <w:tmpl w:val="6358A50A"/>
    <w:lvl w:ilvl="0" w:tplc="E108780A">
      <w:start w:val="1"/>
      <w:numFmt w:val="lowerLetter"/>
      <w:pStyle w:val="1-BulletLettersab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84302AD"/>
    <w:multiLevelType w:val="hybridMultilevel"/>
    <w:tmpl w:val="1C6A8964"/>
    <w:lvl w:ilvl="0" w:tplc="AA1202C8">
      <w:start w:val="1"/>
      <w:numFmt w:val="bullet"/>
      <w:pStyle w:val="1-BulletItal"/>
      <w:lvlText w:val=""/>
      <w:lvlJc w:val="left"/>
      <w:pPr>
        <w:tabs>
          <w:tab w:val="num" w:pos="1080"/>
        </w:tabs>
        <w:ind w:left="1080" w:hanging="360"/>
      </w:pPr>
      <w:rPr>
        <w:rFonts w:ascii="Symbol" w:hAnsi="Symbol" w:hint="default"/>
        <w:b w:val="0"/>
        <w:i w:val="0"/>
        <w:color w:val="808080"/>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8AA5F2C"/>
    <w:multiLevelType w:val="hybridMultilevel"/>
    <w:tmpl w:val="D9E2576C"/>
    <w:lvl w:ilvl="0" w:tplc="40090001">
      <w:start w:val="1"/>
      <w:numFmt w:val="bullet"/>
      <w:lvlText w:val=""/>
      <w:lvlJc w:val="left"/>
      <w:pPr>
        <w:ind w:left="1080" w:hanging="360"/>
      </w:pPr>
      <w:rPr>
        <w:rFonts w:ascii="Symbol" w:hAnsi="Symbol" w:cs="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cs="Wingdings" w:hint="default"/>
      </w:rPr>
    </w:lvl>
    <w:lvl w:ilvl="3" w:tplc="40090001" w:tentative="1">
      <w:start w:val="1"/>
      <w:numFmt w:val="bullet"/>
      <w:lvlText w:val=""/>
      <w:lvlJc w:val="left"/>
      <w:pPr>
        <w:ind w:left="3240" w:hanging="360"/>
      </w:pPr>
      <w:rPr>
        <w:rFonts w:ascii="Symbol" w:hAnsi="Symbol" w:cs="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cs="Wingdings" w:hint="default"/>
      </w:rPr>
    </w:lvl>
    <w:lvl w:ilvl="6" w:tplc="40090001" w:tentative="1">
      <w:start w:val="1"/>
      <w:numFmt w:val="bullet"/>
      <w:lvlText w:val=""/>
      <w:lvlJc w:val="left"/>
      <w:pPr>
        <w:ind w:left="5400" w:hanging="360"/>
      </w:pPr>
      <w:rPr>
        <w:rFonts w:ascii="Symbol" w:hAnsi="Symbol" w:cs="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cs="Wingdings" w:hint="default"/>
      </w:rPr>
    </w:lvl>
  </w:abstractNum>
  <w:abstractNum w:abstractNumId="75" w15:restartNumberingAfterBreak="0">
    <w:nsid w:val="497F41C3"/>
    <w:multiLevelType w:val="hybridMultilevel"/>
    <w:tmpl w:val="6186EE56"/>
    <w:lvl w:ilvl="0" w:tplc="FE8AC190">
      <w:numFmt w:val="bullet"/>
      <w:lvlText w:val="•"/>
      <w:lvlJc w:val="left"/>
      <w:pPr>
        <w:ind w:left="360" w:hanging="360"/>
      </w:pPr>
      <w:rPr>
        <w:rFonts w:ascii="Arial" w:eastAsia="Times New Roman" w:hAnsi="Arial" w:cs="Aria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6" w15:restartNumberingAfterBreak="0">
    <w:nsid w:val="4AA55B86"/>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B3735F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C87194D"/>
    <w:multiLevelType w:val="hybridMultilevel"/>
    <w:tmpl w:val="86526F3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9" w15:restartNumberingAfterBreak="0">
    <w:nsid w:val="4D754176"/>
    <w:multiLevelType w:val="hybridMultilevel"/>
    <w:tmpl w:val="0A302A40"/>
    <w:lvl w:ilvl="0" w:tplc="40090019">
      <w:start w:val="1"/>
      <w:numFmt w:val="lowerLetter"/>
      <w:lvlText w:val="%1."/>
      <w:lvlJc w:val="left"/>
      <w:pPr>
        <w:ind w:left="0" w:hanging="360"/>
      </w:pPr>
      <w:rPr>
        <w:rFonts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80" w15:restartNumberingAfterBreak="0">
    <w:nsid w:val="4DBD020A"/>
    <w:multiLevelType w:val="hybridMultilevel"/>
    <w:tmpl w:val="BBBEF548"/>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1" w15:restartNumberingAfterBreak="0">
    <w:nsid w:val="4F605336"/>
    <w:multiLevelType w:val="multilevel"/>
    <w:tmpl w:val="7C625D5C"/>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34C47A0"/>
    <w:multiLevelType w:val="hybridMultilevel"/>
    <w:tmpl w:val="F7CA9E0E"/>
    <w:lvl w:ilvl="0" w:tplc="40090017">
      <w:start w:val="1"/>
      <w:numFmt w:val="lowerLetter"/>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3" w15:restartNumberingAfterBreak="0">
    <w:nsid w:val="53744866"/>
    <w:multiLevelType w:val="multilevel"/>
    <w:tmpl w:val="F32C6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74" w:hanging="504"/>
      </w:pPr>
      <w:rPr>
        <w:b/>
        <w:color w:val="auto"/>
      </w:rPr>
    </w:lvl>
    <w:lvl w:ilvl="3">
      <w:start w:val="1"/>
      <w:numFmt w:val="decimal"/>
      <w:lvlText w:val="%1.%2.%3.%4."/>
      <w:lvlJc w:val="left"/>
      <w:pPr>
        <w:ind w:left="1728" w:hanging="648"/>
      </w:pPr>
      <w:rPr>
        <w:b/>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42D0EBF"/>
    <w:multiLevelType w:val="singleLevel"/>
    <w:tmpl w:val="0DAE48AE"/>
    <w:lvl w:ilvl="0">
      <w:start w:val="1"/>
      <w:numFmt w:val="bullet"/>
      <w:pStyle w:val="Figurebullet"/>
      <w:lvlText w:val=""/>
      <w:lvlJc w:val="left"/>
      <w:pPr>
        <w:tabs>
          <w:tab w:val="num" w:pos="360"/>
        </w:tabs>
        <w:ind w:left="360" w:hanging="360"/>
      </w:pPr>
      <w:rPr>
        <w:rFonts w:ascii="Symbol" w:hAnsi="Symbol" w:hint="default"/>
      </w:rPr>
    </w:lvl>
  </w:abstractNum>
  <w:abstractNum w:abstractNumId="85" w15:restartNumberingAfterBreak="0">
    <w:nsid w:val="552942EC"/>
    <w:multiLevelType w:val="hybridMultilevel"/>
    <w:tmpl w:val="40042D0C"/>
    <w:lvl w:ilvl="0" w:tplc="7BEA2618">
      <w:start w:val="1"/>
      <w:numFmt w:val="bullet"/>
      <w:pStyle w:val="1-Bullet2"/>
      <w:lvlText w:val=""/>
      <w:lvlJc w:val="left"/>
      <w:pPr>
        <w:ind w:left="1080" w:hanging="360"/>
      </w:pPr>
      <w:rPr>
        <w:rFonts w:ascii="Wingdings 2" w:hAnsi="Wingdings 2" w:cs="Wingdings 2" w:hint="default"/>
        <w:b w:val="0"/>
        <w:bCs w:val="0"/>
        <w:i w:val="0"/>
        <w:iCs w:val="0"/>
        <w:color w:val="7F7F7F"/>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6" w15:restartNumberingAfterBreak="0">
    <w:nsid w:val="552A713C"/>
    <w:multiLevelType w:val="multilevel"/>
    <w:tmpl w:val="A1D62E0C"/>
    <w:lvl w:ilvl="0">
      <w:start w:val="1"/>
      <w:numFmt w:val="lowerLetter"/>
      <w:lvlText w:val="%1."/>
      <w:lvlJc w:val="left"/>
      <w:pPr>
        <w:ind w:left="360" w:hanging="360"/>
      </w:pPr>
      <w:rPr>
        <w:b/>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7" w15:restartNumberingAfterBreak="0">
    <w:nsid w:val="567217E3"/>
    <w:multiLevelType w:val="hybridMultilevel"/>
    <w:tmpl w:val="37A8B506"/>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8" w15:restartNumberingAfterBreak="0">
    <w:nsid w:val="5751154D"/>
    <w:multiLevelType w:val="multilevel"/>
    <w:tmpl w:val="6946FA4E"/>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588D5BC2"/>
    <w:multiLevelType w:val="hybridMultilevel"/>
    <w:tmpl w:val="1F38F7BC"/>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0" w15:restartNumberingAfterBreak="0">
    <w:nsid w:val="594C78DF"/>
    <w:multiLevelType w:val="hybridMultilevel"/>
    <w:tmpl w:val="FEEA0864"/>
    <w:lvl w:ilvl="0" w:tplc="40090019">
      <w:start w:val="1"/>
      <w:numFmt w:val="lowerLetter"/>
      <w:lvlText w:val="%1."/>
      <w:lvlJc w:val="left"/>
      <w:pPr>
        <w:ind w:left="360" w:hanging="360"/>
      </w:pPr>
    </w:lvl>
    <w:lvl w:ilvl="1" w:tplc="40090013">
      <w:start w:val="1"/>
      <w:numFmt w:val="upperRoman"/>
      <w:lvlText w:val="%2."/>
      <w:lvlJc w:val="righ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1" w15:restartNumberingAfterBreak="0">
    <w:nsid w:val="59D4755D"/>
    <w:multiLevelType w:val="multilevel"/>
    <w:tmpl w:val="3CD4E62A"/>
    <w:lvl w:ilvl="0">
      <w:start w:val="1"/>
      <w:numFmt w:val="lowerLetter"/>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5A413FB4"/>
    <w:multiLevelType w:val="hybridMultilevel"/>
    <w:tmpl w:val="B0F8D1D0"/>
    <w:lvl w:ilvl="0" w:tplc="BE48684C">
      <w:start w:val="1"/>
      <w:numFmt w:val="lowerLetter"/>
      <w:lvlText w:val="(%1)"/>
      <w:lvlJc w:val="left"/>
      <w:pPr>
        <w:tabs>
          <w:tab w:val="num" w:pos="1095"/>
        </w:tabs>
        <w:ind w:left="1095" w:hanging="375"/>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3" w15:restartNumberingAfterBreak="0">
    <w:nsid w:val="5D113050"/>
    <w:multiLevelType w:val="multilevel"/>
    <w:tmpl w:val="4CDAB9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DF55042"/>
    <w:multiLevelType w:val="hybridMultilevel"/>
    <w:tmpl w:val="FC783F72"/>
    <w:lvl w:ilvl="0" w:tplc="41BC40A6">
      <w:start w:val="1"/>
      <w:numFmt w:val="bullet"/>
      <w:pStyle w:val="TableBullet3"/>
      <w:lvlText w:val=""/>
      <w:lvlJc w:val="left"/>
      <w:pPr>
        <w:ind w:left="720" w:hanging="360"/>
      </w:pPr>
      <w:rPr>
        <w:rFonts w:ascii="Wingdings 2" w:hAnsi="Wingdings 2" w:cs="Wingdings 2" w:hint="default"/>
        <w:b w:val="0"/>
        <w:bCs w:val="0"/>
        <w:i w:val="0"/>
        <w:iCs w:val="0"/>
        <w:color w:val="7F7F7F" w:themeColor="text1" w:themeTint="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003CA6"/>
    <w:multiLevelType w:val="hybridMultilevel"/>
    <w:tmpl w:val="0F220DE0"/>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6" w15:restartNumberingAfterBreak="0">
    <w:nsid w:val="605E361C"/>
    <w:multiLevelType w:val="hybridMultilevel"/>
    <w:tmpl w:val="951E4624"/>
    <w:lvl w:ilvl="0" w:tplc="40090019">
      <w:start w:val="1"/>
      <w:numFmt w:val="lowerLetter"/>
      <w:lvlText w:val="%1."/>
      <w:lvlJc w:val="left"/>
      <w:pPr>
        <w:ind w:left="360" w:hanging="360"/>
      </w:pPr>
    </w:lvl>
    <w:lvl w:ilvl="1" w:tplc="40090013">
      <w:start w:val="1"/>
      <w:numFmt w:val="upperRoman"/>
      <w:lvlText w:val="%2."/>
      <w:lvlJc w:val="right"/>
      <w:pPr>
        <w:ind w:left="1080" w:hanging="360"/>
      </w:pPr>
    </w:lvl>
    <w:lvl w:ilvl="2" w:tplc="1068BF10">
      <w:start w:val="1"/>
      <w:numFmt w:val="bullet"/>
      <w:lvlText w:val="-"/>
      <w:lvlJc w:val="left"/>
      <w:pPr>
        <w:ind w:left="1980" w:hanging="360"/>
      </w:pPr>
      <w:rPr>
        <w:rFonts w:ascii="Calibri" w:eastAsia="Calibri" w:hAnsi="Calibri" w:cs="Calibri" w:hint="default"/>
      </w:rPr>
    </w:lvl>
    <w:lvl w:ilvl="3" w:tplc="5AAC159A">
      <w:start w:val="1"/>
      <w:numFmt w:val="decimal"/>
      <w:lvlText w:val="%4."/>
      <w:lvlJc w:val="left"/>
      <w:pPr>
        <w:ind w:left="2880" w:hanging="720"/>
      </w:pPr>
      <w:rPr>
        <w:rFonts w:hint="default"/>
      </w:r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7" w15:restartNumberingAfterBreak="0">
    <w:nsid w:val="62720727"/>
    <w:multiLevelType w:val="hybridMultilevel"/>
    <w:tmpl w:val="398E534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62CD0DD2"/>
    <w:multiLevelType w:val="hybridMultilevel"/>
    <w:tmpl w:val="D5B040C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9" w15:restartNumberingAfterBreak="0">
    <w:nsid w:val="62DC5CE9"/>
    <w:multiLevelType w:val="multilevel"/>
    <w:tmpl w:val="389297F6"/>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0" w15:restartNumberingAfterBreak="0">
    <w:nsid w:val="62E94002"/>
    <w:multiLevelType w:val="hybridMultilevel"/>
    <w:tmpl w:val="37A8B50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1" w15:restartNumberingAfterBreak="0">
    <w:nsid w:val="637D7987"/>
    <w:multiLevelType w:val="multilevel"/>
    <w:tmpl w:val="EEE66FCA"/>
    <w:lvl w:ilvl="0">
      <w:start w:val="1"/>
      <w:numFmt w:val="lowerLetter"/>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2" w15:restartNumberingAfterBreak="0">
    <w:nsid w:val="642A6721"/>
    <w:multiLevelType w:val="hybridMultilevel"/>
    <w:tmpl w:val="A2ECE70E"/>
    <w:lvl w:ilvl="0" w:tplc="9D2ACB06">
      <w:start w:val="1"/>
      <w:numFmt w:val="lowerLetter"/>
      <w:lvlText w:val="%1."/>
      <w:lvlJc w:val="left"/>
      <w:pPr>
        <w:ind w:left="360" w:hanging="360"/>
      </w:pPr>
      <w:rPr>
        <w:rFonts w:hint="default"/>
        <w:b/>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3" w15:restartNumberingAfterBreak="0">
    <w:nsid w:val="65413A83"/>
    <w:multiLevelType w:val="multilevel"/>
    <w:tmpl w:val="E27C5BC8"/>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6D712C7"/>
    <w:multiLevelType w:val="multilevel"/>
    <w:tmpl w:val="284C3E5A"/>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6755056C"/>
    <w:multiLevelType w:val="multilevel"/>
    <w:tmpl w:val="3CD4E62A"/>
    <w:lvl w:ilvl="0">
      <w:start w:val="1"/>
      <w:numFmt w:val="lowerLetter"/>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699374C0"/>
    <w:multiLevelType w:val="hybridMultilevel"/>
    <w:tmpl w:val="6532BE4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7" w15:restartNumberingAfterBreak="0">
    <w:nsid w:val="6B375DCC"/>
    <w:multiLevelType w:val="multilevel"/>
    <w:tmpl w:val="FB9401FA"/>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B7C34B4"/>
    <w:multiLevelType w:val="hybridMultilevel"/>
    <w:tmpl w:val="1A7457CA"/>
    <w:lvl w:ilvl="0" w:tplc="691E0B04">
      <w:start w:val="1"/>
      <w:numFmt w:val="decimal"/>
      <w:pStyle w:val="1-BulletNumbered"/>
      <w:lvlText w:val="%1."/>
      <w:lvlJc w:val="left"/>
      <w:pPr>
        <w:ind w:left="720" w:hanging="360"/>
      </w:pPr>
      <w:rPr>
        <w:rFonts w:ascii="Gill Sans MT" w:hAnsi="Gill Sans MT"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3C766E"/>
    <w:multiLevelType w:val="multilevel"/>
    <w:tmpl w:val="34483F12"/>
    <w:lvl w:ilvl="0">
      <w:start w:val="1"/>
      <w:numFmt w:val="decimal"/>
      <w:lvlText w:val="%1."/>
      <w:lvlJc w:val="left"/>
      <w:pPr>
        <w:ind w:left="360" w:hanging="360"/>
      </w:pPr>
    </w:lvl>
    <w:lvl w:ilvl="1">
      <w:start w:val="3"/>
      <w:numFmt w:val="decimal"/>
      <w:isLgl/>
      <w:lvlText w:val="%1.%2"/>
      <w:lvlJc w:val="left"/>
      <w:pPr>
        <w:ind w:left="765" w:hanging="675"/>
      </w:pPr>
      <w:rPr>
        <w:rFonts w:hint="default"/>
        <w:b/>
      </w:rPr>
    </w:lvl>
    <w:lvl w:ilvl="2">
      <w:start w:val="2"/>
      <w:numFmt w:val="decimal"/>
      <w:isLgl/>
      <w:lvlText w:val="%1.%2.%3"/>
      <w:lvlJc w:val="left"/>
      <w:pPr>
        <w:ind w:left="900" w:hanging="720"/>
      </w:pPr>
      <w:rPr>
        <w:rFonts w:hint="default"/>
        <w:b/>
      </w:rPr>
    </w:lvl>
    <w:lvl w:ilvl="3">
      <w:start w:val="1"/>
      <w:numFmt w:val="decimal"/>
      <w:isLgl/>
      <w:lvlText w:val="%1.%2.%3.%4"/>
      <w:lvlJc w:val="left"/>
      <w:pPr>
        <w:ind w:left="99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530" w:hanging="1080"/>
      </w:pPr>
      <w:rPr>
        <w:rFonts w:hint="default"/>
        <w:b/>
      </w:rPr>
    </w:lvl>
    <w:lvl w:ilvl="6">
      <w:start w:val="1"/>
      <w:numFmt w:val="decimal"/>
      <w:isLgl/>
      <w:lvlText w:val="%1.%2.%3.%4.%5.%6.%7"/>
      <w:lvlJc w:val="left"/>
      <w:pPr>
        <w:ind w:left="1980" w:hanging="1440"/>
      </w:pPr>
      <w:rPr>
        <w:rFonts w:hint="default"/>
        <w:b/>
      </w:rPr>
    </w:lvl>
    <w:lvl w:ilvl="7">
      <w:start w:val="1"/>
      <w:numFmt w:val="decimal"/>
      <w:isLgl/>
      <w:lvlText w:val="%1.%2.%3.%4.%5.%6.%7.%8"/>
      <w:lvlJc w:val="left"/>
      <w:pPr>
        <w:ind w:left="2070" w:hanging="1440"/>
      </w:pPr>
      <w:rPr>
        <w:rFonts w:hint="default"/>
        <w:b/>
      </w:rPr>
    </w:lvl>
    <w:lvl w:ilvl="8">
      <w:start w:val="1"/>
      <w:numFmt w:val="decimal"/>
      <w:isLgl/>
      <w:lvlText w:val="%1.%2.%3.%4.%5.%6.%7.%8.%9"/>
      <w:lvlJc w:val="left"/>
      <w:pPr>
        <w:ind w:left="2160" w:hanging="1440"/>
      </w:pPr>
      <w:rPr>
        <w:rFonts w:hint="default"/>
        <w:b/>
      </w:rPr>
    </w:lvl>
  </w:abstractNum>
  <w:abstractNum w:abstractNumId="110" w15:restartNumberingAfterBreak="0">
    <w:nsid w:val="6E980D23"/>
    <w:multiLevelType w:val="multilevel"/>
    <w:tmpl w:val="63566E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1" w15:restartNumberingAfterBreak="0">
    <w:nsid w:val="6F636B8A"/>
    <w:multiLevelType w:val="multilevel"/>
    <w:tmpl w:val="93F0FBA2"/>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0A83118"/>
    <w:multiLevelType w:val="hybridMultilevel"/>
    <w:tmpl w:val="573E57B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3" w15:restartNumberingAfterBreak="0">
    <w:nsid w:val="70AB26F0"/>
    <w:multiLevelType w:val="hybridMultilevel"/>
    <w:tmpl w:val="19FE949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4" w15:restartNumberingAfterBreak="0">
    <w:nsid w:val="71A516F7"/>
    <w:multiLevelType w:val="multilevel"/>
    <w:tmpl w:val="F216CC4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color w:val="C86A07" w:themeColor="accent2" w:themeShade="BF"/>
        <w:sz w:val="28"/>
      </w:r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3573305"/>
    <w:multiLevelType w:val="multilevel"/>
    <w:tmpl w:val="09C063C0"/>
    <w:lvl w:ilvl="0">
      <w:start w:val="1"/>
      <w:numFmt w:val="upperRoman"/>
      <w:lvlText w:val="%1."/>
      <w:lvlJc w:val="righ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6" w15:restartNumberingAfterBreak="0">
    <w:nsid w:val="75B27FD0"/>
    <w:multiLevelType w:val="hybridMultilevel"/>
    <w:tmpl w:val="450EC168"/>
    <w:lvl w:ilvl="0" w:tplc="0A363432">
      <w:start w:val="1"/>
      <w:numFmt w:val="decimal"/>
      <w:pStyle w:val="1-BulletNumber123"/>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8A5BDD"/>
    <w:multiLevelType w:val="hybridMultilevel"/>
    <w:tmpl w:val="017432D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8" w15:restartNumberingAfterBreak="0">
    <w:nsid w:val="773506B3"/>
    <w:multiLevelType w:val="hybridMultilevel"/>
    <w:tmpl w:val="336E8AE2"/>
    <w:lvl w:ilvl="0" w:tplc="A8AAFFE4">
      <w:start w:val="1"/>
      <w:numFmt w:val="lowerLetter"/>
      <w:lvlText w:val="%1."/>
      <w:lvlJc w:val="left"/>
      <w:pPr>
        <w:ind w:left="360" w:hanging="360"/>
      </w:pPr>
      <w:rPr>
        <w:rFonts w:hint="default"/>
        <w:b/>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9" w15:restartNumberingAfterBreak="0">
    <w:nsid w:val="7741503A"/>
    <w:multiLevelType w:val="hybridMultilevel"/>
    <w:tmpl w:val="2D92B49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0" w15:restartNumberingAfterBreak="0">
    <w:nsid w:val="796275DF"/>
    <w:multiLevelType w:val="multilevel"/>
    <w:tmpl w:val="75363694"/>
    <w:lvl w:ilvl="0">
      <w:start w:val="1"/>
      <w:numFmt w:val="lowerLetter"/>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9A619E4"/>
    <w:multiLevelType w:val="multilevel"/>
    <w:tmpl w:val="1CAE9420"/>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79FA3B70"/>
    <w:multiLevelType w:val="multilevel"/>
    <w:tmpl w:val="EEE66FCA"/>
    <w:lvl w:ilvl="0">
      <w:start w:val="1"/>
      <w:numFmt w:val="lowerLetter"/>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3" w15:restartNumberingAfterBreak="0">
    <w:nsid w:val="7AE57506"/>
    <w:multiLevelType w:val="hybridMultilevel"/>
    <w:tmpl w:val="700E3F3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4" w15:restartNumberingAfterBreak="0">
    <w:nsid w:val="7BC47266"/>
    <w:multiLevelType w:val="hybridMultilevel"/>
    <w:tmpl w:val="6CDE0C08"/>
    <w:lvl w:ilvl="0" w:tplc="FA40FB6C">
      <w:start w:val="1"/>
      <w:numFmt w:val="decimal"/>
      <w:pStyle w:val="TableBulletNumber123"/>
      <w:lvlText w:val="%1."/>
      <w:lvlJc w:val="left"/>
      <w:pPr>
        <w:ind w:left="720" w:hanging="360"/>
      </w:pPr>
      <w:rPr>
        <w:rFonts w:ascii="Gill Sans MT" w:hAnsi="Gill Sans MT"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BF65B84"/>
    <w:multiLevelType w:val="hybridMultilevel"/>
    <w:tmpl w:val="4A94A2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7CE1210A"/>
    <w:multiLevelType w:val="hybridMultilevel"/>
    <w:tmpl w:val="F13A03BC"/>
    <w:lvl w:ilvl="0" w:tplc="250A7E34">
      <w:start w:val="1"/>
      <w:numFmt w:val="bullet"/>
      <w:pStyle w:val="Tablebullet2"/>
      <w:lvlText w:val="•"/>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7" w15:restartNumberingAfterBreak="0">
    <w:nsid w:val="7FB16FCE"/>
    <w:multiLevelType w:val="multilevel"/>
    <w:tmpl w:val="6CF0A808"/>
    <w:lvl w:ilvl="0">
      <w:start w:val="1"/>
      <w:numFmt w:val="lowerLetter"/>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73"/>
  </w:num>
  <w:num w:numId="3">
    <w:abstractNumId w:val="108"/>
  </w:num>
  <w:num w:numId="4">
    <w:abstractNumId w:val="85"/>
  </w:num>
  <w:num w:numId="5">
    <w:abstractNumId w:val="84"/>
  </w:num>
  <w:num w:numId="6">
    <w:abstractNumId w:val="72"/>
  </w:num>
  <w:num w:numId="7">
    <w:abstractNumId w:val="116"/>
  </w:num>
  <w:num w:numId="8">
    <w:abstractNumId w:val="44"/>
  </w:num>
  <w:num w:numId="9">
    <w:abstractNumId w:val="17"/>
  </w:num>
  <w:num w:numId="10">
    <w:abstractNumId w:val="126"/>
  </w:num>
  <w:num w:numId="11">
    <w:abstractNumId w:val="94"/>
  </w:num>
  <w:num w:numId="12">
    <w:abstractNumId w:val="65"/>
  </w:num>
  <w:num w:numId="13">
    <w:abstractNumId w:val="26"/>
  </w:num>
  <w:num w:numId="14">
    <w:abstractNumId w:val="29"/>
  </w:num>
  <w:num w:numId="15">
    <w:abstractNumId w:val="124"/>
  </w:num>
  <w:num w:numId="16">
    <w:abstractNumId w:val="38"/>
  </w:num>
  <w:num w:numId="17">
    <w:abstractNumId w:val="7"/>
  </w:num>
  <w:num w:numId="18">
    <w:abstractNumId w:val="45"/>
  </w:num>
  <w:num w:numId="19">
    <w:abstractNumId w:val="114"/>
  </w:num>
  <w:num w:numId="20">
    <w:abstractNumId w:val="9"/>
  </w:num>
  <w:num w:numId="21">
    <w:abstractNumId w:val="71"/>
  </w:num>
  <w:num w:numId="22">
    <w:abstractNumId w:val="60"/>
  </w:num>
  <w:num w:numId="23">
    <w:abstractNumId w:val="100"/>
  </w:num>
  <w:num w:numId="24">
    <w:abstractNumId w:val="87"/>
  </w:num>
  <w:num w:numId="25">
    <w:abstractNumId w:val="32"/>
  </w:num>
  <w:num w:numId="26">
    <w:abstractNumId w:val="79"/>
  </w:num>
  <w:num w:numId="27">
    <w:abstractNumId w:val="14"/>
  </w:num>
  <w:num w:numId="28">
    <w:abstractNumId w:val="13"/>
  </w:num>
  <w:num w:numId="29">
    <w:abstractNumId w:val="50"/>
  </w:num>
  <w:num w:numId="30">
    <w:abstractNumId w:val="99"/>
  </w:num>
  <w:num w:numId="31">
    <w:abstractNumId w:val="112"/>
  </w:num>
  <w:num w:numId="32">
    <w:abstractNumId w:val="47"/>
  </w:num>
  <w:num w:numId="33">
    <w:abstractNumId w:val="96"/>
  </w:num>
  <w:num w:numId="34">
    <w:abstractNumId w:val="54"/>
  </w:num>
  <w:num w:numId="35">
    <w:abstractNumId w:val="98"/>
  </w:num>
  <w:num w:numId="36">
    <w:abstractNumId w:val="12"/>
  </w:num>
  <w:num w:numId="37">
    <w:abstractNumId w:val="36"/>
  </w:num>
  <w:num w:numId="38">
    <w:abstractNumId w:val="37"/>
  </w:num>
  <w:num w:numId="39">
    <w:abstractNumId w:val="11"/>
  </w:num>
  <w:num w:numId="40">
    <w:abstractNumId w:val="46"/>
  </w:num>
  <w:num w:numId="41">
    <w:abstractNumId w:val="82"/>
  </w:num>
  <w:num w:numId="42">
    <w:abstractNumId w:val="67"/>
  </w:num>
  <w:num w:numId="43">
    <w:abstractNumId w:val="123"/>
  </w:num>
  <w:num w:numId="44">
    <w:abstractNumId w:val="24"/>
  </w:num>
  <w:num w:numId="45">
    <w:abstractNumId w:val="41"/>
  </w:num>
  <w:num w:numId="46">
    <w:abstractNumId w:val="5"/>
  </w:num>
  <w:num w:numId="47">
    <w:abstractNumId w:val="43"/>
  </w:num>
  <w:num w:numId="48">
    <w:abstractNumId w:val="110"/>
  </w:num>
  <w:num w:numId="49">
    <w:abstractNumId w:val="10"/>
  </w:num>
  <w:num w:numId="50">
    <w:abstractNumId w:val="16"/>
  </w:num>
  <w:num w:numId="51">
    <w:abstractNumId w:val="101"/>
  </w:num>
  <w:num w:numId="52">
    <w:abstractNumId w:val="122"/>
  </w:num>
  <w:num w:numId="53">
    <w:abstractNumId w:val="6"/>
  </w:num>
  <w:num w:numId="54">
    <w:abstractNumId w:val="74"/>
  </w:num>
  <w:num w:numId="55">
    <w:abstractNumId w:val="75"/>
  </w:num>
  <w:num w:numId="56">
    <w:abstractNumId w:val="62"/>
  </w:num>
  <w:num w:numId="57">
    <w:abstractNumId w:val="95"/>
  </w:num>
  <w:num w:numId="58">
    <w:abstractNumId w:val="40"/>
  </w:num>
  <w:num w:numId="59">
    <w:abstractNumId w:val="121"/>
  </w:num>
  <w:num w:numId="60">
    <w:abstractNumId w:val="2"/>
  </w:num>
  <w:num w:numId="61">
    <w:abstractNumId w:val="55"/>
  </w:num>
  <w:num w:numId="62">
    <w:abstractNumId w:val="39"/>
  </w:num>
  <w:num w:numId="63">
    <w:abstractNumId w:val="90"/>
  </w:num>
  <w:num w:numId="64">
    <w:abstractNumId w:val="25"/>
  </w:num>
  <w:num w:numId="65">
    <w:abstractNumId w:val="56"/>
  </w:num>
  <w:num w:numId="66">
    <w:abstractNumId w:val="107"/>
  </w:num>
  <w:num w:numId="67">
    <w:abstractNumId w:val="22"/>
  </w:num>
  <w:num w:numId="68">
    <w:abstractNumId w:val="78"/>
  </w:num>
  <w:num w:numId="69">
    <w:abstractNumId w:val="64"/>
  </w:num>
  <w:num w:numId="70">
    <w:abstractNumId w:val="51"/>
  </w:num>
  <w:num w:numId="71">
    <w:abstractNumId w:val="48"/>
  </w:num>
  <w:num w:numId="72">
    <w:abstractNumId w:val="127"/>
  </w:num>
  <w:num w:numId="73">
    <w:abstractNumId w:val="109"/>
  </w:num>
  <w:num w:numId="74">
    <w:abstractNumId w:val="113"/>
  </w:num>
  <w:num w:numId="75">
    <w:abstractNumId w:val="83"/>
  </w:num>
  <w:num w:numId="76">
    <w:abstractNumId w:val="117"/>
  </w:num>
  <w:num w:numId="77">
    <w:abstractNumId w:val="119"/>
  </w:num>
  <w:num w:numId="78">
    <w:abstractNumId w:val="81"/>
  </w:num>
  <w:num w:numId="79">
    <w:abstractNumId w:val="21"/>
  </w:num>
  <w:num w:numId="80">
    <w:abstractNumId w:val="88"/>
  </w:num>
  <w:num w:numId="81">
    <w:abstractNumId w:val="66"/>
  </w:num>
  <w:num w:numId="82">
    <w:abstractNumId w:val="23"/>
  </w:num>
  <w:num w:numId="83">
    <w:abstractNumId w:val="115"/>
  </w:num>
  <w:num w:numId="84">
    <w:abstractNumId w:val="111"/>
  </w:num>
  <w:num w:numId="85">
    <w:abstractNumId w:val="1"/>
  </w:num>
  <w:num w:numId="86">
    <w:abstractNumId w:val="4"/>
  </w:num>
  <w:num w:numId="87">
    <w:abstractNumId w:val="15"/>
  </w:num>
  <w:num w:numId="88">
    <w:abstractNumId w:val="86"/>
  </w:num>
  <w:num w:numId="89">
    <w:abstractNumId w:val="120"/>
  </w:num>
  <w:num w:numId="90">
    <w:abstractNumId w:val="105"/>
  </w:num>
  <w:num w:numId="91">
    <w:abstractNumId w:val="19"/>
  </w:num>
  <w:num w:numId="92">
    <w:abstractNumId w:val="18"/>
  </w:num>
  <w:num w:numId="93">
    <w:abstractNumId w:val="0"/>
  </w:num>
  <w:num w:numId="94">
    <w:abstractNumId w:val="80"/>
  </w:num>
  <w:num w:numId="95">
    <w:abstractNumId w:val="42"/>
  </w:num>
  <w:num w:numId="96">
    <w:abstractNumId w:val="42"/>
    <w:lvlOverride w:ilvl="1">
      <w:startOverride w:val="1"/>
    </w:lvlOverride>
  </w:num>
  <w:num w:numId="97">
    <w:abstractNumId w:val="42"/>
    <w:lvlOverride w:ilvl="1">
      <w:startOverride w:val="1"/>
    </w:lvlOverride>
  </w:num>
  <w:num w:numId="98">
    <w:abstractNumId w:val="42"/>
    <w:lvlOverride w:ilvl="1">
      <w:startOverride w:val="1"/>
    </w:lvlOverride>
  </w:num>
  <w:num w:numId="99">
    <w:abstractNumId w:val="42"/>
    <w:lvlOverride w:ilvl="1">
      <w:startOverride w:val="1"/>
    </w:lvlOverride>
  </w:num>
  <w:num w:numId="100">
    <w:abstractNumId w:val="42"/>
    <w:lvlOverride w:ilvl="1">
      <w:startOverride w:val="1"/>
    </w:lvlOverride>
  </w:num>
  <w:num w:numId="101">
    <w:abstractNumId w:val="42"/>
    <w:lvlOverride w:ilvl="1">
      <w:startOverride w:val="1"/>
    </w:lvlOverride>
  </w:num>
  <w:num w:numId="102">
    <w:abstractNumId w:val="97"/>
  </w:num>
  <w:num w:numId="103">
    <w:abstractNumId w:val="77"/>
  </w:num>
  <w:num w:numId="104">
    <w:abstractNumId w:val="91"/>
  </w:num>
  <w:num w:numId="105">
    <w:abstractNumId w:val="70"/>
  </w:num>
  <w:num w:numId="106">
    <w:abstractNumId w:val="34"/>
  </w:num>
  <w:num w:numId="107">
    <w:abstractNumId w:val="58"/>
  </w:num>
  <w:num w:numId="108">
    <w:abstractNumId w:val="35"/>
  </w:num>
  <w:num w:numId="109">
    <w:abstractNumId w:val="93"/>
  </w:num>
  <w:num w:numId="110">
    <w:abstractNumId w:val="33"/>
  </w:num>
  <w:num w:numId="111">
    <w:abstractNumId w:val="59"/>
  </w:num>
  <w:num w:numId="112">
    <w:abstractNumId w:val="52"/>
  </w:num>
  <w:num w:numId="113">
    <w:abstractNumId w:val="118"/>
  </w:num>
  <w:num w:numId="114">
    <w:abstractNumId w:val="102"/>
  </w:num>
  <w:num w:numId="115">
    <w:abstractNumId w:val="63"/>
  </w:num>
  <w:num w:numId="11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3"/>
  </w:num>
  <w:num w:numId="11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9"/>
  </w:num>
  <w:num w:numId="120">
    <w:abstractNumId w:val="28"/>
  </w:num>
  <w:num w:numId="121">
    <w:abstractNumId w:val="30"/>
  </w:num>
  <w:num w:numId="122">
    <w:abstractNumId w:val="103"/>
  </w:num>
  <w:num w:numId="123">
    <w:abstractNumId w:val="3"/>
  </w:num>
  <w:num w:numId="124">
    <w:abstractNumId w:val="104"/>
  </w:num>
  <w:num w:numId="125">
    <w:abstractNumId w:val="69"/>
  </w:num>
  <w:num w:numId="126">
    <w:abstractNumId w:val="68"/>
  </w:num>
  <w:num w:numId="127">
    <w:abstractNumId w:val="61"/>
  </w:num>
  <w:num w:numId="128">
    <w:abstractNumId w:val="31"/>
  </w:num>
  <w:num w:numId="129">
    <w:abstractNumId w:val="20"/>
  </w:num>
  <w:num w:numId="130">
    <w:abstractNumId w:val="49"/>
  </w:num>
  <w:num w:numId="131">
    <w:abstractNumId w:val="8"/>
  </w:num>
  <w:num w:numId="132">
    <w:abstractNumId w:val="57"/>
  </w:num>
  <w:num w:numId="133">
    <w:abstractNumId w:val="125"/>
  </w:num>
  <w:num w:numId="134">
    <w:abstractNumId w:val="7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 w:vendorID="64" w:dllVersion="6" w:nlCheck="1" w:checkStyle="0"/>
  <w:activeWritingStyle w:appName="MSWord" w:lang="en-US" w:vendorID="64" w:dllVersion="6" w:nlCheck="1" w:checkStyle="1"/>
  <w:activeWritingStyle w:appName="MSWord" w:lang="en-GB" w:vendorID="64" w:dllVersion="6" w:nlCheck="1" w:checkStyle="1"/>
  <w:activeWritingStyle w:appName="MSWord" w:lang="en-IN" w:vendorID="64" w:dllVersion="6" w:nlCheck="1" w:checkStyle="1"/>
  <w:activeWritingStyle w:appName="MSWord" w:lang="en-NZ" w:vendorID="64" w:dllVersion="6" w:nlCheck="1" w:checkStyle="1"/>
  <w:activeWritingStyle w:appName="MSWord" w:lang="en-US" w:vendorID="64" w:dllVersion="0" w:nlCheck="1" w:checkStyle="0"/>
  <w:activeWritingStyle w:appName="MSWord" w:lang="en-IN"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CE6"/>
    <w:rsid w:val="000003BC"/>
    <w:rsid w:val="000006C9"/>
    <w:rsid w:val="000009CD"/>
    <w:rsid w:val="00001D44"/>
    <w:rsid w:val="00002078"/>
    <w:rsid w:val="000032F7"/>
    <w:rsid w:val="000032FC"/>
    <w:rsid w:val="00003372"/>
    <w:rsid w:val="000033E3"/>
    <w:rsid w:val="0000387C"/>
    <w:rsid w:val="00003D71"/>
    <w:rsid w:val="00004169"/>
    <w:rsid w:val="000050C2"/>
    <w:rsid w:val="000052A6"/>
    <w:rsid w:val="00005675"/>
    <w:rsid w:val="00005DC4"/>
    <w:rsid w:val="000064FB"/>
    <w:rsid w:val="00006BD4"/>
    <w:rsid w:val="00006C0A"/>
    <w:rsid w:val="00006C85"/>
    <w:rsid w:val="00006EAE"/>
    <w:rsid w:val="00006F70"/>
    <w:rsid w:val="000070ED"/>
    <w:rsid w:val="00007216"/>
    <w:rsid w:val="000074CF"/>
    <w:rsid w:val="00007A85"/>
    <w:rsid w:val="00007BC8"/>
    <w:rsid w:val="00007D2E"/>
    <w:rsid w:val="00010147"/>
    <w:rsid w:val="0001023B"/>
    <w:rsid w:val="00011204"/>
    <w:rsid w:val="0001145A"/>
    <w:rsid w:val="00011902"/>
    <w:rsid w:val="00011CB3"/>
    <w:rsid w:val="00011CCC"/>
    <w:rsid w:val="0001215B"/>
    <w:rsid w:val="00012DFE"/>
    <w:rsid w:val="00013357"/>
    <w:rsid w:val="0001380F"/>
    <w:rsid w:val="00013864"/>
    <w:rsid w:val="00013991"/>
    <w:rsid w:val="0001462D"/>
    <w:rsid w:val="00014904"/>
    <w:rsid w:val="00015397"/>
    <w:rsid w:val="00015A0E"/>
    <w:rsid w:val="00015CC0"/>
    <w:rsid w:val="00016372"/>
    <w:rsid w:val="00016B25"/>
    <w:rsid w:val="00017078"/>
    <w:rsid w:val="00017309"/>
    <w:rsid w:val="0001771D"/>
    <w:rsid w:val="000178E2"/>
    <w:rsid w:val="0001796C"/>
    <w:rsid w:val="00020963"/>
    <w:rsid w:val="00020A46"/>
    <w:rsid w:val="000212C3"/>
    <w:rsid w:val="000212F5"/>
    <w:rsid w:val="00021402"/>
    <w:rsid w:val="000215C5"/>
    <w:rsid w:val="00021AEB"/>
    <w:rsid w:val="00021E22"/>
    <w:rsid w:val="000224FC"/>
    <w:rsid w:val="00023343"/>
    <w:rsid w:val="0002359A"/>
    <w:rsid w:val="00023FAA"/>
    <w:rsid w:val="000241F9"/>
    <w:rsid w:val="0002424C"/>
    <w:rsid w:val="000246F1"/>
    <w:rsid w:val="00024957"/>
    <w:rsid w:val="00024A47"/>
    <w:rsid w:val="0002548A"/>
    <w:rsid w:val="0002570A"/>
    <w:rsid w:val="00025FE5"/>
    <w:rsid w:val="000268CE"/>
    <w:rsid w:val="00026923"/>
    <w:rsid w:val="000269AD"/>
    <w:rsid w:val="0002708F"/>
    <w:rsid w:val="00027451"/>
    <w:rsid w:val="0002775E"/>
    <w:rsid w:val="00027BD6"/>
    <w:rsid w:val="000302D0"/>
    <w:rsid w:val="000305E5"/>
    <w:rsid w:val="000309A3"/>
    <w:rsid w:val="00030B56"/>
    <w:rsid w:val="00030B75"/>
    <w:rsid w:val="0003148C"/>
    <w:rsid w:val="000314E5"/>
    <w:rsid w:val="00031650"/>
    <w:rsid w:val="00031BCC"/>
    <w:rsid w:val="00032272"/>
    <w:rsid w:val="0003288B"/>
    <w:rsid w:val="000338BC"/>
    <w:rsid w:val="00033B0A"/>
    <w:rsid w:val="00033E72"/>
    <w:rsid w:val="000340A3"/>
    <w:rsid w:val="000344CC"/>
    <w:rsid w:val="00034630"/>
    <w:rsid w:val="0003466D"/>
    <w:rsid w:val="00034BAA"/>
    <w:rsid w:val="00034C95"/>
    <w:rsid w:val="00035185"/>
    <w:rsid w:val="000352C4"/>
    <w:rsid w:val="00035AA3"/>
    <w:rsid w:val="00035E82"/>
    <w:rsid w:val="000364CB"/>
    <w:rsid w:val="0003673C"/>
    <w:rsid w:val="00036A33"/>
    <w:rsid w:val="00036F09"/>
    <w:rsid w:val="00037371"/>
    <w:rsid w:val="000377B4"/>
    <w:rsid w:val="000377D6"/>
    <w:rsid w:val="000402C0"/>
    <w:rsid w:val="000403A5"/>
    <w:rsid w:val="000404CE"/>
    <w:rsid w:val="0004068A"/>
    <w:rsid w:val="000406A5"/>
    <w:rsid w:val="00040CE2"/>
    <w:rsid w:val="00041037"/>
    <w:rsid w:val="0004104D"/>
    <w:rsid w:val="0004193F"/>
    <w:rsid w:val="00041A03"/>
    <w:rsid w:val="00041E78"/>
    <w:rsid w:val="00042234"/>
    <w:rsid w:val="00043032"/>
    <w:rsid w:val="0004328A"/>
    <w:rsid w:val="00043399"/>
    <w:rsid w:val="00043AB6"/>
    <w:rsid w:val="00043E8D"/>
    <w:rsid w:val="000440E1"/>
    <w:rsid w:val="0004461E"/>
    <w:rsid w:val="00044707"/>
    <w:rsid w:val="000450B8"/>
    <w:rsid w:val="00045107"/>
    <w:rsid w:val="00045161"/>
    <w:rsid w:val="0004540D"/>
    <w:rsid w:val="000455D1"/>
    <w:rsid w:val="00045A2D"/>
    <w:rsid w:val="00046319"/>
    <w:rsid w:val="00046377"/>
    <w:rsid w:val="00046495"/>
    <w:rsid w:val="0004669D"/>
    <w:rsid w:val="00046954"/>
    <w:rsid w:val="000469EE"/>
    <w:rsid w:val="00046A24"/>
    <w:rsid w:val="00047214"/>
    <w:rsid w:val="00047EFC"/>
    <w:rsid w:val="00047F60"/>
    <w:rsid w:val="000504FD"/>
    <w:rsid w:val="00050B50"/>
    <w:rsid w:val="00050BA2"/>
    <w:rsid w:val="00050D57"/>
    <w:rsid w:val="00051A5E"/>
    <w:rsid w:val="00051DEE"/>
    <w:rsid w:val="0005210B"/>
    <w:rsid w:val="0005212C"/>
    <w:rsid w:val="0005222C"/>
    <w:rsid w:val="000523D8"/>
    <w:rsid w:val="000525C9"/>
    <w:rsid w:val="000529AE"/>
    <w:rsid w:val="00052A52"/>
    <w:rsid w:val="00053209"/>
    <w:rsid w:val="00053388"/>
    <w:rsid w:val="00053613"/>
    <w:rsid w:val="0005382A"/>
    <w:rsid w:val="000541B7"/>
    <w:rsid w:val="000542B1"/>
    <w:rsid w:val="00054423"/>
    <w:rsid w:val="000544ED"/>
    <w:rsid w:val="0005452D"/>
    <w:rsid w:val="00054857"/>
    <w:rsid w:val="00054F1B"/>
    <w:rsid w:val="0005544B"/>
    <w:rsid w:val="000559F2"/>
    <w:rsid w:val="00055B68"/>
    <w:rsid w:val="00055D96"/>
    <w:rsid w:val="00055E60"/>
    <w:rsid w:val="00056B35"/>
    <w:rsid w:val="00056C4E"/>
    <w:rsid w:val="000571CA"/>
    <w:rsid w:val="000571DB"/>
    <w:rsid w:val="00057667"/>
    <w:rsid w:val="00057B27"/>
    <w:rsid w:val="00057D9E"/>
    <w:rsid w:val="000601CB"/>
    <w:rsid w:val="00060841"/>
    <w:rsid w:val="0006139C"/>
    <w:rsid w:val="00061665"/>
    <w:rsid w:val="00061975"/>
    <w:rsid w:val="00061BE3"/>
    <w:rsid w:val="00061D34"/>
    <w:rsid w:val="0006218D"/>
    <w:rsid w:val="000623A7"/>
    <w:rsid w:val="000628D2"/>
    <w:rsid w:val="00063086"/>
    <w:rsid w:val="000630DA"/>
    <w:rsid w:val="0006325A"/>
    <w:rsid w:val="00063AF2"/>
    <w:rsid w:val="00063BF1"/>
    <w:rsid w:val="00063FB1"/>
    <w:rsid w:val="00063FED"/>
    <w:rsid w:val="0006407B"/>
    <w:rsid w:val="0006423F"/>
    <w:rsid w:val="000642B3"/>
    <w:rsid w:val="00064389"/>
    <w:rsid w:val="00064536"/>
    <w:rsid w:val="00064828"/>
    <w:rsid w:val="00064B44"/>
    <w:rsid w:val="0006500A"/>
    <w:rsid w:val="000656A1"/>
    <w:rsid w:val="00065781"/>
    <w:rsid w:val="00065A24"/>
    <w:rsid w:val="00065F13"/>
    <w:rsid w:val="000661AC"/>
    <w:rsid w:val="0006620E"/>
    <w:rsid w:val="00066355"/>
    <w:rsid w:val="000668CB"/>
    <w:rsid w:val="00066A91"/>
    <w:rsid w:val="00066EC5"/>
    <w:rsid w:val="000673D7"/>
    <w:rsid w:val="00067461"/>
    <w:rsid w:val="0006759A"/>
    <w:rsid w:val="00067618"/>
    <w:rsid w:val="00067EF4"/>
    <w:rsid w:val="0007025F"/>
    <w:rsid w:val="000708C1"/>
    <w:rsid w:val="0007159E"/>
    <w:rsid w:val="00071881"/>
    <w:rsid w:val="00071942"/>
    <w:rsid w:val="00072009"/>
    <w:rsid w:val="000724FF"/>
    <w:rsid w:val="0007265B"/>
    <w:rsid w:val="00072859"/>
    <w:rsid w:val="0007303D"/>
    <w:rsid w:val="00073513"/>
    <w:rsid w:val="00073B26"/>
    <w:rsid w:val="00073C84"/>
    <w:rsid w:val="00073CDC"/>
    <w:rsid w:val="0007402D"/>
    <w:rsid w:val="000740A5"/>
    <w:rsid w:val="0007410A"/>
    <w:rsid w:val="000741CA"/>
    <w:rsid w:val="0007429D"/>
    <w:rsid w:val="00074532"/>
    <w:rsid w:val="00074652"/>
    <w:rsid w:val="000749DC"/>
    <w:rsid w:val="00074F72"/>
    <w:rsid w:val="000750E5"/>
    <w:rsid w:val="0007603C"/>
    <w:rsid w:val="000762C0"/>
    <w:rsid w:val="000764CF"/>
    <w:rsid w:val="00076DD5"/>
    <w:rsid w:val="00076E41"/>
    <w:rsid w:val="00076ED9"/>
    <w:rsid w:val="000774BD"/>
    <w:rsid w:val="0007763D"/>
    <w:rsid w:val="00077B20"/>
    <w:rsid w:val="00077E49"/>
    <w:rsid w:val="00080391"/>
    <w:rsid w:val="000803F7"/>
    <w:rsid w:val="000807B1"/>
    <w:rsid w:val="00080BEB"/>
    <w:rsid w:val="00080E29"/>
    <w:rsid w:val="0008105D"/>
    <w:rsid w:val="0008107B"/>
    <w:rsid w:val="00081124"/>
    <w:rsid w:val="000814D9"/>
    <w:rsid w:val="00081731"/>
    <w:rsid w:val="000818EA"/>
    <w:rsid w:val="00082065"/>
    <w:rsid w:val="00082154"/>
    <w:rsid w:val="000822A1"/>
    <w:rsid w:val="0008241A"/>
    <w:rsid w:val="00082E0B"/>
    <w:rsid w:val="00082F77"/>
    <w:rsid w:val="000835A9"/>
    <w:rsid w:val="000836AA"/>
    <w:rsid w:val="000837D5"/>
    <w:rsid w:val="00083DD4"/>
    <w:rsid w:val="00083E6D"/>
    <w:rsid w:val="00083F05"/>
    <w:rsid w:val="00083FE3"/>
    <w:rsid w:val="00084309"/>
    <w:rsid w:val="00084722"/>
    <w:rsid w:val="00084771"/>
    <w:rsid w:val="00084A47"/>
    <w:rsid w:val="00084CC1"/>
    <w:rsid w:val="00084E18"/>
    <w:rsid w:val="00085466"/>
    <w:rsid w:val="00086801"/>
    <w:rsid w:val="00086A59"/>
    <w:rsid w:val="00086FF1"/>
    <w:rsid w:val="0008734E"/>
    <w:rsid w:val="000878E0"/>
    <w:rsid w:val="00087B9A"/>
    <w:rsid w:val="000901A4"/>
    <w:rsid w:val="00090850"/>
    <w:rsid w:val="0009088D"/>
    <w:rsid w:val="00090A68"/>
    <w:rsid w:val="00090EC1"/>
    <w:rsid w:val="000915C5"/>
    <w:rsid w:val="000915DA"/>
    <w:rsid w:val="00091B90"/>
    <w:rsid w:val="00091C33"/>
    <w:rsid w:val="000928AD"/>
    <w:rsid w:val="00092C70"/>
    <w:rsid w:val="00093410"/>
    <w:rsid w:val="00093804"/>
    <w:rsid w:val="000938D3"/>
    <w:rsid w:val="0009428E"/>
    <w:rsid w:val="0009470E"/>
    <w:rsid w:val="00094F9A"/>
    <w:rsid w:val="0009529C"/>
    <w:rsid w:val="00095763"/>
    <w:rsid w:val="00095BCF"/>
    <w:rsid w:val="00095D90"/>
    <w:rsid w:val="00096464"/>
    <w:rsid w:val="00096565"/>
    <w:rsid w:val="000967E1"/>
    <w:rsid w:val="000968AF"/>
    <w:rsid w:val="00096B12"/>
    <w:rsid w:val="00096B5D"/>
    <w:rsid w:val="00096E21"/>
    <w:rsid w:val="000971F9"/>
    <w:rsid w:val="0009726A"/>
    <w:rsid w:val="000972BB"/>
    <w:rsid w:val="00097608"/>
    <w:rsid w:val="000976C0"/>
    <w:rsid w:val="00097750"/>
    <w:rsid w:val="00097F0B"/>
    <w:rsid w:val="00097F9D"/>
    <w:rsid w:val="000A00FD"/>
    <w:rsid w:val="000A02AF"/>
    <w:rsid w:val="000A02D8"/>
    <w:rsid w:val="000A04DC"/>
    <w:rsid w:val="000A05C6"/>
    <w:rsid w:val="000A0C72"/>
    <w:rsid w:val="000A12B1"/>
    <w:rsid w:val="000A1317"/>
    <w:rsid w:val="000A164F"/>
    <w:rsid w:val="000A17AF"/>
    <w:rsid w:val="000A1C14"/>
    <w:rsid w:val="000A1D0A"/>
    <w:rsid w:val="000A2EDF"/>
    <w:rsid w:val="000A2F1A"/>
    <w:rsid w:val="000A2FCF"/>
    <w:rsid w:val="000A33E4"/>
    <w:rsid w:val="000A3818"/>
    <w:rsid w:val="000A397F"/>
    <w:rsid w:val="000A3A91"/>
    <w:rsid w:val="000A3E53"/>
    <w:rsid w:val="000A4066"/>
    <w:rsid w:val="000A4110"/>
    <w:rsid w:val="000A4204"/>
    <w:rsid w:val="000A4B51"/>
    <w:rsid w:val="000A5200"/>
    <w:rsid w:val="000A61FD"/>
    <w:rsid w:val="000A68E0"/>
    <w:rsid w:val="000A6C19"/>
    <w:rsid w:val="000A7049"/>
    <w:rsid w:val="000A7A60"/>
    <w:rsid w:val="000A7ADB"/>
    <w:rsid w:val="000B0AE7"/>
    <w:rsid w:val="000B0B08"/>
    <w:rsid w:val="000B0D16"/>
    <w:rsid w:val="000B124C"/>
    <w:rsid w:val="000B125B"/>
    <w:rsid w:val="000B18D3"/>
    <w:rsid w:val="000B1D56"/>
    <w:rsid w:val="000B20CC"/>
    <w:rsid w:val="000B21C8"/>
    <w:rsid w:val="000B270F"/>
    <w:rsid w:val="000B29D2"/>
    <w:rsid w:val="000B2FA5"/>
    <w:rsid w:val="000B378D"/>
    <w:rsid w:val="000B3854"/>
    <w:rsid w:val="000B41F4"/>
    <w:rsid w:val="000B45F2"/>
    <w:rsid w:val="000B4F51"/>
    <w:rsid w:val="000B50D6"/>
    <w:rsid w:val="000B540D"/>
    <w:rsid w:val="000B5729"/>
    <w:rsid w:val="000B606B"/>
    <w:rsid w:val="000B659C"/>
    <w:rsid w:val="000B67EF"/>
    <w:rsid w:val="000B6963"/>
    <w:rsid w:val="000B69C3"/>
    <w:rsid w:val="000B6C91"/>
    <w:rsid w:val="000B7023"/>
    <w:rsid w:val="000B728F"/>
    <w:rsid w:val="000B7537"/>
    <w:rsid w:val="000B755F"/>
    <w:rsid w:val="000B7635"/>
    <w:rsid w:val="000B7925"/>
    <w:rsid w:val="000B7BDD"/>
    <w:rsid w:val="000B7C74"/>
    <w:rsid w:val="000C0476"/>
    <w:rsid w:val="000C0AAB"/>
    <w:rsid w:val="000C0D08"/>
    <w:rsid w:val="000C13AE"/>
    <w:rsid w:val="000C142A"/>
    <w:rsid w:val="000C1707"/>
    <w:rsid w:val="000C1803"/>
    <w:rsid w:val="000C19E8"/>
    <w:rsid w:val="000C25CE"/>
    <w:rsid w:val="000C2883"/>
    <w:rsid w:val="000C2D46"/>
    <w:rsid w:val="000C2E66"/>
    <w:rsid w:val="000C37F0"/>
    <w:rsid w:val="000C43F2"/>
    <w:rsid w:val="000C486E"/>
    <w:rsid w:val="000C4BD5"/>
    <w:rsid w:val="000C4C8A"/>
    <w:rsid w:val="000C4FC8"/>
    <w:rsid w:val="000C5E22"/>
    <w:rsid w:val="000C61CE"/>
    <w:rsid w:val="000C6803"/>
    <w:rsid w:val="000C7759"/>
    <w:rsid w:val="000C7CB0"/>
    <w:rsid w:val="000C7D62"/>
    <w:rsid w:val="000D02FB"/>
    <w:rsid w:val="000D04B0"/>
    <w:rsid w:val="000D0C56"/>
    <w:rsid w:val="000D18DE"/>
    <w:rsid w:val="000D195F"/>
    <w:rsid w:val="000D1F6E"/>
    <w:rsid w:val="000D2169"/>
    <w:rsid w:val="000D2214"/>
    <w:rsid w:val="000D3093"/>
    <w:rsid w:val="000D3BD5"/>
    <w:rsid w:val="000D3F32"/>
    <w:rsid w:val="000D4172"/>
    <w:rsid w:val="000D44D8"/>
    <w:rsid w:val="000D47AB"/>
    <w:rsid w:val="000D4CA9"/>
    <w:rsid w:val="000D5039"/>
    <w:rsid w:val="000D5651"/>
    <w:rsid w:val="000D587B"/>
    <w:rsid w:val="000D6637"/>
    <w:rsid w:val="000D6A68"/>
    <w:rsid w:val="000D6A9B"/>
    <w:rsid w:val="000D72A9"/>
    <w:rsid w:val="000D7BE4"/>
    <w:rsid w:val="000D7E64"/>
    <w:rsid w:val="000E0346"/>
    <w:rsid w:val="000E0489"/>
    <w:rsid w:val="000E05E7"/>
    <w:rsid w:val="000E0A53"/>
    <w:rsid w:val="000E0D6D"/>
    <w:rsid w:val="000E0E28"/>
    <w:rsid w:val="000E0E4E"/>
    <w:rsid w:val="000E10F6"/>
    <w:rsid w:val="000E151F"/>
    <w:rsid w:val="000E174E"/>
    <w:rsid w:val="000E1DE1"/>
    <w:rsid w:val="000E2116"/>
    <w:rsid w:val="000E30C9"/>
    <w:rsid w:val="000E3230"/>
    <w:rsid w:val="000E3264"/>
    <w:rsid w:val="000E34B2"/>
    <w:rsid w:val="000E34F2"/>
    <w:rsid w:val="000E3944"/>
    <w:rsid w:val="000E39F2"/>
    <w:rsid w:val="000E4B0F"/>
    <w:rsid w:val="000E59F9"/>
    <w:rsid w:val="000E5C67"/>
    <w:rsid w:val="000E5F57"/>
    <w:rsid w:val="000E611E"/>
    <w:rsid w:val="000E65FC"/>
    <w:rsid w:val="000E66C3"/>
    <w:rsid w:val="000E6BAF"/>
    <w:rsid w:val="000E6C9D"/>
    <w:rsid w:val="000E6DB8"/>
    <w:rsid w:val="000E73A9"/>
    <w:rsid w:val="000E7758"/>
    <w:rsid w:val="000E7E78"/>
    <w:rsid w:val="000F0905"/>
    <w:rsid w:val="000F0B81"/>
    <w:rsid w:val="000F0BA6"/>
    <w:rsid w:val="000F0CE8"/>
    <w:rsid w:val="000F0D03"/>
    <w:rsid w:val="000F0DDA"/>
    <w:rsid w:val="000F1105"/>
    <w:rsid w:val="000F12FB"/>
    <w:rsid w:val="000F1373"/>
    <w:rsid w:val="000F138C"/>
    <w:rsid w:val="000F15A9"/>
    <w:rsid w:val="000F175D"/>
    <w:rsid w:val="000F190E"/>
    <w:rsid w:val="000F1E3F"/>
    <w:rsid w:val="000F1EA5"/>
    <w:rsid w:val="000F2497"/>
    <w:rsid w:val="000F266E"/>
    <w:rsid w:val="000F2870"/>
    <w:rsid w:val="000F28CE"/>
    <w:rsid w:val="000F2C9F"/>
    <w:rsid w:val="000F2FDA"/>
    <w:rsid w:val="000F3A8C"/>
    <w:rsid w:val="000F3E6B"/>
    <w:rsid w:val="000F40B2"/>
    <w:rsid w:val="000F432A"/>
    <w:rsid w:val="000F4D5A"/>
    <w:rsid w:val="000F4F71"/>
    <w:rsid w:val="000F4F95"/>
    <w:rsid w:val="000F4FBC"/>
    <w:rsid w:val="000F5158"/>
    <w:rsid w:val="000F5530"/>
    <w:rsid w:val="000F5A85"/>
    <w:rsid w:val="000F5B22"/>
    <w:rsid w:val="000F5F46"/>
    <w:rsid w:val="000F62A7"/>
    <w:rsid w:val="000F6D1D"/>
    <w:rsid w:val="000F6DCA"/>
    <w:rsid w:val="000F7158"/>
    <w:rsid w:val="000F79E9"/>
    <w:rsid w:val="000F7CC9"/>
    <w:rsid w:val="001000A2"/>
    <w:rsid w:val="00100143"/>
    <w:rsid w:val="00100242"/>
    <w:rsid w:val="00100A95"/>
    <w:rsid w:val="00100ED6"/>
    <w:rsid w:val="00100F99"/>
    <w:rsid w:val="00101731"/>
    <w:rsid w:val="0010181A"/>
    <w:rsid w:val="00101938"/>
    <w:rsid w:val="00101ED8"/>
    <w:rsid w:val="00101EF2"/>
    <w:rsid w:val="001024A0"/>
    <w:rsid w:val="00102860"/>
    <w:rsid w:val="00103404"/>
    <w:rsid w:val="001038D5"/>
    <w:rsid w:val="00104094"/>
    <w:rsid w:val="0010476C"/>
    <w:rsid w:val="001047B0"/>
    <w:rsid w:val="0010548F"/>
    <w:rsid w:val="00105C26"/>
    <w:rsid w:val="001062F2"/>
    <w:rsid w:val="00106862"/>
    <w:rsid w:val="001069FD"/>
    <w:rsid w:val="00106AD4"/>
    <w:rsid w:val="00106B9D"/>
    <w:rsid w:val="00106FDD"/>
    <w:rsid w:val="00107026"/>
    <w:rsid w:val="00107308"/>
    <w:rsid w:val="0011020C"/>
    <w:rsid w:val="001104FC"/>
    <w:rsid w:val="001111A8"/>
    <w:rsid w:val="001113A9"/>
    <w:rsid w:val="00112145"/>
    <w:rsid w:val="00112168"/>
    <w:rsid w:val="001127A5"/>
    <w:rsid w:val="001127BF"/>
    <w:rsid w:val="00113284"/>
    <w:rsid w:val="00113FBC"/>
    <w:rsid w:val="001144FB"/>
    <w:rsid w:val="001145E6"/>
    <w:rsid w:val="001147D0"/>
    <w:rsid w:val="00114AC0"/>
    <w:rsid w:val="00114E54"/>
    <w:rsid w:val="00114EAD"/>
    <w:rsid w:val="0011560D"/>
    <w:rsid w:val="00115995"/>
    <w:rsid w:val="001161A8"/>
    <w:rsid w:val="00116A64"/>
    <w:rsid w:val="00116C43"/>
    <w:rsid w:val="00116CDC"/>
    <w:rsid w:val="0011781C"/>
    <w:rsid w:val="001203D6"/>
    <w:rsid w:val="00120608"/>
    <w:rsid w:val="00120C59"/>
    <w:rsid w:val="001212FE"/>
    <w:rsid w:val="00121896"/>
    <w:rsid w:val="00121E91"/>
    <w:rsid w:val="00121E96"/>
    <w:rsid w:val="00122513"/>
    <w:rsid w:val="001229E2"/>
    <w:rsid w:val="00122BA8"/>
    <w:rsid w:val="00122BC9"/>
    <w:rsid w:val="00122CC9"/>
    <w:rsid w:val="001231B8"/>
    <w:rsid w:val="00123388"/>
    <w:rsid w:val="00123BB6"/>
    <w:rsid w:val="00123E9D"/>
    <w:rsid w:val="00123EB9"/>
    <w:rsid w:val="001241DD"/>
    <w:rsid w:val="001242C8"/>
    <w:rsid w:val="00124337"/>
    <w:rsid w:val="001243C0"/>
    <w:rsid w:val="0012487D"/>
    <w:rsid w:val="00124D89"/>
    <w:rsid w:val="00124D91"/>
    <w:rsid w:val="001254FA"/>
    <w:rsid w:val="00125C06"/>
    <w:rsid w:val="00125EAA"/>
    <w:rsid w:val="00126212"/>
    <w:rsid w:val="0012631D"/>
    <w:rsid w:val="001270B4"/>
    <w:rsid w:val="0012719A"/>
    <w:rsid w:val="001274C7"/>
    <w:rsid w:val="00127CFA"/>
    <w:rsid w:val="00127D2D"/>
    <w:rsid w:val="00130AA3"/>
    <w:rsid w:val="00130FC4"/>
    <w:rsid w:val="00131580"/>
    <w:rsid w:val="001317DF"/>
    <w:rsid w:val="001318A7"/>
    <w:rsid w:val="00131DC7"/>
    <w:rsid w:val="00132900"/>
    <w:rsid w:val="00132F25"/>
    <w:rsid w:val="00133932"/>
    <w:rsid w:val="001339C5"/>
    <w:rsid w:val="00133C57"/>
    <w:rsid w:val="00133E8C"/>
    <w:rsid w:val="00134082"/>
    <w:rsid w:val="00134234"/>
    <w:rsid w:val="001342CA"/>
    <w:rsid w:val="0013511E"/>
    <w:rsid w:val="00135E9B"/>
    <w:rsid w:val="00135EB5"/>
    <w:rsid w:val="001362FD"/>
    <w:rsid w:val="001363DD"/>
    <w:rsid w:val="00136675"/>
    <w:rsid w:val="001366F7"/>
    <w:rsid w:val="0013682E"/>
    <w:rsid w:val="00136C29"/>
    <w:rsid w:val="00137231"/>
    <w:rsid w:val="0013763D"/>
    <w:rsid w:val="00137688"/>
    <w:rsid w:val="00140491"/>
    <w:rsid w:val="00140A2E"/>
    <w:rsid w:val="0014117A"/>
    <w:rsid w:val="001411CB"/>
    <w:rsid w:val="001414AA"/>
    <w:rsid w:val="001414BA"/>
    <w:rsid w:val="00141598"/>
    <w:rsid w:val="00141833"/>
    <w:rsid w:val="00142366"/>
    <w:rsid w:val="00142F73"/>
    <w:rsid w:val="00143779"/>
    <w:rsid w:val="00143995"/>
    <w:rsid w:val="00143CCC"/>
    <w:rsid w:val="001448AC"/>
    <w:rsid w:val="00144ABC"/>
    <w:rsid w:val="00145A37"/>
    <w:rsid w:val="00145DEB"/>
    <w:rsid w:val="00146E4B"/>
    <w:rsid w:val="001473FF"/>
    <w:rsid w:val="0014742F"/>
    <w:rsid w:val="00147B5E"/>
    <w:rsid w:val="0015012E"/>
    <w:rsid w:val="001504C5"/>
    <w:rsid w:val="001504C9"/>
    <w:rsid w:val="001505B0"/>
    <w:rsid w:val="001506BF"/>
    <w:rsid w:val="00150B60"/>
    <w:rsid w:val="00150D47"/>
    <w:rsid w:val="00151950"/>
    <w:rsid w:val="00151F60"/>
    <w:rsid w:val="00152113"/>
    <w:rsid w:val="00152313"/>
    <w:rsid w:val="00152819"/>
    <w:rsid w:val="00152908"/>
    <w:rsid w:val="00152D57"/>
    <w:rsid w:val="0015382B"/>
    <w:rsid w:val="00153E60"/>
    <w:rsid w:val="001540FF"/>
    <w:rsid w:val="0015457F"/>
    <w:rsid w:val="00154A23"/>
    <w:rsid w:val="00154F0C"/>
    <w:rsid w:val="00155007"/>
    <w:rsid w:val="00155202"/>
    <w:rsid w:val="00155672"/>
    <w:rsid w:val="001556D3"/>
    <w:rsid w:val="00155714"/>
    <w:rsid w:val="001558B0"/>
    <w:rsid w:val="00156556"/>
    <w:rsid w:val="00156F14"/>
    <w:rsid w:val="00157725"/>
    <w:rsid w:val="0016003E"/>
    <w:rsid w:val="0016021E"/>
    <w:rsid w:val="0016026F"/>
    <w:rsid w:val="0016039D"/>
    <w:rsid w:val="0016075B"/>
    <w:rsid w:val="001607CB"/>
    <w:rsid w:val="0016092F"/>
    <w:rsid w:val="00160932"/>
    <w:rsid w:val="001610D6"/>
    <w:rsid w:val="001615C0"/>
    <w:rsid w:val="00161763"/>
    <w:rsid w:val="00161829"/>
    <w:rsid w:val="001619DF"/>
    <w:rsid w:val="00161C54"/>
    <w:rsid w:val="00161F69"/>
    <w:rsid w:val="00162540"/>
    <w:rsid w:val="001637C1"/>
    <w:rsid w:val="00163E84"/>
    <w:rsid w:val="00164714"/>
    <w:rsid w:val="00165855"/>
    <w:rsid w:val="00165996"/>
    <w:rsid w:val="00165A92"/>
    <w:rsid w:val="00165CE8"/>
    <w:rsid w:val="00165F92"/>
    <w:rsid w:val="00166519"/>
    <w:rsid w:val="00166885"/>
    <w:rsid w:val="001668C8"/>
    <w:rsid w:val="00166E28"/>
    <w:rsid w:val="00167747"/>
    <w:rsid w:val="0017007B"/>
    <w:rsid w:val="0017019B"/>
    <w:rsid w:val="001703AE"/>
    <w:rsid w:val="00171395"/>
    <w:rsid w:val="00171552"/>
    <w:rsid w:val="0017198F"/>
    <w:rsid w:val="00171AA2"/>
    <w:rsid w:val="00171B7A"/>
    <w:rsid w:val="00171D2A"/>
    <w:rsid w:val="00171DB1"/>
    <w:rsid w:val="001721D0"/>
    <w:rsid w:val="00172300"/>
    <w:rsid w:val="00172632"/>
    <w:rsid w:val="00172CE2"/>
    <w:rsid w:val="00172F74"/>
    <w:rsid w:val="00172FDE"/>
    <w:rsid w:val="0017319F"/>
    <w:rsid w:val="00173429"/>
    <w:rsid w:val="001734BD"/>
    <w:rsid w:val="00173880"/>
    <w:rsid w:val="00173C7D"/>
    <w:rsid w:val="00173F56"/>
    <w:rsid w:val="001748D1"/>
    <w:rsid w:val="0017546B"/>
    <w:rsid w:val="00175CD0"/>
    <w:rsid w:val="00176361"/>
    <w:rsid w:val="00176731"/>
    <w:rsid w:val="00177039"/>
    <w:rsid w:val="00180621"/>
    <w:rsid w:val="00180A90"/>
    <w:rsid w:val="001816D7"/>
    <w:rsid w:val="00181F87"/>
    <w:rsid w:val="00182461"/>
    <w:rsid w:val="00182607"/>
    <w:rsid w:val="00183120"/>
    <w:rsid w:val="0018358D"/>
    <w:rsid w:val="001845ED"/>
    <w:rsid w:val="001846B1"/>
    <w:rsid w:val="00184BFD"/>
    <w:rsid w:val="00184C5C"/>
    <w:rsid w:val="001850E3"/>
    <w:rsid w:val="001852EA"/>
    <w:rsid w:val="00185688"/>
    <w:rsid w:val="001862C2"/>
    <w:rsid w:val="00186A45"/>
    <w:rsid w:val="00186EB0"/>
    <w:rsid w:val="0018750C"/>
    <w:rsid w:val="0018789D"/>
    <w:rsid w:val="00187C6F"/>
    <w:rsid w:val="00187E04"/>
    <w:rsid w:val="0019045D"/>
    <w:rsid w:val="0019095F"/>
    <w:rsid w:val="001909A3"/>
    <w:rsid w:val="00190A53"/>
    <w:rsid w:val="00191345"/>
    <w:rsid w:val="00191380"/>
    <w:rsid w:val="00191490"/>
    <w:rsid w:val="001917AD"/>
    <w:rsid w:val="00191F0A"/>
    <w:rsid w:val="00191FD2"/>
    <w:rsid w:val="001928B7"/>
    <w:rsid w:val="0019294A"/>
    <w:rsid w:val="00192F7F"/>
    <w:rsid w:val="00193026"/>
    <w:rsid w:val="0019390F"/>
    <w:rsid w:val="00193C2A"/>
    <w:rsid w:val="00193DF1"/>
    <w:rsid w:val="0019425D"/>
    <w:rsid w:val="001944CA"/>
    <w:rsid w:val="00194BD7"/>
    <w:rsid w:val="00194FAC"/>
    <w:rsid w:val="00195DCD"/>
    <w:rsid w:val="00196785"/>
    <w:rsid w:val="0019682D"/>
    <w:rsid w:val="00196C08"/>
    <w:rsid w:val="00196C3A"/>
    <w:rsid w:val="00196E68"/>
    <w:rsid w:val="00197728"/>
    <w:rsid w:val="00197DEE"/>
    <w:rsid w:val="001A0182"/>
    <w:rsid w:val="001A024D"/>
    <w:rsid w:val="001A053E"/>
    <w:rsid w:val="001A0770"/>
    <w:rsid w:val="001A0A4C"/>
    <w:rsid w:val="001A1295"/>
    <w:rsid w:val="001A1C3A"/>
    <w:rsid w:val="001A218C"/>
    <w:rsid w:val="001A2A4A"/>
    <w:rsid w:val="001A317C"/>
    <w:rsid w:val="001A361A"/>
    <w:rsid w:val="001A3CB7"/>
    <w:rsid w:val="001A3F5A"/>
    <w:rsid w:val="001A3FA8"/>
    <w:rsid w:val="001A434F"/>
    <w:rsid w:val="001A4502"/>
    <w:rsid w:val="001A46AA"/>
    <w:rsid w:val="001A4961"/>
    <w:rsid w:val="001A4C73"/>
    <w:rsid w:val="001A4DD2"/>
    <w:rsid w:val="001A4FFA"/>
    <w:rsid w:val="001A52DF"/>
    <w:rsid w:val="001A5B82"/>
    <w:rsid w:val="001A5C08"/>
    <w:rsid w:val="001A5DD4"/>
    <w:rsid w:val="001A619D"/>
    <w:rsid w:val="001A68BF"/>
    <w:rsid w:val="001A6D60"/>
    <w:rsid w:val="001A7198"/>
    <w:rsid w:val="001A7278"/>
    <w:rsid w:val="001A7EBF"/>
    <w:rsid w:val="001B00EF"/>
    <w:rsid w:val="001B027E"/>
    <w:rsid w:val="001B02F7"/>
    <w:rsid w:val="001B0379"/>
    <w:rsid w:val="001B07A9"/>
    <w:rsid w:val="001B0978"/>
    <w:rsid w:val="001B0F2C"/>
    <w:rsid w:val="001B0F5E"/>
    <w:rsid w:val="001B1383"/>
    <w:rsid w:val="001B16B7"/>
    <w:rsid w:val="001B18F2"/>
    <w:rsid w:val="001B1B40"/>
    <w:rsid w:val="001B1C00"/>
    <w:rsid w:val="001B230E"/>
    <w:rsid w:val="001B2382"/>
    <w:rsid w:val="001B25BB"/>
    <w:rsid w:val="001B2929"/>
    <w:rsid w:val="001B294D"/>
    <w:rsid w:val="001B2E9C"/>
    <w:rsid w:val="001B3083"/>
    <w:rsid w:val="001B30E4"/>
    <w:rsid w:val="001B3F47"/>
    <w:rsid w:val="001B4CBF"/>
    <w:rsid w:val="001B4CE5"/>
    <w:rsid w:val="001B5A08"/>
    <w:rsid w:val="001B6041"/>
    <w:rsid w:val="001B64DB"/>
    <w:rsid w:val="001B67B6"/>
    <w:rsid w:val="001B6861"/>
    <w:rsid w:val="001B6CA3"/>
    <w:rsid w:val="001C004F"/>
    <w:rsid w:val="001C0220"/>
    <w:rsid w:val="001C0781"/>
    <w:rsid w:val="001C0ED7"/>
    <w:rsid w:val="001C1A42"/>
    <w:rsid w:val="001C1E66"/>
    <w:rsid w:val="001C1F97"/>
    <w:rsid w:val="001C2590"/>
    <w:rsid w:val="001C27B1"/>
    <w:rsid w:val="001C2DD2"/>
    <w:rsid w:val="001C3683"/>
    <w:rsid w:val="001C3852"/>
    <w:rsid w:val="001C428E"/>
    <w:rsid w:val="001C42ED"/>
    <w:rsid w:val="001C48FC"/>
    <w:rsid w:val="001C4A4F"/>
    <w:rsid w:val="001C4D04"/>
    <w:rsid w:val="001C4E73"/>
    <w:rsid w:val="001C4EC5"/>
    <w:rsid w:val="001C5396"/>
    <w:rsid w:val="001C5480"/>
    <w:rsid w:val="001C5A92"/>
    <w:rsid w:val="001C5ED4"/>
    <w:rsid w:val="001C6591"/>
    <w:rsid w:val="001C6885"/>
    <w:rsid w:val="001C6E6A"/>
    <w:rsid w:val="001C6F9A"/>
    <w:rsid w:val="001C73E7"/>
    <w:rsid w:val="001C78A5"/>
    <w:rsid w:val="001D00AF"/>
    <w:rsid w:val="001D01E7"/>
    <w:rsid w:val="001D1085"/>
    <w:rsid w:val="001D10A4"/>
    <w:rsid w:val="001D182E"/>
    <w:rsid w:val="001D18B7"/>
    <w:rsid w:val="001D18E4"/>
    <w:rsid w:val="001D1F06"/>
    <w:rsid w:val="001D1F12"/>
    <w:rsid w:val="001D245A"/>
    <w:rsid w:val="001D33DD"/>
    <w:rsid w:val="001D3691"/>
    <w:rsid w:val="001D3AAA"/>
    <w:rsid w:val="001D3C0E"/>
    <w:rsid w:val="001D47AA"/>
    <w:rsid w:val="001D50F5"/>
    <w:rsid w:val="001D55F0"/>
    <w:rsid w:val="001D59F1"/>
    <w:rsid w:val="001D5A4C"/>
    <w:rsid w:val="001D5E2E"/>
    <w:rsid w:val="001D5F25"/>
    <w:rsid w:val="001D636A"/>
    <w:rsid w:val="001D65DD"/>
    <w:rsid w:val="001D67B7"/>
    <w:rsid w:val="001D699A"/>
    <w:rsid w:val="001D76C1"/>
    <w:rsid w:val="001D7B85"/>
    <w:rsid w:val="001D7C96"/>
    <w:rsid w:val="001D7DCF"/>
    <w:rsid w:val="001D7E06"/>
    <w:rsid w:val="001E061F"/>
    <w:rsid w:val="001E06A4"/>
    <w:rsid w:val="001E0BFA"/>
    <w:rsid w:val="001E0D42"/>
    <w:rsid w:val="001E1238"/>
    <w:rsid w:val="001E1264"/>
    <w:rsid w:val="001E138B"/>
    <w:rsid w:val="001E170B"/>
    <w:rsid w:val="001E1975"/>
    <w:rsid w:val="001E19C8"/>
    <w:rsid w:val="001E1A24"/>
    <w:rsid w:val="001E1C62"/>
    <w:rsid w:val="001E1F04"/>
    <w:rsid w:val="001E21A0"/>
    <w:rsid w:val="001E2A7A"/>
    <w:rsid w:val="001E2F5C"/>
    <w:rsid w:val="001E346F"/>
    <w:rsid w:val="001E355E"/>
    <w:rsid w:val="001E37FD"/>
    <w:rsid w:val="001E3D04"/>
    <w:rsid w:val="001E3F24"/>
    <w:rsid w:val="001E4288"/>
    <w:rsid w:val="001E43F5"/>
    <w:rsid w:val="001E4478"/>
    <w:rsid w:val="001E44DC"/>
    <w:rsid w:val="001E4EBB"/>
    <w:rsid w:val="001E54C6"/>
    <w:rsid w:val="001E5801"/>
    <w:rsid w:val="001E5A57"/>
    <w:rsid w:val="001E61DA"/>
    <w:rsid w:val="001E63EA"/>
    <w:rsid w:val="001E6617"/>
    <w:rsid w:val="001E6AC1"/>
    <w:rsid w:val="001E6AE3"/>
    <w:rsid w:val="001E7039"/>
    <w:rsid w:val="001E7080"/>
    <w:rsid w:val="001E70A6"/>
    <w:rsid w:val="001E7A2B"/>
    <w:rsid w:val="001E7B9F"/>
    <w:rsid w:val="001F04AC"/>
    <w:rsid w:val="001F0763"/>
    <w:rsid w:val="001F07BB"/>
    <w:rsid w:val="001F0EE6"/>
    <w:rsid w:val="001F10EF"/>
    <w:rsid w:val="001F152C"/>
    <w:rsid w:val="001F155C"/>
    <w:rsid w:val="001F1BCC"/>
    <w:rsid w:val="001F1BEF"/>
    <w:rsid w:val="001F1CF7"/>
    <w:rsid w:val="001F1D69"/>
    <w:rsid w:val="001F1F2F"/>
    <w:rsid w:val="001F1FAA"/>
    <w:rsid w:val="001F2BB8"/>
    <w:rsid w:val="001F2E25"/>
    <w:rsid w:val="001F2F0A"/>
    <w:rsid w:val="001F3DEF"/>
    <w:rsid w:val="001F42D2"/>
    <w:rsid w:val="001F4763"/>
    <w:rsid w:val="001F4839"/>
    <w:rsid w:val="001F49F3"/>
    <w:rsid w:val="001F4C57"/>
    <w:rsid w:val="001F5684"/>
    <w:rsid w:val="001F5A7E"/>
    <w:rsid w:val="001F5AA5"/>
    <w:rsid w:val="001F5E9F"/>
    <w:rsid w:val="001F64C3"/>
    <w:rsid w:val="001F6A8F"/>
    <w:rsid w:val="001F747A"/>
    <w:rsid w:val="001F76BE"/>
    <w:rsid w:val="001F798C"/>
    <w:rsid w:val="0020016C"/>
    <w:rsid w:val="00200410"/>
    <w:rsid w:val="00200A32"/>
    <w:rsid w:val="00200EBC"/>
    <w:rsid w:val="002011A9"/>
    <w:rsid w:val="002013F7"/>
    <w:rsid w:val="0020173A"/>
    <w:rsid w:val="0020184C"/>
    <w:rsid w:val="00201910"/>
    <w:rsid w:val="00201C24"/>
    <w:rsid w:val="00201E08"/>
    <w:rsid w:val="002020C2"/>
    <w:rsid w:val="0020220D"/>
    <w:rsid w:val="00202AE1"/>
    <w:rsid w:val="00202DE7"/>
    <w:rsid w:val="0020302D"/>
    <w:rsid w:val="002030D2"/>
    <w:rsid w:val="0020312B"/>
    <w:rsid w:val="0020365A"/>
    <w:rsid w:val="00203C37"/>
    <w:rsid w:val="00203D70"/>
    <w:rsid w:val="00203DFF"/>
    <w:rsid w:val="00204349"/>
    <w:rsid w:val="00204593"/>
    <w:rsid w:val="002047EF"/>
    <w:rsid w:val="00204D93"/>
    <w:rsid w:val="00204FC1"/>
    <w:rsid w:val="002056C2"/>
    <w:rsid w:val="0020574C"/>
    <w:rsid w:val="0020589B"/>
    <w:rsid w:val="002058F0"/>
    <w:rsid w:val="00206D6A"/>
    <w:rsid w:val="0020760C"/>
    <w:rsid w:val="00207A04"/>
    <w:rsid w:val="00210197"/>
    <w:rsid w:val="0021037C"/>
    <w:rsid w:val="002103D9"/>
    <w:rsid w:val="002103DB"/>
    <w:rsid w:val="002105A1"/>
    <w:rsid w:val="0021073E"/>
    <w:rsid w:val="002110EB"/>
    <w:rsid w:val="002119B1"/>
    <w:rsid w:val="002119E4"/>
    <w:rsid w:val="00211B58"/>
    <w:rsid w:val="00212330"/>
    <w:rsid w:val="00212C3F"/>
    <w:rsid w:val="00212D3D"/>
    <w:rsid w:val="00213531"/>
    <w:rsid w:val="00213555"/>
    <w:rsid w:val="0021363F"/>
    <w:rsid w:val="002137CE"/>
    <w:rsid w:val="00213A18"/>
    <w:rsid w:val="00213A5F"/>
    <w:rsid w:val="00213A6B"/>
    <w:rsid w:val="00213BDB"/>
    <w:rsid w:val="00214B77"/>
    <w:rsid w:val="00215647"/>
    <w:rsid w:val="00215A7D"/>
    <w:rsid w:val="00215C43"/>
    <w:rsid w:val="00215CDC"/>
    <w:rsid w:val="00215D35"/>
    <w:rsid w:val="002160F2"/>
    <w:rsid w:val="002166D7"/>
    <w:rsid w:val="00216784"/>
    <w:rsid w:val="00216DE8"/>
    <w:rsid w:val="00217163"/>
    <w:rsid w:val="002171B5"/>
    <w:rsid w:val="00217261"/>
    <w:rsid w:val="002176A7"/>
    <w:rsid w:val="002177B8"/>
    <w:rsid w:val="002179D3"/>
    <w:rsid w:val="00217AA0"/>
    <w:rsid w:val="00217C7E"/>
    <w:rsid w:val="00217C7F"/>
    <w:rsid w:val="00220461"/>
    <w:rsid w:val="00220B3B"/>
    <w:rsid w:val="00221052"/>
    <w:rsid w:val="00221E3D"/>
    <w:rsid w:val="00221EDF"/>
    <w:rsid w:val="0022220B"/>
    <w:rsid w:val="002224CB"/>
    <w:rsid w:val="0022257C"/>
    <w:rsid w:val="00222C1B"/>
    <w:rsid w:val="00222F2B"/>
    <w:rsid w:val="002230F2"/>
    <w:rsid w:val="00224A77"/>
    <w:rsid w:val="00224E5B"/>
    <w:rsid w:val="002258A4"/>
    <w:rsid w:val="00225DFB"/>
    <w:rsid w:val="002261F6"/>
    <w:rsid w:val="0022651A"/>
    <w:rsid w:val="00226FD6"/>
    <w:rsid w:val="002273C9"/>
    <w:rsid w:val="0022752C"/>
    <w:rsid w:val="002276B7"/>
    <w:rsid w:val="00227764"/>
    <w:rsid w:val="00227A31"/>
    <w:rsid w:val="00230699"/>
    <w:rsid w:val="0023080D"/>
    <w:rsid w:val="002308E9"/>
    <w:rsid w:val="00231293"/>
    <w:rsid w:val="00231381"/>
    <w:rsid w:val="00231851"/>
    <w:rsid w:val="00231A14"/>
    <w:rsid w:val="00231F3C"/>
    <w:rsid w:val="0023237B"/>
    <w:rsid w:val="002324DE"/>
    <w:rsid w:val="00232D02"/>
    <w:rsid w:val="00232E3A"/>
    <w:rsid w:val="002335F5"/>
    <w:rsid w:val="00233C7A"/>
    <w:rsid w:val="00234172"/>
    <w:rsid w:val="00234B32"/>
    <w:rsid w:val="00234D8A"/>
    <w:rsid w:val="00234E79"/>
    <w:rsid w:val="00235057"/>
    <w:rsid w:val="002350F6"/>
    <w:rsid w:val="002351A5"/>
    <w:rsid w:val="00235AB0"/>
    <w:rsid w:val="00235B21"/>
    <w:rsid w:val="00235F68"/>
    <w:rsid w:val="00236034"/>
    <w:rsid w:val="00236A29"/>
    <w:rsid w:val="00236A80"/>
    <w:rsid w:val="00236DD7"/>
    <w:rsid w:val="00236EDA"/>
    <w:rsid w:val="0023707C"/>
    <w:rsid w:val="0023784F"/>
    <w:rsid w:val="002379D4"/>
    <w:rsid w:val="002400B5"/>
    <w:rsid w:val="00240150"/>
    <w:rsid w:val="0024031A"/>
    <w:rsid w:val="0024071A"/>
    <w:rsid w:val="00240E4F"/>
    <w:rsid w:val="002411BE"/>
    <w:rsid w:val="00241D77"/>
    <w:rsid w:val="002424D7"/>
    <w:rsid w:val="00242E51"/>
    <w:rsid w:val="00242E6F"/>
    <w:rsid w:val="00243098"/>
    <w:rsid w:val="002434BD"/>
    <w:rsid w:val="00243C48"/>
    <w:rsid w:val="00243FA8"/>
    <w:rsid w:val="00244281"/>
    <w:rsid w:val="00244906"/>
    <w:rsid w:val="00244B03"/>
    <w:rsid w:val="00244C66"/>
    <w:rsid w:val="00245486"/>
    <w:rsid w:val="00245765"/>
    <w:rsid w:val="002464DE"/>
    <w:rsid w:val="00246648"/>
    <w:rsid w:val="002467EE"/>
    <w:rsid w:val="00246F2E"/>
    <w:rsid w:val="0024726E"/>
    <w:rsid w:val="00247441"/>
    <w:rsid w:val="00247901"/>
    <w:rsid w:val="00247D73"/>
    <w:rsid w:val="00247D90"/>
    <w:rsid w:val="00247DE6"/>
    <w:rsid w:val="00247DF8"/>
    <w:rsid w:val="00250273"/>
    <w:rsid w:val="002503F7"/>
    <w:rsid w:val="00250A0B"/>
    <w:rsid w:val="00250FDB"/>
    <w:rsid w:val="002511AC"/>
    <w:rsid w:val="00251631"/>
    <w:rsid w:val="00252434"/>
    <w:rsid w:val="00252676"/>
    <w:rsid w:val="00252CF8"/>
    <w:rsid w:val="00253024"/>
    <w:rsid w:val="0025343F"/>
    <w:rsid w:val="002534D6"/>
    <w:rsid w:val="00253527"/>
    <w:rsid w:val="00253567"/>
    <w:rsid w:val="002538C1"/>
    <w:rsid w:val="00254452"/>
    <w:rsid w:val="002544CC"/>
    <w:rsid w:val="00254B1B"/>
    <w:rsid w:val="00255C4B"/>
    <w:rsid w:val="00256153"/>
    <w:rsid w:val="002576C7"/>
    <w:rsid w:val="00257974"/>
    <w:rsid w:val="00257A97"/>
    <w:rsid w:val="00257FB9"/>
    <w:rsid w:val="002607D0"/>
    <w:rsid w:val="00260805"/>
    <w:rsid w:val="00260B18"/>
    <w:rsid w:val="00260E09"/>
    <w:rsid w:val="0026137E"/>
    <w:rsid w:val="00261DF4"/>
    <w:rsid w:val="00262A02"/>
    <w:rsid w:val="00262A29"/>
    <w:rsid w:val="00262B75"/>
    <w:rsid w:val="00262FDD"/>
    <w:rsid w:val="00263335"/>
    <w:rsid w:val="002636C2"/>
    <w:rsid w:val="00263809"/>
    <w:rsid w:val="002639A6"/>
    <w:rsid w:val="00263AD3"/>
    <w:rsid w:val="002642BB"/>
    <w:rsid w:val="002648A8"/>
    <w:rsid w:val="00264C0F"/>
    <w:rsid w:val="00264CBB"/>
    <w:rsid w:val="002650BD"/>
    <w:rsid w:val="00265A47"/>
    <w:rsid w:val="00265D76"/>
    <w:rsid w:val="00266338"/>
    <w:rsid w:val="0026659E"/>
    <w:rsid w:val="00266C67"/>
    <w:rsid w:val="00266F55"/>
    <w:rsid w:val="0026719B"/>
    <w:rsid w:val="00267745"/>
    <w:rsid w:val="00267CB0"/>
    <w:rsid w:val="0027019D"/>
    <w:rsid w:val="0027049C"/>
    <w:rsid w:val="002706C8"/>
    <w:rsid w:val="00270783"/>
    <w:rsid w:val="002711DF"/>
    <w:rsid w:val="002713D2"/>
    <w:rsid w:val="002713E9"/>
    <w:rsid w:val="002715A4"/>
    <w:rsid w:val="0027209D"/>
    <w:rsid w:val="0027281E"/>
    <w:rsid w:val="00272C7B"/>
    <w:rsid w:val="00272CB4"/>
    <w:rsid w:val="00273040"/>
    <w:rsid w:val="002731CE"/>
    <w:rsid w:val="0027326E"/>
    <w:rsid w:val="0027349C"/>
    <w:rsid w:val="002739C4"/>
    <w:rsid w:val="00273AA0"/>
    <w:rsid w:val="00273CBC"/>
    <w:rsid w:val="00273FA3"/>
    <w:rsid w:val="002740E6"/>
    <w:rsid w:val="0027421A"/>
    <w:rsid w:val="002742CF"/>
    <w:rsid w:val="0027443A"/>
    <w:rsid w:val="00274464"/>
    <w:rsid w:val="0027474B"/>
    <w:rsid w:val="00274F3D"/>
    <w:rsid w:val="00275112"/>
    <w:rsid w:val="00276189"/>
    <w:rsid w:val="00276326"/>
    <w:rsid w:val="002767E8"/>
    <w:rsid w:val="0027696F"/>
    <w:rsid w:val="00276A1A"/>
    <w:rsid w:val="00276DB1"/>
    <w:rsid w:val="0027705A"/>
    <w:rsid w:val="0027785B"/>
    <w:rsid w:val="00277BC7"/>
    <w:rsid w:val="00277D76"/>
    <w:rsid w:val="0028035D"/>
    <w:rsid w:val="00280BF1"/>
    <w:rsid w:val="00281430"/>
    <w:rsid w:val="00281964"/>
    <w:rsid w:val="00281990"/>
    <w:rsid w:val="002820D5"/>
    <w:rsid w:val="002821CA"/>
    <w:rsid w:val="00282564"/>
    <w:rsid w:val="002829A9"/>
    <w:rsid w:val="00282F32"/>
    <w:rsid w:val="0028336F"/>
    <w:rsid w:val="00283411"/>
    <w:rsid w:val="00283D1C"/>
    <w:rsid w:val="00283ECC"/>
    <w:rsid w:val="002842AA"/>
    <w:rsid w:val="002842D5"/>
    <w:rsid w:val="002843C2"/>
    <w:rsid w:val="002844DF"/>
    <w:rsid w:val="00284598"/>
    <w:rsid w:val="0028463E"/>
    <w:rsid w:val="00284688"/>
    <w:rsid w:val="00284A62"/>
    <w:rsid w:val="00284CD7"/>
    <w:rsid w:val="00284DE9"/>
    <w:rsid w:val="00284E4C"/>
    <w:rsid w:val="00284E7D"/>
    <w:rsid w:val="00284FC3"/>
    <w:rsid w:val="002850CC"/>
    <w:rsid w:val="00285482"/>
    <w:rsid w:val="002855D3"/>
    <w:rsid w:val="00285CDA"/>
    <w:rsid w:val="00285FC2"/>
    <w:rsid w:val="002863B1"/>
    <w:rsid w:val="00286416"/>
    <w:rsid w:val="002864F7"/>
    <w:rsid w:val="0028684C"/>
    <w:rsid w:val="00286FA2"/>
    <w:rsid w:val="0028734A"/>
    <w:rsid w:val="00287918"/>
    <w:rsid w:val="0028791C"/>
    <w:rsid w:val="00287A05"/>
    <w:rsid w:val="00287E56"/>
    <w:rsid w:val="00290022"/>
    <w:rsid w:val="00290215"/>
    <w:rsid w:val="00290B20"/>
    <w:rsid w:val="00291210"/>
    <w:rsid w:val="002916AC"/>
    <w:rsid w:val="002917F1"/>
    <w:rsid w:val="002918DC"/>
    <w:rsid w:val="00291C4A"/>
    <w:rsid w:val="00291DA1"/>
    <w:rsid w:val="00292115"/>
    <w:rsid w:val="002923C2"/>
    <w:rsid w:val="0029259D"/>
    <w:rsid w:val="00292BC7"/>
    <w:rsid w:val="00292C24"/>
    <w:rsid w:val="00292C8C"/>
    <w:rsid w:val="002935F7"/>
    <w:rsid w:val="00293914"/>
    <w:rsid w:val="00293B20"/>
    <w:rsid w:val="00294231"/>
    <w:rsid w:val="002943AA"/>
    <w:rsid w:val="002943AB"/>
    <w:rsid w:val="002943C6"/>
    <w:rsid w:val="00294484"/>
    <w:rsid w:val="0029472E"/>
    <w:rsid w:val="00294B97"/>
    <w:rsid w:val="00294D13"/>
    <w:rsid w:val="00294F44"/>
    <w:rsid w:val="00294F6E"/>
    <w:rsid w:val="00294FA8"/>
    <w:rsid w:val="002950CA"/>
    <w:rsid w:val="0029540B"/>
    <w:rsid w:val="0029577B"/>
    <w:rsid w:val="002959ED"/>
    <w:rsid w:val="00295CBE"/>
    <w:rsid w:val="002961A2"/>
    <w:rsid w:val="002968F6"/>
    <w:rsid w:val="00296AC3"/>
    <w:rsid w:val="00296D83"/>
    <w:rsid w:val="00296FD1"/>
    <w:rsid w:val="0029709D"/>
    <w:rsid w:val="002972CF"/>
    <w:rsid w:val="00297622"/>
    <w:rsid w:val="00297850"/>
    <w:rsid w:val="00297CA7"/>
    <w:rsid w:val="002A05E2"/>
    <w:rsid w:val="002A0A12"/>
    <w:rsid w:val="002A1834"/>
    <w:rsid w:val="002A1A3F"/>
    <w:rsid w:val="002A1E41"/>
    <w:rsid w:val="002A3503"/>
    <w:rsid w:val="002A3F96"/>
    <w:rsid w:val="002A4212"/>
    <w:rsid w:val="002A45F9"/>
    <w:rsid w:val="002A47CC"/>
    <w:rsid w:val="002A5418"/>
    <w:rsid w:val="002A5612"/>
    <w:rsid w:val="002A582C"/>
    <w:rsid w:val="002A5E9A"/>
    <w:rsid w:val="002A6208"/>
    <w:rsid w:val="002A7024"/>
    <w:rsid w:val="002A7115"/>
    <w:rsid w:val="002A717D"/>
    <w:rsid w:val="002A7608"/>
    <w:rsid w:val="002A763A"/>
    <w:rsid w:val="002A7D0F"/>
    <w:rsid w:val="002A7D30"/>
    <w:rsid w:val="002B02E8"/>
    <w:rsid w:val="002B05FA"/>
    <w:rsid w:val="002B0884"/>
    <w:rsid w:val="002B09FC"/>
    <w:rsid w:val="002B0FEB"/>
    <w:rsid w:val="002B15BB"/>
    <w:rsid w:val="002B1DD6"/>
    <w:rsid w:val="002B1EAF"/>
    <w:rsid w:val="002B1FA0"/>
    <w:rsid w:val="002B2E9B"/>
    <w:rsid w:val="002B3411"/>
    <w:rsid w:val="002B3F09"/>
    <w:rsid w:val="002B43D4"/>
    <w:rsid w:val="002B49A9"/>
    <w:rsid w:val="002B4A39"/>
    <w:rsid w:val="002B54A7"/>
    <w:rsid w:val="002B593C"/>
    <w:rsid w:val="002B5967"/>
    <w:rsid w:val="002B5A1C"/>
    <w:rsid w:val="002B66BD"/>
    <w:rsid w:val="002B6DE6"/>
    <w:rsid w:val="002B7437"/>
    <w:rsid w:val="002B761B"/>
    <w:rsid w:val="002B7679"/>
    <w:rsid w:val="002B76BD"/>
    <w:rsid w:val="002B7B12"/>
    <w:rsid w:val="002B7DD2"/>
    <w:rsid w:val="002C0267"/>
    <w:rsid w:val="002C0312"/>
    <w:rsid w:val="002C033B"/>
    <w:rsid w:val="002C04A3"/>
    <w:rsid w:val="002C0565"/>
    <w:rsid w:val="002C0D0A"/>
    <w:rsid w:val="002C0E8B"/>
    <w:rsid w:val="002C0F55"/>
    <w:rsid w:val="002C106F"/>
    <w:rsid w:val="002C1D0C"/>
    <w:rsid w:val="002C2463"/>
    <w:rsid w:val="002C2C75"/>
    <w:rsid w:val="002C2F38"/>
    <w:rsid w:val="002C3019"/>
    <w:rsid w:val="002C357C"/>
    <w:rsid w:val="002C38BC"/>
    <w:rsid w:val="002C394D"/>
    <w:rsid w:val="002C3DE0"/>
    <w:rsid w:val="002C3FA5"/>
    <w:rsid w:val="002C400A"/>
    <w:rsid w:val="002C42A5"/>
    <w:rsid w:val="002C4A85"/>
    <w:rsid w:val="002C4E7C"/>
    <w:rsid w:val="002C577B"/>
    <w:rsid w:val="002C5792"/>
    <w:rsid w:val="002C6335"/>
    <w:rsid w:val="002C6DA3"/>
    <w:rsid w:val="002C6E2E"/>
    <w:rsid w:val="002C70EB"/>
    <w:rsid w:val="002C71BB"/>
    <w:rsid w:val="002C7AD6"/>
    <w:rsid w:val="002D035D"/>
    <w:rsid w:val="002D0821"/>
    <w:rsid w:val="002D0AEC"/>
    <w:rsid w:val="002D0EDB"/>
    <w:rsid w:val="002D0F9E"/>
    <w:rsid w:val="002D11DC"/>
    <w:rsid w:val="002D14BF"/>
    <w:rsid w:val="002D17BB"/>
    <w:rsid w:val="002D1A0A"/>
    <w:rsid w:val="002D1DC9"/>
    <w:rsid w:val="002D1F4B"/>
    <w:rsid w:val="002D2485"/>
    <w:rsid w:val="002D24EE"/>
    <w:rsid w:val="002D26CE"/>
    <w:rsid w:val="002D2B61"/>
    <w:rsid w:val="002D346D"/>
    <w:rsid w:val="002D36DF"/>
    <w:rsid w:val="002D3A86"/>
    <w:rsid w:val="002D3C90"/>
    <w:rsid w:val="002D3E04"/>
    <w:rsid w:val="002D3E42"/>
    <w:rsid w:val="002D3F70"/>
    <w:rsid w:val="002D4167"/>
    <w:rsid w:val="002D44BE"/>
    <w:rsid w:val="002D4975"/>
    <w:rsid w:val="002D4B75"/>
    <w:rsid w:val="002D4BAF"/>
    <w:rsid w:val="002D5446"/>
    <w:rsid w:val="002D554D"/>
    <w:rsid w:val="002D593A"/>
    <w:rsid w:val="002D5A10"/>
    <w:rsid w:val="002D5A51"/>
    <w:rsid w:val="002D5DD8"/>
    <w:rsid w:val="002D621F"/>
    <w:rsid w:val="002D66F3"/>
    <w:rsid w:val="002D6E3D"/>
    <w:rsid w:val="002D7002"/>
    <w:rsid w:val="002D7516"/>
    <w:rsid w:val="002D75FE"/>
    <w:rsid w:val="002E02D1"/>
    <w:rsid w:val="002E055E"/>
    <w:rsid w:val="002E0628"/>
    <w:rsid w:val="002E06DC"/>
    <w:rsid w:val="002E0823"/>
    <w:rsid w:val="002E089A"/>
    <w:rsid w:val="002E0B5E"/>
    <w:rsid w:val="002E0B7B"/>
    <w:rsid w:val="002E17C1"/>
    <w:rsid w:val="002E1A65"/>
    <w:rsid w:val="002E1C75"/>
    <w:rsid w:val="002E1F68"/>
    <w:rsid w:val="002E2244"/>
    <w:rsid w:val="002E2287"/>
    <w:rsid w:val="002E2A50"/>
    <w:rsid w:val="002E2A8A"/>
    <w:rsid w:val="002E2C5D"/>
    <w:rsid w:val="002E309E"/>
    <w:rsid w:val="002E344E"/>
    <w:rsid w:val="002E377F"/>
    <w:rsid w:val="002E39F3"/>
    <w:rsid w:val="002E4162"/>
    <w:rsid w:val="002E4A3E"/>
    <w:rsid w:val="002E645C"/>
    <w:rsid w:val="002E6B8D"/>
    <w:rsid w:val="002E6C79"/>
    <w:rsid w:val="002E7121"/>
    <w:rsid w:val="002E7599"/>
    <w:rsid w:val="002E760A"/>
    <w:rsid w:val="002E76F9"/>
    <w:rsid w:val="002E7CE1"/>
    <w:rsid w:val="002E7D68"/>
    <w:rsid w:val="002F027C"/>
    <w:rsid w:val="002F02E3"/>
    <w:rsid w:val="002F03FE"/>
    <w:rsid w:val="002F0CDB"/>
    <w:rsid w:val="002F0D66"/>
    <w:rsid w:val="002F0ED2"/>
    <w:rsid w:val="002F0FCC"/>
    <w:rsid w:val="002F12DE"/>
    <w:rsid w:val="002F145D"/>
    <w:rsid w:val="002F15BB"/>
    <w:rsid w:val="002F1730"/>
    <w:rsid w:val="002F1F54"/>
    <w:rsid w:val="002F22B5"/>
    <w:rsid w:val="002F240F"/>
    <w:rsid w:val="002F2474"/>
    <w:rsid w:val="002F2788"/>
    <w:rsid w:val="002F2E11"/>
    <w:rsid w:val="002F2E41"/>
    <w:rsid w:val="002F3AB5"/>
    <w:rsid w:val="002F474F"/>
    <w:rsid w:val="002F47DE"/>
    <w:rsid w:val="002F48D9"/>
    <w:rsid w:val="002F51CB"/>
    <w:rsid w:val="002F529E"/>
    <w:rsid w:val="002F55A6"/>
    <w:rsid w:val="002F5969"/>
    <w:rsid w:val="002F5B01"/>
    <w:rsid w:val="002F6257"/>
    <w:rsid w:val="002F6C5B"/>
    <w:rsid w:val="002F7094"/>
    <w:rsid w:val="002F7713"/>
    <w:rsid w:val="0030001D"/>
    <w:rsid w:val="0030030B"/>
    <w:rsid w:val="00300750"/>
    <w:rsid w:val="00300A54"/>
    <w:rsid w:val="00300C10"/>
    <w:rsid w:val="00300D96"/>
    <w:rsid w:val="00301039"/>
    <w:rsid w:val="00301368"/>
    <w:rsid w:val="003013A9"/>
    <w:rsid w:val="00301682"/>
    <w:rsid w:val="00301DCB"/>
    <w:rsid w:val="0030206D"/>
    <w:rsid w:val="003022A1"/>
    <w:rsid w:val="00302665"/>
    <w:rsid w:val="00302A0A"/>
    <w:rsid w:val="003032D8"/>
    <w:rsid w:val="003033E7"/>
    <w:rsid w:val="003036FC"/>
    <w:rsid w:val="00303E70"/>
    <w:rsid w:val="00304121"/>
    <w:rsid w:val="0030507A"/>
    <w:rsid w:val="0030552A"/>
    <w:rsid w:val="00305C98"/>
    <w:rsid w:val="0030717B"/>
    <w:rsid w:val="00307208"/>
    <w:rsid w:val="00307213"/>
    <w:rsid w:val="003072DE"/>
    <w:rsid w:val="0030754C"/>
    <w:rsid w:val="00307597"/>
    <w:rsid w:val="003076B9"/>
    <w:rsid w:val="00307891"/>
    <w:rsid w:val="00307C08"/>
    <w:rsid w:val="00310617"/>
    <w:rsid w:val="00310650"/>
    <w:rsid w:val="003108D7"/>
    <w:rsid w:val="00310D35"/>
    <w:rsid w:val="00310D9B"/>
    <w:rsid w:val="003112E5"/>
    <w:rsid w:val="00311447"/>
    <w:rsid w:val="0031150F"/>
    <w:rsid w:val="0031158A"/>
    <w:rsid w:val="00311607"/>
    <w:rsid w:val="0031174E"/>
    <w:rsid w:val="003119E0"/>
    <w:rsid w:val="003123F4"/>
    <w:rsid w:val="00312A5C"/>
    <w:rsid w:val="00312FEF"/>
    <w:rsid w:val="0031399F"/>
    <w:rsid w:val="00313EB9"/>
    <w:rsid w:val="0031420A"/>
    <w:rsid w:val="00314424"/>
    <w:rsid w:val="00314768"/>
    <w:rsid w:val="00314D3C"/>
    <w:rsid w:val="0031530A"/>
    <w:rsid w:val="0031557A"/>
    <w:rsid w:val="00315998"/>
    <w:rsid w:val="0031643F"/>
    <w:rsid w:val="00316532"/>
    <w:rsid w:val="00316B4F"/>
    <w:rsid w:val="00316D30"/>
    <w:rsid w:val="00316E81"/>
    <w:rsid w:val="00317731"/>
    <w:rsid w:val="00317A46"/>
    <w:rsid w:val="00317D7B"/>
    <w:rsid w:val="0032010A"/>
    <w:rsid w:val="00320B10"/>
    <w:rsid w:val="00320E8C"/>
    <w:rsid w:val="003213DD"/>
    <w:rsid w:val="00321438"/>
    <w:rsid w:val="00321D1A"/>
    <w:rsid w:val="00321ED9"/>
    <w:rsid w:val="0032225A"/>
    <w:rsid w:val="00322CD9"/>
    <w:rsid w:val="003232DB"/>
    <w:rsid w:val="00323482"/>
    <w:rsid w:val="0032362B"/>
    <w:rsid w:val="0032478F"/>
    <w:rsid w:val="003249BF"/>
    <w:rsid w:val="00324DD6"/>
    <w:rsid w:val="003252EB"/>
    <w:rsid w:val="003253C9"/>
    <w:rsid w:val="00325A4C"/>
    <w:rsid w:val="00325ADE"/>
    <w:rsid w:val="00325F14"/>
    <w:rsid w:val="003261FF"/>
    <w:rsid w:val="00326520"/>
    <w:rsid w:val="00326D30"/>
    <w:rsid w:val="00326EF1"/>
    <w:rsid w:val="00327AD2"/>
    <w:rsid w:val="00327DEF"/>
    <w:rsid w:val="0033007D"/>
    <w:rsid w:val="00330AFA"/>
    <w:rsid w:val="00330D46"/>
    <w:rsid w:val="003313A8"/>
    <w:rsid w:val="003313CF"/>
    <w:rsid w:val="003316BE"/>
    <w:rsid w:val="00331715"/>
    <w:rsid w:val="003318E5"/>
    <w:rsid w:val="00331A8F"/>
    <w:rsid w:val="00331E39"/>
    <w:rsid w:val="0033257E"/>
    <w:rsid w:val="003327F0"/>
    <w:rsid w:val="0033299D"/>
    <w:rsid w:val="00332AAC"/>
    <w:rsid w:val="00332F68"/>
    <w:rsid w:val="003331BF"/>
    <w:rsid w:val="00333843"/>
    <w:rsid w:val="00334456"/>
    <w:rsid w:val="0033492C"/>
    <w:rsid w:val="003349F6"/>
    <w:rsid w:val="00335190"/>
    <w:rsid w:val="00335411"/>
    <w:rsid w:val="00335D4A"/>
    <w:rsid w:val="00336206"/>
    <w:rsid w:val="003366B8"/>
    <w:rsid w:val="00336B55"/>
    <w:rsid w:val="003370C3"/>
    <w:rsid w:val="0033777C"/>
    <w:rsid w:val="00337B6C"/>
    <w:rsid w:val="00337D8E"/>
    <w:rsid w:val="00337EB9"/>
    <w:rsid w:val="0034040C"/>
    <w:rsid w:val="00340A3A"/>
    <w:rsid w:val="00340EF9"/>
    <w:rsid w:val="0034141E"/>
    <w:rsid w:val="0034145C"/>
    <w:rsid w:val="0034191C"/>
    <w:rsid w:val="00341994"/>
    <w:rsid w:val="003419EB"/>
    <w:rsid w:val="00341AB1"/>
    <w:rsid w:val="00342474"/>
    <w:rsid w:val="00342B12"/>
    <w:rsid w:val="003432EA"/>
    <w:rsid w:val="003432F4"/>
    <w:rsid w:val="00343348"/>
    <w:rsid w:val="003435E6"/>
    <w:rsid w:val="0034400E"/>
    <w:rsid w:val="0034447D"/>
    <w:rsid w:val="00344BAC"/>
    <w:rsid w:val="00344C5B"/>
    <w:rsid w:val="003461F3"/>
    <w:rsid w:val="00346797"/>
    <w:rsid w:val="00347065"/>
    <w:rsid w:val="00347172"/>
    <w:rsid w:val="003476ED"/>
    <w:rsid w:val="00347BEC"/>
    <w:rsid w:val="00347D79"/>
    <w:rsid w:val="00350174"/>
    <w:rsid w:val="0035038F"/>
    <w:rsid w:val="00350771"/>
    <w:rsid w:val="00350F0F"/>
    <w:rsid w:val="00350FCC"/>
    <w:rsid w:val="00351210"/>
    <w:rsid w:val="00351732"/>
    <w:rsid w:val="00351739"/>
    <w:rsid w:val="003518BF"/>
    <w:rsid w:val="00352578"/>
    <w:rsid w:val="003525EE"/>
    <w:rsid w:val="00352BD7"/>
    <w:rsid w:val="00353133"/>
    <w:rsid w:val="00353531"/>
    <w:rsid w:val="00353CD8"/>
    <w:rsid w:val="00353E24"/>
    <w:rsid w:val="003544ED"/>
    <w:rsid w:val="00354600"/>
    <w:rsid w:val="00354C68"/>
    <w:rsid w:val="00354DFF"/>
    <w:rsid w:val="00355EB0"/>
    <w:rsid w:val="00355FA6"/>
    <w:rsid w:val="0035608B"/>
    <w:rsid w:val="003560E5"/>
    <w:rsid w:val="00356CFA"/>
    <w:rsid w:val="00357371"/>
    <w:rsid w:val="00357CD9"/>
    <w:rsid w:val="00357ECE"/>
    <w:rsid w:val="00360496"/>
    <w:rsid w:val="00360890"/>
    <w:rsid w:val="003608B4"/>
    <w:rsid w:val="003609F3"/>
    <w:rsid w:val="00360D82"/>
    <w:rsid w:val="00360EC6"/>
    <w:rsid w:val="00360F9F"/>
    <w:rsid w:val="00361072"/>
    <w:rsid w:val="00361B83"/>
    <w:rsid w:val="00361C2B"/>
    <w:rsid w:val="00361E4C"/>
    <w:rsid w:val="003623E2"/>
    <w:rsid w:val="00362514"/>
    <w:rsid w:val="00362C85"/>
    <w:rsid w:val="003632A0"/>
    <w:rsid w:val="00363CE9"/>
    <w:rsid w:val="00363DFE"/>
    <w:rsid w:val="003640CA"/>
    <w:rsid w:val="00364627"/>
    <w:rsid w:val="003653A8"/>
    <w:rsid w:val="003654E6"/>
    <w:rsid w:val="00365A2C"/>
    <w:rsid w:val="00365D21"/>
    <w:rsid w:val="00366301"/>
    <w:rsid w:val="00366667"/>
    <w:rsid w:val="00366B9D"/>
    <w:rsid w:val="0036723B"/>
    <w:rsid w:val="00367605"/>
    <w:rsid w:val="003677E0"/>
    <w:rsid w:val="00370156"/>
    <w:rsid w:val="003701EE"/>
    <w:rsid w:val="003709CD"/>
    <w:rsid w:val="00371461"/>
    <w:rsid w:val="003716FA"/>
    <w:rsid w:val="003721F8"/>
    <w:rsid w:val="0037236C"/>
    <w:rsid w:val="00372406"/>
    <w:rsid w:val="0037260B"/>
    <w:rsid w:val="00372BB8"/>
    <w:rsid w:val="00372CCD"/>
    <w:rsid w:val="00372D76"/>
    <w:rsid w:val="003733A8"/>
    <w:rsid w:val="003734FB"/>
    <w:rsid w:val="0037358D"/>
    <w:rsid w:val="00373659"/>
    <w:rsid w:val="00373698"/>
    <w:rsid w:val="003736E3"/>
    <w:rsid w:val="00373B72"/>
    <w:rsid w:val="00373BE1"/>
    <w:rsid w:val="00373E46"/>
    <w:rsid w:val="00373F37"/>
    <w:rsid w:val="00373F41"/>
    <w:rsid w:val="0037477D"/>
    <w:rsid w:val="003747E9"/>
    <w:rsid w:val="00374DF1"/>
    <w:rsid w:val="00375089"/>
    <w:rsid w:val="003756BD"/>
    <w:rsid w:val="0037583A"/>
    <w:rsid w:val="00375901"/>
    <w:rsid w:val="00375EAE"/>
    <w:rsid w:val="0037622C"/>
    <w:rsid w:val="003764C1"/>
    <w:rsid w:val="0037667A"/>
    <w:rsid w:val="00376C25"/>
    <w:rsid w:val="003772A8"/>
    <w:rsid w:val="003777AA"/>
    <w:rsid w:val="00377CEF"/>
    <w:rsid w:val="00377DB4"/>
    <w:rsid w:val="003800CB"/>
    <w:rsid w:val="00380136"/>
    <w:rsid w:val="00380191"/>
    <w:rsid w:val="00380557"/>
    <w:rsid w:val="003808E1"/>
    <w:rsid w:val="00380E56"/>
    <w:rsid w:val="0038103F"/>
    <w:rsid w:val="003810C6"/>
    <w:rsid w:val="00381393"/>
    <w:rsid w:val="003816EA"/>
    <w:rsid w:val="0038171D"/>
    <w:rsid w:val="003817A2"/>
    <w:rsid w:val="003819C4"/>
    <w:rsid w:val="00381A0E"/>
    <w:rsid w:val="003822BB"/>
    <w:rsid w:val="0038235F"/>
    <w:rsid w:val="00382A86"/>
    <w:rsid w:val="00382C03"/>
    <w:rsid w:val="0038304B"/>
    <w:rsid w:val="00383411"/>
    <w:rsid w:val="00383940"/>
    <w:rsid w:val="00383CE8"/>
    <w:rsid w:val="00383FDB"/>
    <w:rsid w:val="003845BE"/>
    <w:rsid w:val="003847B2"/>
    <w:rsid w:val="00384B47"/>
    <w:rsid w:val="00384CFA"/>
    <w:rsid w:val="0038503D"/>
    <w:rsid w:val="003851B0"/>
    <w:rsid w:val="00385679"/>
    <w:rsid w:val="00385BDA"/>
    <w:rsid w:val="00385F79"/>
    <w:rsid w:val="0038614E"/>
    <w:rsid w:val="00386FBB"/>
    <w:rsid w:val="003871D0"/>
    <w:rsid w:val="003871DA"/>
    <w:rsid w:val="00387794"/>
    <w:rsid w:val="00387BE1"/>
    <w:rsid w:val="00387C69"/>
    <w:rsid w:val="00387DA7"/>
    <w:rsid w:val="0039043F"/>
    <w:rsid w:val="00390898"/>
    <w:rsid w:val="00390A0B"/>
    <w:rsid w:val="00390C24"/>
    <w:rsid w:val="00390E2D"/>
    <w:rsid w:val="00390FB5"/>
    <w:rsid w:val="00390FFA"/>
    <w:rsid w:val="003916D7"/>
    <w:rsid w:val="003918DF"/>
    <w:rsid w:val="00391B73"/>
    <w:rsid w:val="00391D36"/>
    <w:rsid w:val="00391E4B"/>
    <w:rsid w:val="003922CE"/>
    <w:rsid w:val="003926E6"/>
    <w:rsid w:val="00392BDD"/>
    <w:rsid w:val="00392DE0"/>
    <w:rsid w:val="00392EFB"/>
    <w:rsid w:val="00393271"/>
    <w:rsid w:val="0039329C"/>
    <w:rsid w:val="00393BCC"/>
    <w:rsid w:val="00394029"/>
    <w:rsid w:val="00394631"/>
    <w:rsid w:val="00394A66"/>
    <w:rsid w:val="00394A7D"/>
    <w:rsid w:val="00394EA8"/>
    <w:rsid w:val="00395A8D"/>
    <w:rsid w:val="00395AA9"/>
    <w:rsid w:val="00395ED1"/>
    <w:rsid w:val="00395F7C"/>
    <w:rsid w:val="003963EA"/>
    <w:rsid w:val="00396CFF"/>
    <w:rsid w:val="00397572"/>
    <w:rsid w:val="003A09CA"/>
    <w:rsid w:val="003A0A26"/>
    <w:rsid w:val="003A10BA"/>
    <w:rsid w:val="003A1B7E"/>
    <w:rsid w:val="003A2054"/>
    <w:rsid w:val="003A21B3"/>
    <w:rsid w:val="003A2260"/>
    <w:rsid w:val="003A2325"/>
    <w:rsid w:val="003A24FA"/>
    <w:rsid w:val="003A2851"/>
    <w:rsid w:val="003A2C4B"/>
    <w:rsid w:val="003A2D81"/>
    <w:rsid w:val="003A2E97"/>
    <w:rsid w:val="003A439B"/>
    <w:rsid w:val="003A48D9"/>
    <w:rsid w:val="003A4916"/>
    <w:rsid w:val="003A4ABB"/>
    <w:rsid w:val="003A4EE1"/>
    <w:rsid w:val="003A5357"/>
    <w:rsid w:val="003A5784"/>
    <w:rsid w:val="003A592F"/>
    <w:rsid w:val="003A5B69"/>
    <w:rsid w:val="003A60CC"/>
    <w:rsid w:val="003A696D"/>
    <w:rsid w:val="003A6D0F"/>
    <w:rsid w:val="003A70F2"/>
    <w:rsid w:val="003A7CC9"/>
    <w:rsid w:val="003A7DD3"/>
    <w:rsid w:val="003B0174"/>
    <w:rsid w:val="003B07A0"/>
    <w:rsid w:val="003B0BA2"/>
    <w:rsid w:val="003B0CBC"/>
    <w:rsid w:val="003B0E0F"/>
    <w:rsid w:val="003B0E73"/>
    <w:rsid w:val="003B0F75"/>
    <w:rsid w:val="003B12F8"/>
    <w:rsid w:val="003B1776"/>
    <w:rsid w:val="003B1937"/>
    <w:rsid w:val="003B19CA"/>
    <w:rsid w:val="003B1AB7"/>
    <w:rsid w:val="003B1B61"/>
    <w:rsid w:val="003B1BA5"/>
    <w:rsid w:val="003B1F94"/>
    <w:rsid w:val="003B27DD"/>
    <w:rsid w:val="003B3837"/>
    <w:rsid w:val="003B3C51"/>
    <w:rsid w:val="003B4352"/>
    <w:rsid w:val="003B5027"/>
    <w:rsid w:val="003B5709"/>
    <w:rsid w:val="003B58A8"/>
    <w:rsid w:val="003B5D7B"/>
    <w:rsid w:val="003B5FB3"/>
    <w:rsid w:val="003B6394"/>
    <w:rsid w:val="003B6999"/>
    <w:rsid w:val="003B6A37"/>
    <w:rsid w:val="003B6B56"/>
    <w:rsid w:val="003B728D"/>
    <w:rsid w:val="003B73EF"/>
    <w:rsid w:val="003B7C89"/>
    <w:rsid w:val="003C100F"/>
    <w:rsid w:val="003C105F"/>
    <w:rsid w:val="003C1328"/>
    <w:rsid w:val="003C15EA"/>
    <w:rsid w:val="003C1C81"/>
    <w:rsid w:val="003C24B5"/>
    <w:rsid w:val="003C24FC"/>
    <w:rsid w:val="003C2B44"/>
    <w:rsid w:val="003C2D6E"/>
    <w:rsid w:val="003C2E6E"/>
    <w:rsid w:val="003C30A1"/>
    <w:rsid w:val="003C33CA"/>
    <w:rsid w:val="003C3FEE"/>
    <w:rsid w:val="003C411D"/>
    <w:rsid w:val="003C413E"/>
    <w:rsid w:val="003C4877"/>
    <w:rsid w:val="003C4C45"/>
    <w:rsid w:val="003C4ED4"/>
    <w:rsid w:val="003C54B5"/>
    <w:rsid w:val="003C5913"/>
    <w:rsid w:val="003C6417"/>
    <w:rsid w:val="003C6AF3"/>
    <w:rsid w:val="003C6CA0"/>
    <w:rsid w:val="003C6E6A"/>
    <w:rsid w:val="003C7130"/>
    <w:rsid w:val="003C7A2D"/>
    <w:rsid w:val="003C7A77"/>
    <w:rsid w:val="003C7A9D"/>
    <w:rsid w:val="003C7B09"/>
    <w:rsid w:val="003D0511"/>
    <w:rsid w:val="003D05AA"/>
    <w:rsid w:val="003D06A8"/>
    <w:rsid w:val="003D09B8"/>
    <w:rsid w:val="003D0AE9"/>
    <w:rsid w:val="003D0B38"/>
    <w:rsid w:val="003D0C1C"/>
    <w:rsid w:val="003D0CDB"/>
    <w:rsid w:val="003D0E57"/>
    <w:rsid w:val="003D0F7A"/>
    <w:rsid w:val="003D131F"/>
    <w:rsid w:val="003D1CCE"/>
    <w:rsid w:val="003D2513"/>
    <w:rsid w:val="003D2C18"/>
    <w:rsid w:val="003D3A23"/>
    <w:rsid w:val="003D402A"/>
    <w:rsid w:val="003D46DD"/>
    <w:rsid w:val="003D4A81"/>
    <w:rsid w:val="003D4FE6"/>
    <w:rsid w:val="003D52EF"/>
    <w:rsid w:val="003D5491"/>
    <w:rsid w:val="003D54C2"/>
    <w:rsid w:val="003D596B"/>
    <w:rsid w:val="003D5BEA"/>
    <w:rsid w:val="003D5DFD"/>
    <w:rsid w:val="003D6196"/>
    <w:rsid w:val="003D646F"/>
    <w:rsid w:val="003D6531"/>
    <w:rsid w:val="003D65A8"/>
    <w:rsid w:val="003D683C"/>
    <w:rsid w:val="003D6B4C"/>
    <w:rsid w:val="003D6C76"/>
    <w:rsid w:val="003D6CE4"/>
    <w:rsid w:val="003D6D4D"/>
    <w:rsid w:val="003D7023"/>
    <w:rsid w:val="003D771F"/>
    <w:rsid w:val="003E0547"/>
    <w:rsid w:val="003E091E"/>
    <w:rsid w:val="003E0937"/>
    <w:rsid w:val="003E0F5B"/>
    <w:rsid w:val="003E1077"/>
    <w:rsid w:val="003E1201"/>
    <w:rsid w:val="003E1264"/>
    <w:rsid w:val="003E185F"/>
    <w:rsid w:val="003E23AF"/>
    <w:rsid w:val="003E24EB"/>
    <w:rsid w:val="003E265C"/>
    <w:rsid w:val="003E2ABC"/>
    <w:rsid w:val="003E2CDF"/>
    <w:rsid w:val="003E3EF9"/>
    <w:rsid w:val="003E4415"/>
    <w:rsid w:val="003E46A1"/>
    <w:rsid w:val="003E4786"/>
    <w:rsid w:val="003E47E3"/>
    <w:rsid w:val="003E48ED"/>
    <w:rsid w:val="003E5548"/>
    <w:rsid w:val="003E5BD4"/>
    <w:rsid w:val="003E6CC2"/>
    <w:rsid w:val="003E6E5A"/>
    <w:rsid w:val="003E742B"/>
    <w:rsid w:val="003F0592"/>
    <w:rsid w:val="003F0787"/>
    <w:rsid w:val="003F07FD"/>
    <w:rsid w:val="003F0BD3"/>
    <w:rsid w:val="003F0FAB"/>
    <w:rsid w:val="003F0FDE"/>
    <w:rsid w:val="003F109A"/>
    <w:rsid w:val="003F16B1"/>
    <w:rsid w:val="003F1F03"/>
    <w:rsid w:val="003F2097"/>
    <w:rsid w:val="003F25C8"/>
    <w:rsid w:val="003F2AE2"/>
    <w:rsid w:val="003F32CF"/>
    <w:rsid w:val="003F51BA"/>
    <w:rsid w:val="003F5383"/>
    <w:rsid w:val="003F53DF"/>
    <w:rsid w:val="003F5819"/>
    <w:rsid w:val="003F5967"/>
    <w:rsid w:val="003F59B4"/>
    <w:rsid w:val="003F59DB"/>
    <w:rsid w:val="003F5FA7"/>
    <w:rsid w:val="003F6791"/>
    <w:rsid w:val="003F6899"/>
    <w:rsid w:val="003F6D0E"/>
    <w:rsid w:val="003F6DEA"/>
    <w:rsid w:val="003F7321"/>
    <w:rsid w:val="003F7886"/>
    <w:rsid w:val="003F78CD"/>
    <w:rsid w:val="003F7916"/>
    <w:rsid w:val="00400062"/>
    <w:rsid w:val="004001EB"/>
    <w:rsid w:val="00400500"/>
    <w:rsid w:val="00400537"/>
    <w:rsid w:val="00400FCC"/>
    <w:rsid w:val="00401099"/>
    <w:rsid w:val="0040128E"/>
    <w:rsid w:val="004014E1"/>
    <w:rsid w:val="00401895"/>
    <w:rsid w:val="004019AC"/>
    <w:rsid w:val="00401A06"/>
    <w:rsid w:val="00401F49"/>
    <w:rsid w:val="004028AA"/>
    <w:rsid w:val="00402C01"/>
    <w:rsid w:val="00402E6A"/>
    <w:rsid w:val="00403933"/>
    <w:rsid w:val="00403EDD"/>
    <w:rsid w:val="00403F7B"/>
    <w:rsid w:val="004040D3"/>
    <w:rsid w:val="0040462D"/>
    <w:rsid w:val="00404F26"/>
    <w:rsid w:val="004053EC"/>
    <w:rsid w:val="004058C9"/>
    <w:rsid w:val="00406262"/>
    <w:rsid w:val="00406924"/>
    <w:rsid w:val="00406C46"/>
    <w:rsid w:val="00406E93"/>
    <w:rsid w:val="00407044"/>
    <w:rsid w:val="004072EF"/>
    <w:rsid w:val="00407302"/>
    <w:rsid w:val="004076AF"/>
    <w:rsid w:val="004077A5"/>
    <w:rsid w:val="0040798E"/>
    <w:rsid w:val="00407E02"/>
    <w:rsid w:val="00410FF5"/>
    <w:rsid w:val="004114A7"/>
    <w:rsid w:val="004115AD"/>
    <w:rsid w:val="00411912"/>
    <w:rsid w:val="00411A77"/>
    <w:rsid w:val="00412106"/>
    <w:rsid w:val="00412B40"/>
    <w:rsid w:val="00412C34"/>
    <w:rsid w:val="00412F93"/>
    <w:rsid w:val="00413A0D"/>
    <w:rsid w:val="00413F58"/>
    <w:rsid w:val="0041498B"/>
    <w:rsid w:val="00414D35"/>
    <w:rsid w:val="004150D9"/>
    <w:rsid w:val="0041563B"/>
    <w:rsid w:val="00415A59"/>
    <w:rsid w:val="00416159"/>
    <w:rsid w:val="00416196"/>
    <w:rsid w:val="00416528"/>
    <w:rsid w:val="0041682F"/>
    <w:rsid w:val="00416D4F"/>
    <w:rsid w:val="00417481"/>
    <w:rsid w:val="0041775A"/>
    <w:rsid w:val="00417985"/>
    <w:rsid w:val="00417DC1"/>
    <w:rsid w:val="00417E99"/>
    <w:rsid w:val="0042006A"/>
    <w:rsid w:val="00420389"/>
    <w:rsid w:val="00420500"/>
    <w:rsid w:val="00420634"/>
    <w:rsid w:val="0042077F"/>
    <w:rsid w:val="00420A94"/>
    <w:rsid w:val="00420B82"/>
    <w:rsid w:val="00420DB0"/>
    <w:rsid w:val="0042115E"/>
    <w:rsid w:val="0042122B"/>
    <w:rsid w:val="00421D40"/>
    <w:rsid w:val="00421DB0"/>
    <w:rsid w:val="00421E63"/>
    <w:rsid w:val="00422223"/>
    <w:rsid w:val="004224E9"/>
    <w:rsid w:val="00422697"/>
    <w:rsid w:val="00422E5E"/>
    <w:rsid w:val="0042357C"/>
    <w:rsid w:val="004238A7"/>
    <w:rsid w:val="00423B58"/>
    <w:rsid w:val="00424772"/>
    <w:rsid w:val="00424D89"/>
    <w:rsid w:val="00426035"/>
    <w:rsid w:val="004262D0"/>
    <w:rsid w:val="00426308"/>
    <w:rsid w:val="00426316"/>
    <w:rsid w:val="00426B13"/>
    <w:rsid w:val="00426D9A"/>
    <w:rsid w:val="00427F3E"/>
    <w:rsid w:val="0043018E"/>
    <w:rsid w:val="004303C2"/>
    <w:rsid w:val="0043078B"/>
    <w:rsid w:val="004310BF"/>
    <w:rsid w:val="00431D57"/>
    <w:rsid w:val="004320A9"/>
    <w:rsid w:val="004323CC"/>
    <w:rsid w:val="0043281B"/>
    <w:rsid w:val="00432C41"/>
    <w:rsid w:val="00432CB7"/>
    <w:rsid w:val="00432DF8"/>
    <w:rsid w:val="004332A5"/>
    <w:rsid w:val="00433FCF"/>
    <w:rsid w:val="00434782"/>
    <w:rsid w:val="00434932"/>
    <w:rsid w:val="0043499E"/>
    <w:rsid w:val="00434B15"/>
    <w:rsid w:val="00435285"/>
    <w:rsid w:val="004352A6"/>
    <w:rsid w:val="00435370"/>
    <w:rsid w:val="0043548C"/>
    <w:rsid w:val="00435679"/>
    <w:rsid w:val="004356E1"/>
    <w:rsid w:val="00436173"/>
    <w:rsid w:val="00436544"/>
    <w:rsid w:val="00436819"/>
    <w:rsid w:val="00437830"/>
    <w:rsid w:val="00437D86"/>
    <w:rsid w:val="00440282"/>
    <w:rsid w:val="0044079B"/>
    <w:rsid w:val="00440C0F"/>
    <w:rsid w:val="00440CB7"/>
    <w:rsid w:val="00440F57"/>
    <w:rsid w:val="004415DA"/>
    <w:rsid w:val="00442A67"/>
    <w:rsid w:val="00442F60"/>
    <w:rsid w:val="00444030"/>
    <w:rsid w:val="00444354"/>
    <w:rsid w:val="004444BF"/>
    <w:rsid w:val="004447D8"/>
    <w:rsid w:val="00445123"/>
    <w:rsid w:val="0044596C"/>
    <w:rsid w:val="00445BE7"/>
    <w:rsid w:val="004465DD"/>
    <w:rsid w:val="00446985"/>
    <w:rsid w:val="00446A96"/>
    <w:rsid w:val="00446B27"/>
    <w:rsid w:val="00446FC8"/>
    <w:rsid w:val="0044718D"/>
    <w:rsid w:val="00447808"/>
    <w:rsid w:val="004478F8"/>
    <w:rsid w:val="00450823"/>
    <w:rsid w:val="00450FDB"/>
    <w:rsid w:val="0045111B"/>
    <w:rsid w:val="0045165B"/>
    <w:rsid w:val="00451B5E"/>
    <w:rsid w:val="00451B83"/>
    <w:rsid w:val="00452BFD"/>
    <w:rsid w:val="00452DEF"/>
    <w:rsid w:val="00453210"/>
    <w:rsid w:val="0045357C"/>
    <w:rsid w:val="00453802"/>
    <w:rsid w:val="00453884"/>
    <w:rsid w:val="004538EF"/>
    <w:rsid w:val="0045399B"/>
    <w:rsid w:val="004548CE"/>
    <w:rsid w:val="00454D18"/>
    <w:rsid w:val="00454DB5"/>
    <w:rsid w:val="00454E5A"/>
    <w:rsid w:val="00454EF6"/>
    <w:rsid w:val="004550E7"/>
    <w:rsid w:val="00455BB5"/>
    <w:rsid w:val="00455EB6"/>
    <w:rsid w:val="00455FAA"/>
    <w:rsid w:val="00456251"/>
    <w:rsid w:val="004562D2"/>
    <w:rsid w:val="00456485"/>
    <w:rsid w:val="00456561"/>
    <w:rsid w:val="00456565"/>
    <w:rsid w:val="004565AF"/>
    <w:rsid w:val="00457024"/>
    <w:rsid w:val="00457BE4"/>
    <w:rsid w:val="00457CAD"/>
    <w:rsid w:val="00457D39"/>
    <w:rsid w:val="0046054E"/>
    <w:rsid w:val="004605A7"/>
    <w:rsid w:val="0046081D"/>
    <w:rsid w:val="00460897"/>
    <w:rsid w:val="00460A9A"/>
    <w:rsid w:val="00460C3F"/>
    <w:rsid w:val="00460DCE"/>
    <w:rsid w:val="004618CA"/>
    <w:rsid w:val="00461E50"/>
    <w:rsid w:val="00461EF9"/>
    <w:rsid w:val="004626A7"/>
    <w:rsid w:val="004627D8"/>
    <w:rsid w:val="004628FF"/>
    <w:rsid w:val="00462DD0"/>
    <w:rsid w:val="004632C0"/>
    <w:rsid w:val="00463339"/>
    <w:rsid w:val="00463479"/>
    <w:rsid w:val="00463768"/>
    <w:rsid w:val="004638B2"/>
    <w:rsid w:val="00463972"/>
    <w:rsid w:val="00463A05"/>
    <w:rsid w:val="00463C9E"/>
    <w:rsid w:val="004640D6"/>
    <w:rsid w:val="004641E6"/>
    <w:rsid w:val="00464891"/>
    <w:rsid w:val="00464BF7"/>
    <w:rsid w:val="00464EA2"/>
    <w:rsid w:val="004653F2"/>
    <w:rsid w:val="004654BD"/>
    <w:rsid w:val="00465EF0"/>
    <w:rsid w:val="004662BF"/>
    <w:rsid w:val="00466528"/>
    <w:rsid w:val="00466A46"/>
    <w:rsid w:val="00466A58"/>
    <w:rsid w:val="004674A5"/>
    <w:rsid w:val="00467898"/>
    <w:rsid w:val="00467D71"/>
    <w:rsid w:val="00467F5D"/>
    <w:rsid w:val="004701E0"/>
    <w:rsid w:val="00470302"/>
    <w:rsid w:val="0047061F"/>
    <w:rsid w:val="0047063C"/>
    <w:rsid w:val="00470670"/>
    <w:rsid w:val="00470990"/>
    <w:rsid w:val="004709AD"/>
    <w:rsid w:val="004709F7"/>
    <w:rsid w:val="00470B2B"/>
    <w:rsid w:val="00470FF8"/>
    <w:rsid w:val="00471E05"/>
    <w:rsid w:val="00472066"/>
    <w:rsid w:val="004723FD"/>
    <w:rsid w:val="004729D0"/>
    <w:rsid w:val="00472F98"/>
    <w:rsid w:val="0047326F"/>
    <w:rsid w:val="004734C3"/>
    <w:rsid w:val="0047401B"/>
    <w:rsid w:val="004742BB"/>
    <w:rsid w:val="004745CF"/>
    <w:rsid w:val="004748A8"/>
    <w:rsid w:val="00474DAC"/>
    <w:rsid w:val="00474DFE"/>
    <w:rsid w:val="00474E38"/>
    <w:rsid w:val="00475E2A"/>
    <w:rsid w:val="00475E63"/>
    <w:rsid w:val="00476AD6"/>
    <w:rsid w:val="00476B25"/>
    <w:rsid w:val="0047767B"/>
    <w:rsid w:val="00477883"/>
    <w:rsid w:val="0047792E"/>
    <w:rsid w:val="0048086B"/>
    <w:rsid w:val="004808C3"/>
    <w:rsid w:val="00480C0A"/>
    <w:rsid w:val="00480D1D"/>
    <w:rsid w:val="00481442"/>
    <w:rsid w:val="00481511"/>
    <w:rsid w:val="00481CC2"/>
    <w:rsid w:val="0048274F"/>
    <w:rsid w:val="00482978"/>
    <w:rsid w:val="00482C3A"/>
    <w:rsid w:val="00482EEE"/>
    <w:rsid w:val="00483392"/>
    <w:rsid w:val="004833BD"/>
    <w:rsid w:val="00483BF3"/>
    <w:rsid w:val="00483D83"/>
    <w:rsid w:val="00484072"/>
    <w:rsid w:val="00484309"/>
    <w:rsid w:val="00484314"/>
    <w:rsid w:val="0048492F"/>
    <w:rsid w:val="00484D2E"/>
    <w:rsid w:val="00484FD8"/>
    <w:rsid w:val="00485678"/>
    <w:rsid w:val="004856BB"/>
    <w:rsid w:val="00485DC2"/>
    <w:rsid w:val="00485F3D"/>
    <w:rsid w:val="0048608C"/>
    <w:rsid w:val="00486594"/>
    <w:rsid w:val="004867F2"/>
    <w:rsid w:val="004869F0"/>
    <w:rsid w:val="00486FA3"/>
    <w:rsid w:val="0048748A"/>
    <w:rsid w:val="00487698"/>
    <w:rsid w:val="004907DA"/>
    <w:rsid w:val="00490ADA"/>
    <w:rsid w:val="00490CCB"/>
    <w:rsid w:val="00490F10"/>
    <w:rsid w:val="004914B5"/>
    <w:rsid w:val="004918AD"/>
    <w:rsid w:val="00491907"/>
    <w:rsid w:val="00491A8D"/>
    <w:rsid w:val="00491B74"/>
    <w:rsid w:val="00491BB1"/>
    <w:rsid w:val="00491C5A"/>
    <w:rsid w:val="00492193"/>
    <w:rsid w:val="00492BA2"/>
    <w:rsid w:val="00492EF1"/>
    <w:rsid w:val="00492F93"/>
    <w:rsid w:val="004938A5"/>
    <w:rsid w:val="00493B08"/>
    <w:rsid w:val="0049466E"/>
    <w:rsid w:val="00494740"/>
    <w:rsid w:val="00494E43"/>
    <w:rsid w:val="00495019"/>
    <w:rsid w:val="00495797"/>
    <w:rsid w:val="00495800"/>
    <w:rsid w:val="00495AC7"/>
    <w:rsid w:val="00495D4B"/>
    <w:rsid w:val="0049607D"/>
    <w:rsid w:val="0049613A"/>
    <w:rsid w:val="00496195"/>
    <w:rsid w:val="0049665B"/>
    <w:rsid w:val="00496995"/>
    <w:rsid w:val="00496DDD"/>
    <w:rsid w:val="00496F36"/>
    <w:rsid w:val="00497389"/>
    <w:rsid w:val="00497745"/>
    <w:rsid w:val="004979EB"/>
    <w:rsid w:val="004A0458"/>
    <w:rsid w:val="004A0A27"/>
    <w:rsid w:val="004A19E5"/>
    <w:rsid w:val="004A1B6E"/>
    <w:rsid w:val="004A2675"/>
    <w:rsid w:val="004A2AEE"/>
    <w:rsid w:val="004A2F94"/>
    <w:rsid w:val="004A324D"/>
    <w:rsid w:val="004A3441"/>
    <w:rsid w:val="004A3A6B"/>
    <w:rsid w:val="004A3C32"/>
    <w:rsid w:val="004A3FDC"/>
    <w:rsid w:val="004A4276"/>
    <w:rsid w:val="004A4286"/>
    <w:rsid w:val="004A4980"/>
    <w:rsid w:val="004A4FB2"/>
    <w:rsid w:val="004A59E5"/>
    <w:rsid w:val="004A5E48"/>
    <w:rsid w:val="004A5E9E"/>
    <w:rsid w:val="004A6144"/>
    <w:rsid w:val="004A6AC2"/>
    <w:rsid w:val="004A6DA7"/>
    <w:rsid w:val="004A72FC"/>
    <w:rsid w:val="004A78CB"/>
    <w:rsid w:val="004A791E"/>
    <w:rsid w:val="004A7B7D"/>
    <w:rsid w:val="004B07AC"/>
    <w:rsid w:val="004B095E"/>
    <w:rsid w:val="004B12CF"/>
    <w:rsid w:val="004B2558"/>
    <w:rsid w:val="004B27B5"/>
    <w:rsid w:val="004B2D78"/>
    <w:rsid w:val="004B2F25"/>
    <w:rsid w:val="004B381E"/>
    <w:rsid w:val="004B4B82"/>
    <w:rsid w:val="004B601E"/>
    <w:rsid w:val="004B625B"/>
    <w:rsid w:val="004B6B28"/>
    <w:rsid w:val="004B75D5"/>
    <w:rsid w:val="004B77F9"/>
    <w:rsid w:val="004B7861"/>
    <w:rsid w:val="004B7CA2"/>
    <w:rsid w:val="004B7CAF"/>
    <w:rsid w:val="004B7D35"/>
    <w:rsid w:val="004B7EE4"/>
    <w:rsid w:val="004C009B"/>
    <w:rsid w:val="004C00C0"/>
    <w:rsid w:val="004C0376"/>
    <w:rsid w:val="004C053B"/>
    <w:rsid w:val="004C0A26"/>
    <w:rsid w:val="004C0A2E"/>
    <w:rsid w:val="004C0B14"/>
    <w:rsid w:val="004C0FDB"/>
    <w:rsid w:val="004C1520"/>
    <w:rsid w:val="004C175D"/>
    <w:rsid w:val="004C1E2F"/>
    <w:rsid w:val="004C21BE"/>
    <w:rsid w:val="004C2357"/>
    <w:rsid w:val="004C2A66"/>
    <w:rsid w:val="004C2D3B"/>
    <w:rsid w:val="004C2FB3"/>
    <w:rsid w:val="004C3104"/>
    <w:rsid w:val="004C38B5"/>
    <w:rsid w:val="004C3A03"/>
    <w:rsid w:val="004C3B0F"/>
    <w:rsid w:val="004C3DA0"/>
    <w:rsid w:val="004C3F9C"/>
    <w:rsid w:val="004C400A"/>
    <w:rsid w:val="004C44E8"/>
    <w:rsid w:val="004C47A9"/>
    <w:rsid w:val="004C4D21"/>
    <w:rsid w:val="004C5B9C"/>
    <w:rsid w:val="004C5EAF"/>
    <w:rsid w:val="004C649E"/>
    <w:rsid w:val="004C6A12"/>
    <w:rsid w:val="004C6A56"/>
    <w:rsid w:val="004C6AF3"/>
    <w:rsid w:val="004C74AF"/>
    <w:rsid w:val="004C751F"/>
    <w:rsid w:val="004C7A38"/>
    <w:rsid w:val="004C7E96"/>
    <w:rsid w:val="004D01C5"/>
    <w:rsid w:val="004D06CA"/>
    <w:rsid w:val="004D07C6"/>
    <w:rsid w:val="004D09F7"/>
    <w:rsid w:val="004D0B4A"/>
    <w:rsid w:val="004D0F85"/>
    <w:rsid w:val="004D0F9A"/>
    <w:rsid w:val="004D100C"/>
    <w:rsid w:val="004D1058"/>
    <w:rsid w:val="004D14E3"/>
    <w:rsid w:val="004D2152"/>
    <w:rsid w:val="004D2590"/>
    <w:rsid w:val="004D313B"/>
    <w:rsid w:val="004D37C5"/>
    <w:rsid w:val="004D37DC"/>
    <w:rsid w:val="004D3907"/>
    <w:rsid w:val="004D3A57"/>
    <w:rsid w:val="004D3DBB"/>
    <w:rsid w:val="004D46F0"/>
    <w:rsid w:val="004D4770"/>
    <w:rsid w:val="004D4778"/>
    <w:rsid w:val="004D4A17"/>
    <w:rsid w:val="004D545F"/>
    <w:rsid w:val="004D5E23"/>
    <w:rsid w:val="004D60D1"/>
    <w:rsid w:val="004D60E8"/>
    <w:rsid w:val="004D6242"/>
    <w:rsid w:val="004D7E94"/>
    <w:rsid w:val="004D7EB5"/>
    <w:rsid w:val="004E0188"/>
    <w:rsid w:val="004E0AAC"/>
    <w:rsid w:val="004E0E1B"/>
    <w:rsid w:val="004E12EC"/>
    <w:rsid w:val="004E1467"/>
    <w:rsid w:val="004E1995"/>
    <w:rsid w:val="004E1C1F"/>
    <w:rsid w:val="004E27FE"/>
    <w:rsid w:val="004E2BB9"/>
    <w:rsid w:val="004E2D27"/>
    <w:rsid w:val="004E2F10"/>
    <w:rsid w:val="004E303B"/>
    <w:rsid w:val="004E308B"/>
    <w:rsid w:val="004E39CE"/>
    <w:rsid w:val="004E403F"/>
    <w:rsid w:val="004E4146"/>
    <w:rsid w:val="004E4171"/>
    <w:rsid w:val="004E50AB"/>
    <w:rsid w:val="004E51A4"/>
    <w:rsid w:val="004E5211"/>
    <w:rsid w:val="004E5446"/>
    <w:rsid w:val="004E56A8"/>
    <w:rsid w:val="004E56C1"/>
    <w:rsid w:val="004E577D"/>
    <w:rsid w:val="004E5B24"/>
    <w:rsid w:val="004E604E"/>
    <w:rsid w:val="004E64AD"/>
    <w:rsid w:val="004E67E1"/>
    <w:rsid w:val="004E6FC4"/>
    <w:rsid w:val="004E73F1"/>
    <w:rsid w:val="004E78F4"/>
    <w:rsid w:val="004E7E24"/>
    <w:rsid w:val="004E7F1B"/>
    <w:rsid w:val="004F007D"/>
    <w:rsid w:val="004F011D"/>
    <w:rsid w:val="004F055E"/>
    <w:rsid w:val="004F0A5C"/>
    <w:rsid w:val="004F0EBD"/>
    <w:rsid w:val="004F1374"/>
    <w:rsid w:val="004F1516"/>
    <w:rsid w:val="004F1613"/>
    <w:rsid w:val="004F19B5"/>
    <w:rsid w:val="004F1AC9"/>
    <w:rsid w:val="004F1B16"/>
    <w:rsid w:val="004F1CFF"/>
    <w:rsid w:val="004F210A"/>
    <w:rsid w:val="004F239F"/>
    <w:rsid w:val="004F37E5"/>
    <w:rsid w:val="004F3EB7"/>
    <w:rsid w:val="004F5016"/>
    <w:rsid w:val="004F5112"/>
    <w:rsid w:val="004F53A2"/>
    <w:rsid w:val="004F60B2"/>
    <w:rsid w:val="004F66E6"/>
    <w:rsid w:val="004F6D4B"/>
    <w:rsid w:val="004F737F"/>
    <w:rsid w:val="004F74FD"/>
    <w:rsid w:val="004F7A07"/>
    <w:rsid w:val="005001AE"/>
    <w:rsid w:val="00500922"/>
    <w:rsid w:val="00500969"/>
    <w:rsid w:val="0050101D"/>
    <w:rsid w:val="005015F2"/>
    <w:rsid w:val="0050179C"/>
    <w:rsid w:val="0050196D"/>
    <w:rsid w:val="00501E0D"/>
    <w:rsid w:val="005022A7"/>
    <w:rsid w:val="00502439"/>
    <w:rsid w:val="00502732"/>
    <w:rsid w:val="00502E48"/>
    <w:rsid w:val="00503098"/>
    <w:rsid w:val="00503A98"/>
    <w:rsid w:val="005043EF"/>
    <w:rsid w:val="00504872"/>
    <w:rsid w:val="00504D35"/>
    <w:rsid w:val="0050507C"/>
    <w:rsid w:val="00505437"/>
    <w:rsid w:val="00505AB4"/>
    <w:rsid w:val="00505AE4"/>
    <w:rsid w:val="00505C09"/>
    <w:rsid w:val="00505E8B"/>
    <w:rsid w:val="00506840"/>
    <w:rsid w:val="00506871"/>
    <w:rsid w:val="00506A51"/>
    <w:rsid w:val="00506C13"/>
    <w:rsid w:val="0050719D"/>
    <w:rsid w:val="00507526"/>
    <w:rsid w:val="00507700"/>
    <w:rsid w:val="005077FB"/>
    <w:rsid w:val="00507B94"/>
    <w:rsid w:val="00507EF3"/>
    <w:rsid w:val="00507F23"/>
    <w:rsid w:val="00510351"/>
    <w:rsid w:val="00510ABD"/>
    <w:rsid w:val="00510B00"/>
    <w:rsid w:val="00510F48"/>
    <w:rsid w:val="00510F4B"/>
    <w:rsid w:val="00511221"/>
    <w:rsid w:val="005115E1"/>
    <w:rsid w:val="00511F68"/>
    <w:rsid w:val="0051230A"/>
    <w:rsid w:val="0051279E"/>
    <w:rsid w:val="00512BB2"/>
    <w:rsid w:val="00512FC1"/>
    <w:rsid w:val="005131DE"/>
    <w:rsid w:val="0051378E"/>
    <w:rsid w:val="005137AD"/>
    <w:rsid w:val="0051463E"/>
    <w:rsid w:val="00514922"/>
    <w:rsid w:val="0051543F"/>
    <w:rsid w:val="005155DC"/>
    <w:rsid w:val="00516010"/>
    <w:rsid w:val="005164B0"/>
    <w:rsid w:val="0051679D"/>
    <w:rsid w:val="005167A1"/>
    <w:rsid w:val="00517B19"/>
    <w:rsid w:val="00517C02"/>
    <w:rsid w:val="00517C11"/>
    <w:rsid w:val="00517CE5"/>
    <w:rsid w:val="00517D66"/>
    <w:rsid w:val="00517F96"/>
    <w:rsid w:val="00520A7F"/>
    <w:rsid w:val="00521725"/>
    <w:rsid w:val="00521967"/>
    <w:rsid w:val="00521A38"/>
    <w:rsid w:val="00521C23"/>
    <w:rsid w:val="00521CDA"/>
    <w:rsid w:val="00521FAF"/>
    <w:rsid w:val="00522281"/>
    <w:rsid w:val="005223CB"/>
    <w:rsid w:val="00522AD0"/>
    <w:rsid w:val="00522D7A"/>
    <w:rsid w:val="00522D8B"/>
    <w:rsid w:val="00522DF9"/>
    <w:rsid w:val="00522F8B"/>
    <w:rsid w:val="0052316D"/>
    <w:rsid w:val="005234B8"/>
    <w:rsid w:val="0052377E"/>
    <w:rsid w:val="0052393F"/>
    <w:rsid w:val="00523C1D"/>
    <w:rsid w:val="00523D6E"/>
    <w:rsid w:val="005240F4"/>
    <w:rsid w:val="00524302"/>
    <w:rsid w:val="0052452B"/>
    <w:rsid w:val="0052492D"/>
    <w:rsid w:val="005256A3"/>
    <w:rsid w:val="00525AC2"/>
    <w:rsid w:val="00525C36"/>
    <w:rsid w:val="00526254"/>
    <w:rsid w:val="005265AF"/>
    <w:rsid w:val="00526D19"/>
    <w:rsid w:val="0052768F"/>
    <w:rsid w:val="00527D31"/>
    <w:rsid w:val="00530050"/>
    <w:rsid w:val="0053039B"/>
    <w:rsid w:val="00530742"/>
    <w:rsid w:val="00530773"/>
    <w:rsid w:val="00530971"/>
    <w:rsid w:val="00530A8B"/>
    <w:rsid w:val="0053108B"/>
    <w:rsid w:val="00531382"/>
    <w:rsid w:val="00531691"/>
    <w:rsid w:val="00531E50"/>
    <w:rsid w:val="005321A0"/>
    <w:rsid w:val="00532200"/>
    <w:rsid w:val="00532415"/>
    <w:rsid w:val="00532FA5"/>
    <w:rsid w:val="005330D0"/>
    <w:rsid w:val="005337DF"/>
    <w:rsid w:val="00533A76"/>
    <w:rsid w:val="00533AB5"/>
    <w:rsid w:val="00533D94"/>
    <w:rsid w:val="0053444A"/>
    <w:rsid w:val="00534899"/>
    <w:rsid w:val="005348FB"/>
    <w:rsid w:val="00534938"/>
    <w:rsid w:val="00534FFB"/>
    <w:rsid w:val="0053551F"/>
    <w:rsid w:val="0053569C"/>
    <w:rsid w:val="00535BA7"/>
    <w:rsid w:val="0053627A"/>
    <w:rsid w:val="005363D1"/>
    <w:rsid w:val="00536BE9"/>
    <w:rsid w:val="00537069"/>
    <w:rsid w:val="00537935"/>
    <w:rsid w:val="00540035"/>
    <w:rsid w:val="00540361"/>
    <w:rsid w:val="0054072F"/>
    <w:rsid w:val="0054120C"/>
    <w:rsid w:val="00541B9C"/>
    <w:rsid w:val="00541C26"/>
    <w:rsid w:val="0054230A"/>
    <w:rsid w:val="005426FB"/>
    <w:rsid w:val="0054282C"/>
    <w:rsid w:val="005428EF"/>
    <w:rsid w:val="00542947"/>
    <w:rsid w:val="00542A04"/>
    <w:rsid w:val="00543155"/>
    <w:rsid w:val="005436A7"/>
    <w:rsid w:val="00543B4E"/>
    <w:rsid w:val="00543CB0"/>
    <w:rsid w:val="00543F0A"/>
    <w:rsid w:val="00543F26"/>
    <w:rsid w:val="005440AE"/>
    <w:rsid w:val="005443A2"/>
    <w:rsid w:val="005445B9"/>
    <w:rsid w:val="0054480C"/>
    <w:rsid w:val="00544C86"/>
    <w:rsid w:val="00545052"/>
    <w:rsid w:val="005455C7"/>
    <w:rsid w:val="00546122"/>
    <w:rsid w:val="00546532"/>
    <w:rsid w:val="00546841"/>
    <w:rsid w:val="005469F5"/>
    <w:rsid w:val="00546D83"/>
    <w:rsid w:val="00546F02"/>
    <w:rsid w:val="0054714D"/>
    <w:rsid w:val="005511C1"/>
    <w:rsid w:val="00551627"/>
    <w:rsid w:val="005518B5"/>
    <w:rsid w:val="00552012"/>
    <w:rsid w:val="00552599"/>
    <w:rsid w:val="00552B76"/>
    <w:rsid w:val="00552C0E"/>
    <w:rsid w:val="0055364A"/>
    <w:rsid w:val="0055374A"/>
    <w:rsid w:val="005538FB"/>
    <w:rsid w:val="00553B43"/>
    <w:rsid w:val="00553BE4"/>
    <w:rsid w:val="00554284"/>
    <w:rsid w:val="005545BA"/>
    <w:rsid w:val="00555624"/>
    <w:rsid w:val="00555D49"/>
    <w:rsid w:val="005561F4"/>
    <w:rsid w:val="00556309"/>
    <w:rsid w:val="0055648D"/>
    <w:rsid w:val="00556B99"/>
    <w:rsid w:val="00556C68"/>
    <w:rsid w:val="00556F16"/>
    <w:rsid w:val="00557FE5"/>
    <w:rsid w:val="0056013D"/>
    <w:rsid w:val="00560B3A"/>
    <w:rsid w:val="00560BEB"/>
    <w:rsid w:val="00560D7F"/>
    <w:rsid w:val="005613D1"/>
    <w:rsid w:val="0056168E"/>
    <w:rsid w:val="00561EB1"/>
    <w:rsid w:val="0056221C"/>
    <w:rsid w:val="005626E3"/>
    <w:rsid w:val="0056283D"/>
    <w:rsid w:val="00562939"/>
    <w:rsid w:val="00562F6D"/>
    <w:rsid w:val="00563EEC"/>
    <w:rsid w:val="00564037"/>
    <w:rsid w:val="005641F0"/>
    <w:rsid w:val="00564268"/>
    <w:rsid w:val="00564D18"/>
    <w:rsid w:val="00564E5C"/>
    <w:rsid w:val="00564F01"/>
    <w:rsid w:val="00565353"/>
    <w:rsid w:val="00565DE1"/>
    <w:rsid w:val="0056613F"/>
    <w:rsid w:val="0056630C"/>
    <w:rsid w:val="0056659C"/>
    <w:rsid w:val="005665F6"/>
    <w:rsid w:val="00566732"/>
    <w:rsid w:val="00566785"/>
    <w:rsid w:val="00566F6B"/>
    <w:rsid w:val="00566FB5"/>
    <w:rsid w:val="00567198"/>
    <w:rsid w:val="005671A9"/>
    <w:rsid w:val="00570731"/>
    <w:rsid w:val="005709E9"/>
    <w:rsid w:val="00570AC1"/>
    <w:rsid w:val="00570F17"/>
    <w:rsid w:val="00571158"/>
    <w:rsid w:val="0057141D"/>
    <w:rsid w:val="00571659"/>
    <w:rsid w:val="005716A6"/>
    <w:rsid w:val="0057194D"/>
    <w:rsid w:val="005731E9"/>
    <w:rsid w:val="00573E2E"/>
    <w:rsid w:val="005740E0"/>
    <w:rsid w:val="00575363"/>
    <w:rsid w:val="005755DE"/>
    <w:rsid w:val="00575AC0"/>
    <w:rsid w:val="00575D79"/>
    <w:rsid w:val="00575DDF"/>
    <w:rsid w:val="00575E5B"/>
    <w:rsid w:val="00575E9C"/>
    <w:rsid w:val="00575EBF"/>
    <w:rsid w:val="00576067"/>
    <w:rsid w:val="00576821"/>
    <w:rsid w:val="00576B2F"/>
    <w:rsid w:val="00576CAC"/>
    <w:rsid w:val="00577C0E"/>
    <w:rsid w:val="00577DE4"/>
    <w:rsid w:val="00580268"/>
    <w:rsid w:val="005805B0"/>
    <w:rsid w:val="00580C65"/>
    <w:rsid w:val="00581F58"/>
    <w:rsid w:val="005820E3"/>
    <w:rsid w:val="00582F05"/>
    <w:rsid w:val="00582F77"/>
    <w:rsid w:val="00583022"/>
    <w:rsid w:val="0058327C"/>
    <w:rsid w:val="0058331D"/>
    <w:rsid w:val="00583902"/>
    <w:rsid w:val="0058400D"/>
    <w:rsid w:val="00584376"/>
    <w:rsid w:val="005844B1"/>
    <w:rsid w:val="00584689"/>
    <w:rsid w:val="005854F9"/>
    <w:rsid w:val="00585B1E"/>
    <w:rsid w:val="00585CEF"/>
    <w:rsid w:val="00585F04"/>
    <w:rsid w:val="005865F6"/>
    <w:rsid w:val="0058660B"/>
    <w:rsid w:val="0058679A"/>
    <w:rsid w:val="005867B1"/>
    <w:rsid w:val="0058680A"/>
    <w:rsid w:val="0058692A"/>
    <w:rsid w:val="005869DE"/>
    <w:rsid w:val="00586EC3"/>
    <w:rsid w:val="005872DD"/>
    <w:rsid w:val="00587C87"/>
    <w:rsid w:val="00587D87"/>
    <w:rsid w:val="005902E2"/>
    <w:rsid w:val="005903E6"/>
    <w:rsid w:val="00590758"/>
    <w:rsid w:val="00591252"/>
    <w:rsid w:val="00591516"/>
    <w:rsid w:val="005919B6"/>
    <w:rsid w:val="0059222B"/>
    <w:rsid w:val="00592375"/>
    <w:rsid w:val="005928E2"/>
    <w:rsid w:val="00592EDF"/>
    <w:rsid w:val="00593591"/>
    <w:rsid w:val="0059371A"/>
    <w:rsid w:val="0059384A"/>
    <w:rsid w:val="00593F4B"/>
    <w:rsid w:val="00594400"/>
    <w:rsid w:val="005946D7"/>
    <w:rsid w:val="00594E21"/>
    <w:rsid w:val="00595104"/>
    <w:rsid w:val="00595C6D"/>
    <w:rsid w:val="0059623A"/>
    <w:rsid w:val="0059625B"/>
    <w:rsid w:val="00596336"/>
    <w:rsid w:val="005963B4"/>
    <w:rsid w:val="00596436"/>
    <w:rsid w:val="0059695D"/>
    <w:rsid w:val="005972DB"/>
    <w:rsid w:val="00597391"/>
    <w:rsid w:val="00597658"/>
    <w:rsid w:val="00597BD8"/>
    <w:rsid w:val="00597CF1"/>
    <w:rsid w:val="005A007D"/>
    <w:rsid w:val="005A0734"/>
    <w:rsid w:val="005A0988"/>
    <w:rsid w:val="005A0B2F"/>
    <w:rsid w:val="005A0FA2"/>
    <w:rsid w:val="005A2B52"/>
    <w:rsid w:val="005A314A"/>
    <w:rsid w:val="005A3BEC"/>
    <w:rsid w:val="005A3EEF"/>
    <w:rsid w:val="005A45E2"/>
    <w:rsid w:val="005A4E1D"/>
    <w:rsid w:val="005A5070"/>
    <w:rsid w:val="005A50B5"/>
    <w:rsid w:val="005A510B"/>
    <w:rsid w:val="005A52D8"/>
    <w:rsid w:val="005A5EBB"/>
    <w:rsid w:val="005A5ED5"/>
    <w:rsid w:val="005A6039"/>
    <w:rsid w:val="005A6102"/>
    <w:rsid w:val="005A642B"/>
    <w:rsid w:val="005A6643"/>
    <w:rsid w:val="005A6CFE"/>
    <w:rsid w:val="005A7244"/>
    <w:rsid w:val="005A7833"/>
    <w:rsid w:val="005B002A"/>
    <w:rsid w:val="005B090C"/>
    <w:rsid w:val="005B1017"/>
    <w:rsid w:val="005B11AA"/>
    <w:rsid w:val="005B12AA"/>
    <w:rsid w:val="005B1311"/>
    <w:rsid w:val="005B1542"/>
    <w:rsid w:val="005B17C0"/>
    <w:rsid w:val="005B1E81"/>
    <w:rsid w:val="005B20AD"/>
    <w:rsid w:val="005B230B"/>
    <w:rsid w:val="005B2768"/>
    <w:rsid w:val="005B279C"/>
    <w:rsid w:val="005B28D4"/>
    <w:rsid w:val="005B2D46"/>
    <w:rsid w:val="005B3010"/>
    <w:rsid w:val="005B32C2"/>
    <w:rsid w:val="005B351C"/>
    <w:rsid w:val="005B38E9"/>
    <w:rsid w:val="005B3DFE"/>
    <w:rsid w:val="005B4004"/>
    <w:rsid w:val="005B4107"/>
    <w:rsid w:val="005B418F"/>
    <w:rsid w:val="005B42EB"/>
    <w:rsid w:val="005B43F5"/>
    <w:rsid w:val="005B443D"/>
    <w:rsid w:val="005B46B0"/>
    <w:rsid w:val="005B4CCC"/>
    <w:rsid w:val="005B4D74"/>
    <w:rsid w:val="005B4E7A"/>
    <w:rsid w:val="005B565D"/>
    <w:rsid w:val="005B58D1"/>
    <w:rsid w:val="005B5916"/>
    <w:rsid w:val="005B59CD"/>
    <w:rsid w:val="005B5D5A"/>
    <w:rsid w:val="005B5F2D"/>
    <w:rsid w:val="005B5F38"/>
    <w:rsid w:val="005B6911"/>
    <w:rsid w:val="005B6A24"/>
    <w:rsid w:val="005B6B65"/>
    <w:rsid w:val="005B7944"/>
    <w:rsid w:val="005C048E"/>
    <w:rsid w:val="005C051F"/>
    <w:rsid w:val="005C0D8B"/>
    <w:rsid w:val="005C0EB4"/>
    <w:rsid w:val="005C189F"/>
    <w:rsid w:val="005C1A20"/>
    <w:rsid w:val="005C1A85"/>
    <w:rsid w:val="005C1BE4"/>
    <w:rsid w:val="005C1C7E"/>
    <w:rsid w:val="005C2153"/>
    <w:rsid w:val="005C2196"/>
    <w:rsid w:val="005C2525"/>
    <w:rsid w:val="005C2C73"/>
    <w:rsid w:val="005C2E8A"/>
    <w:rsid w:val="005C2F3B"/>
    <w:rsid w:val="005C30A2"/>
    <w:rsid w:val="005C31FF"/>
    <w:rsid w:val="005C3736"/>
    <w:rsid w:val="005C3956"/>
    <w:rsid w:val="005C3985"/>
    <w:rsid w:val="005C3BFA"/>
    <w:rsid w:val="005C3E1A"/>
    <w:rsid w:val="005C4331"/>
    <w:rsid w:val="005C4356"/>
    <w:rsid w:val="005C51BC"/>
    <w:rsid w:val="005C5F67"/>
    <w:rsid w:val="005C5FE4"/>
    <w:rsid w:val="005C629C"/>
    <w:rsid w:val="005C6A08"/>
    <w:rsid w:val="005C6C74"/>
    <w:rsid w:val="005C7098"/>
    <w:rsid w:val="005C76BE"/>
    <w:rsid w:val="005C79B4"/>
    <w:rsid w:val="005C79C0"/>
    <w:rsid w:val="005C7A64"/>
    <w:rsid w:val="005C7BD1"/>
    <w:rsid w:val="005C7BE2"/>
    <w:rsid w:val="005C7F29"/>
    <w:rsid w:val="005D0075"/>
    <w:rsid w:val="005D009E"/>
    <w:rsid w:val="005D0171"/>
    <w:rsid w:val="005D018F"/>
    <w:rsid w:val="005D0DBF"/>
    <w:rsid w:val="005D13B9"/>
    <w:rsid w:val="005D161F"/>
    <w:rsid w:val="005D1AB8"/>
    <w:rsid w:val="005D1B94"/>
    <w:rsid w:val="005D1DA6"/>
    <w:rsid w:val="005D1DAD"/>
    <w:rsid w:val="005D20F7"/>
    <w:rsid w:val="005D21A1"/>
    <w:rsid w:val="005D28FA"/>
    <w:rsid w:val="005D2C17"/>
    <w:rsid w:val="005D2DED"/>
    <w:rsid w:val="005D2E4E"/>
    <w:rsid w:val="005D2EC2"/>
    <w:rsid w:val="005D30D0"/>
    <w:rsid w:val="005D3154"/>
    <w:rsid w:val="005D31C3"/>
    <w:rsid w:val="005D3E3C"/>
    <w:rsid w:val="005D40D0"/>
    <w:rsid w:val="005D4287"/>
    <w:rsid w:val="005D451A"/>
    <w:rsid w:val="005D47AA"/>
    <w:rsid w:val="005D5584"/>
    <w:rsid w:val="005D5779"/>
    <w:rsid w:val="005D61FF"/>
    <w:rsid w:val="005D6265"/>
    <w:rsid w:val="005D65DD"/>
    <w:rsid w:val="005D6986"/>
    <w:rsid w:val="005D6B9E"/>
    <w:rsid w:val="005D72FF"/>
    <w:rsid w:val="005D7E22"/>
    <w:rsid w:val="005D7E26"/>
    <w:rsid w:val="005D7F22"/>
    <w:rsid w:val="005E060F"/>
    <w:rsid w:val="005E0A6D"/>
    <w:rsid w:val="005E0AF6"/>
    <w:rsid w:val="005E166B"/>
    <w:rsid w:val="005E20A2"/>
    <w:rsid w:val="005E225E"/>
    <w:rsid w:val="005E287A"/>
    <w:rsid w:val="005E2AD6"/>
    <w:rsid w:val="005E2B0C"/>
    <w:rsid w:val="005E31E0"/>
    <w:rsid w:val="005E3535"/>
    <w:rsid w:val="005E4312"/>
    <w:rsid w:val="005E4681"/>
    <w:rsid w:val="005E4839"/>
    <w:rsid w:val="005E51A4"/>
    <w:rsid w:val="005E6075"/>
    <w:rsid w:val="005E6121"/>
    <w:rsid w:val="005E6B59"/>
    <w:rsid w:val="005E6CFC"/>
    <w:rsid w:val="005E6E98"/>
    <w:rsid w:val="005E764C"/>
    <w:rsid w:val="005E7800"/>
    <w:rsid w:val="005F05C0"/>
    <w:rsid w:val="005F07A7"/>
    <w:rsid w:val="005F0858"/>
    <w:rsid w:val="005F1153"/>
    <w:rsid w:val="005F15D9"/>
    <w:rsid w:val="005F1630"/>
    <w:rsid w:val="005F1749"/>
    <w:rsid w:val="005F18A4"/>
    <w:rsid w:val="005F1AD1"/>
    <w:rsid w:val="005F1C9D"/>
    <w:rsid w:val="005F1D40"/>
    <w:rsid w:val="005F2C3B"/>
    <w:rsid w:val="005F2C98"/>
    <w:rsid w:val="005F3320"/>
    <w:rsid w:val="005F349A"/>
    <w:rsid w:val="005F4584"/>
    <w:rsid w:val="005F493A"/>
    <w:rsid w:val="005F4A11"/>
    <w:rsid w:val="005F4CBF"/>
    <w:rsid w:val="005F5175"/>
    <w:rsid w:val="005F5350"/>
    <w:rsid w:val="005F57ED"/>
    <w:rsid w:val="005F5AE1"/>
    <w:rsid w:val="005F5C22"/>
    <w:rsid w:val="005F5F36"/>
    <w:rsid w:val="005F603E"/>
    <w:rsid w:val="005F63B1"/>
    <w:rsid w:val="005F668C"/>
    <w:rsid w:val="005F7303"/>
    <w:rsid w:val="006006A6"/>
    <w:rsid w:val="0060087C"/>
    <w:rsid w:val="006008B8"/>
    <w:rsid w:val="006009A6"/>
    <w:rsid w:val="00600F3E"/>
    <w:rsid w:val="00600F71"/>
    <w:rsid w:val="00601472"/>
    <w:rsid w:val="00601794"/>
    <w:rsid w:val="00601892"/>
    <w:rsid w:val="006019D2"/>
    <w:rsid w:val="006028D5"/>
    <w:rsid w:val="00602B89"/>
    <w:rsid w:val="00603017"/>
    <w:rsid w:val="0060302D"/>
    <w:rsid w:val="00603043"/>
    <w:rsid w:val="006039E4"/>
    <w:rsid w:val="00603A1D"/>
    <w:rsid w:val="00603BDD"/>
    <w:rsid w:val="006044B6"/>
    <w:rsid w:val="0060475E"/>
    <w:rsid w:val="006047F4"/>
    <w:rsid w:val="00604D49"/>
    <w:rsid w:val="00605BF1"/>
    <w:rsid w:val="00606057"/>
    <w:rsid w:val="00606ADE"/>
    <w:rsid w:val="0060775C"/>
    <w:rsid w:val="00607EBE"/>
    <w:rsid w:val="00607EFD"/>
    <w:rsid w:val="00607F43"/>
    <w:rsid w:val="00607FDC"/>
    <w:rsid w:val="00610A14"/>
    <w:rsid w:val="00611027"/>
    <w:rsid w:val="00611383"/>
    <w:rsid w:val="006118DC"/>
    <w:rsid w:val="00611908"/>
    <w:rsid w:val="00611A58"/>
    <w:rsid w:val="006121E1"/>
    <w:rsid w:val="00612238"/>
    <w:rsid w:val="00612529"/>
    <w:rsid w:val="006127CD"/>
    <w:rsid w:val="006131CC"/>
    <w:rsid w:val="00613847"/>
    <w:rsid w:val="00613E01"/>
    <w:rsid w:val="00613E40"/>
    <w:rsid w:val="006141F3"/>
    <w:rsid w:val="006146DE"/>
    <w:rsid w:val="0061508E"/>
    <w:rsid w:val="00615337"/>
    <w:rsid w:val="0061549A"/>
    <w:rsid w:val="006157E5"/>
    <w:rsid w:val="006162F7"/>
    <w:rsid w:val="00616A20"/>
    <w:rsid w:val="0061761C"/>
    <w:rsid w:val="006178C1"/>
    <w:rsid w:val="00617B60"/>
    <w:rsid w:val="0062051C"/>
    <w:rsid w:val="00620A61"/>
    <w:rsid w:val="00620B01"/>
    <w:rsid w:val="00621A26"/>
    <w:rsid w:val="00621C63"/>
    <w:rsid w:val="00621DF6"/>
    <w:rsid w:val="00621FC1"/>
    <w:rsid w:val="006222B8"/>
    <w:rsid w:val="006225E4"/>
    <w:rsid w:val="006229FB"/>
    <w:rsid w:val="00622EE9"/>
    <w:rsid w:val="00623400"/>
    <w:rsid w:val="00623664"/>
    <w:rsid w:val="006237AE"/>
    <w:rsid w:val="006237B2"/>
    <w:rsid w:val="00623CC8"/>
    <w:rsid w:val="00623CFB"/>
    <w:rsid w:val="00624255"/>
    <w:rsid w:val="006242E8"/>
    <w:rsid w:val="00624453"/>
    <w:rsid w:val="006246CC"/>
    <w:rsid w:val="00624BD9"/>
    <w:rsid w:val="00624C60"/>
    <w:rsid w:val="00625A56"/>
    <w:rsid w:val="00626206"/>
    <w:rsid w:val="00626E3F"/>
    <w:rsid w:val="00627B95"/>
    <w:rsid w:val="00627E85"/>
    <w:rsid w:val="00627F24"/>
    <w:rsid w:val="006301EE"/>
    <w:rsid w:val="006302AE"/>
    <w:rsid w:val="0063073F"/>
    <w:rsid w:val="00630CC5"/>
    <w:rsid w:val="00631045"/>
    <w:rsid w:val="00631CAB"/>
    <w:rsid w:val="0063240C"/>
    <w:rsid w:val="00632472"/>
    <w:rsid w:val="00632745"/>
    <w:rsid w:val="00632880"/>
    <w:rsid w:val="00632973"/>
    <w:rsid w:val="006329DB"/>
    <w:rsid w:val="00632FFD"/>
    <w:rsid w:val="006334FC"/>
    <w:rsid w:val="00633707"/>
    <w:rsid w:val="006340A3"/>
    <w:rsid w:val="006347A5"/>
    <w:rsid w:val="00634E20"/>
    <w:rsid w:val="00635563"/>
    <w:rsid w:val="00635B37"/>
    <w:rsid w:val="00636B66"/>
    <w:rsid w:val="00637381"/>
    <w:rsid w:val="0063763A"/>
    <w:rsid w:val="006378F1"/>
    <w:rsid w:val="006378F6"/>
    <w:rsid w:val="00637D9A"/>
    <w:rsid w:val="00640622"/>
    <w:rsid w:val="006408E5"/>
    <w:rsid w:val="006414F4"/>
    <w:rsid w:val="006416B4"/>
    <w:rsid w:val="00641A90"/>
    <w:rsid w:val="00641B4A"/>
    <w:rsid w:val="00641CC2"/>
    <w:rsid w:val="0064254D"/>
    <w:rsid w:val="00642A6E"/>
    <w:rsid w:val="00642E3B"/>
    <w:rsid w:val="00642F4F"/>
    <w:rsid w:val="00643BB3"/>
    <w:rsid w:val="006448B2"/>
    <w:rsid w:val="00644A25"/>
    <w:rsid w:val="00644AAD"/>
    <w:rsid w:val="00644AD1"/>
    <w:rsid w:val="00644BBC"/>
    <w:rsid w:val="00644DE5"/>
    <w:rsid w:val="0064587B"/>
    <w:rsid w:val="00645AAF"/>
    <w:rsid w:val="00645C71"/>
    <w:rsid w:val="00645DF9"/>
    <w:rsid w:val="00646883"/>
    <w:rsid w:val="0064691B"/>
    <w:rsid w:val="00646B49"/>
    <w:rsid w:val="00646E93"/>
    <w:rsid w:val="00646F41"/>
    <w:rsid w:val="006472D6"/>
    <w:rsid w:val="00647642"/>
    <w:rsid w:val="006479DB"/>
    <w:rsid w:val="006502EB"/>
    <w:rsid w:val="00650429"/>
    <w:rsid w:val="006504FB"/>
    <w:rsid w:val="0065057C"/>
    <w:rsid w:val="006509D2"/>
    <w:rsid w:val="00650EAA"/>
    <w:rsid w:val="00651683"/>
    <w:rsid w:val="00651932"/>
    <w:rsid w:val="00651AA6"/>
    <w:rsid w:val="006520F4"/>
    <w:rsid w:val="006521D7"/>
    <w:rsid w:val="00652228"/>
    <w:rsid w:val="00652971"/>
    <w:rsid w:val="00652B98"/>
    <w:rsid w:val="00653892"/>
    <w:rsid w:val="00653946"/>
    <w:rsid w:val="00653ADD"/>
    <w:rsid w:val="00653BBE"/>
    <w:rsid w:val="00653E41"/>
    <w:rsid w:val="00653FA1"/>
    <w:rsid w:val="006541F3"/>
    <w:rsid w:val="00654855"/>
    <w:rsid w:val="0065555A"/>
    <w:rsid w:val="00655568"/>
    <w:rsid w:val="00655C7B"/>
    <w:rsid w:val="006560A9"/>
    <w:rsid w:val="0065624F"/>
    <w:rsid w:val="0065645A"/>
    <w:rsid w:val="00656963"/>
    <w:rsid w:val="00657145"/>
    <w:rsid w:val="006572D1"/>
    <w:rsid w:val="00657510"/>
    <w:rsid w:val="00657A1E"/>
    <w:rsid w:val="00657AE7"/>
    <w:rsid w:val="00657B70"/>
    <w:rsid w:val="00657B73"/>
    <w:rsid w:val="0066003D"/>
    <w:rsid w:val="00660109"/>
    <w:rsid w:val="00660C76"/>
    <w:rsid w:val="00660E8E"/>
    <w:rsid w:val="00661A82"/>
    <w:rsid w:val="006621C2"/>
    <w:rsid w:val="00662304"/>
    <w:rsid w:val="0066266C"/>
    <w:rsid w:val="00662714"/>
    <w:rsid w:val="00662B63"/>
    <w:rsid w:val="00662C9F"/>
    <w:rsid w:val="00662E43"/>
    <w:rsid w:val="00662FB0"/>
    <w:rsid w:val="00662FF2"/>
    <w:rsid w:val="0066356A"/>
    <w:rsid w:val="00663885"/>
    <w:rsid w:val="00663954"/>
    <w:rsid w:val="00663C3B"/>
    <w:rsid w:val="00663FD5"/>
    <w:rsid w:val="00664018"/>
    <w:rsid w:val="006641D3"/>
    <w:rsid w:val="006642CF"/>
    <w:rsid w:val="00664653"/>
    <w:rsid w:val="0066531B"/>
    <w:rsid w:val="0066545B"/>
    <w:rsid w:val="006658F5"/>
    <w:rsid w:val="00665C2D"/>
    <w:rsid w:val="00666782"/>
    <w:rsid w:val="00666C4F"/>
    <w:rsid w:val="00667089"/>
    <w:rsid w:val="00667402"/>
    <w:rsid w:val="006674FC"/>
    <w:rsid w:val="00667576"/>
    <w:rsid w:val="006678E0"/>
    <w:rsid w:val="006702B3"/>
    <w:rsid w:val="00670418"/>
    <w:rsid w:val="00670597"/>
    <w:rsid w:val="0067066E"/>
    <w:rsid w:val="006708F8"/>
    <w:rsid w:val="006709C3"/>
    <w:rsid w:val="00670DF1"/>
    <w:rsid w:val="00670F6E"/>
    <w:rsid w:val="00671769"/>
    <w:rsid w:val="00671C2F"/>
    <w:rsid w:val="00671C9D"/>
    <w:rsid w:val="00671D24"/>
    <w:rsid w:val="00671D7E"/>
    <w:rsid w:val="00672270"/>
    <w:rsid w:val="006725E9"/>
    <w:rsid w:val="006725F7"/>
    <w:rsid w:val="00672ED5"/>
    <w:rsid w:val="0067300A"/>
    <w:rsid w:val="006737D0"/>
    <w:rsid w:val="00673A1F"/>
    <w:rsid w:val="00673EB1"/>
    <w:rsid w:val="00673F84"/>
    <w:rsid w:val="006743F4"/>
    <w:rsid w:val="00674725"/>
    <w:rsid w:val="006747B3"/>
    <w:rsid w:val="0067498F"/>
    <w:rsid w:val="00674BA4"/>
    <w:rsid w:val="0067516B"/>
    <w:rsid w:val="006756B1"/>
    <w:rsid w:val="00675914"/>
    <w:rsid w:val="00675920"/>
    <w:rsid w:val="00675F44"/>
    <w:rsid w:val="00675F6D"/>
    <w:rsid w:val="0067649A"/>
    <w:rsid w:val="006765CB"/>
    <w:rsid w:val="006769A3"/>
    <w:rsid w:val="00676DE3"/>
    <w:rsid w:val="00676F58"/>
    <w:rsid w:val="00676FAE"/>
    <w:rsid w:val="00677794"/>
    <w:rsid w:val="006779DF"/>
    <w:rsid w:val="00677D00"/>
    <w:rsid w:val="006803E7"/>
    <w:rsid w:val="006807F8"/>
    <w:rsid w:val="00680C3F"/>
    <w:rsid w:val="00680E1B"/>
    <w:rsid w:val="006811C1"/>
    <w:rsid w:val="006812CC"/>
    <w:rsid w:val="0068142F"/>
    <w:rsid w:val="00681578"/>
    <w:rsid w:val="00681612"/>
    <w:rsid w:val="00681944"/>
    <w:rsid w:val="00681C6A"/>
    <w:rsid w:val="00681D3D"/>
    <w:rsid w:val="00681DB8"/>
    <w:rsid w:val="006820FD"/>
    <w:rsid w:val="0068219D"/>
    <w:rsid w:val="006834EE"/>
    <w:rsid w:val="00683F81"/>
    <w:rsid w:val="0068412A"/>
    <w:rsid w:val="0068440D"/>
    <w:rsid w:val="00684A43"/>
    <w:rsid w:val="00684D00"/>
    <w:rsid w:val="00684F01"/>
    <w:rsid w:val="00684FC1"/>
    <w:rsid w:val="00684FF2"/>
    <w:rsid w:val="00685551"/>
    <w:rsid w:val="006855A8"/>
    <w:rsid w:val="00685C69"/>
    <w:rsid w:val="006860AE"/>
    <w:rsid w:val="006863AB"/>
    <w:rsid w:val="006869DE"/>
    <w:rsid w:val="00686F51"/>
    <w:rsid w:val="006879DF"/>
    <w:rsid w:val="00687C32"/>
    <w:rsid w:val="00690EC4"/>
    <w:rsid w:val="00691929"/>
    <w:rsid w:val="00691BB1"/>
    <w:rsid w:val="00691F68"/>
    <w:rsid w:val="00692C69"/>
    <w:rsid w:val="00692CEA"/>
    <w:rsid w:val="00692D4B"/>
    <w:rsid w:val="00692F3A"/>
    <w:rsid w:val="00692F7F"/>
    <w:rsid w:val="00693338"/>
    <w:rsid w:val="0069398B"/>
    <w:rsid w:val="00693F1F"/>
    <w:rsid w:val="00693FC5"/>
    <w:rsid w:val="00694311"/>
    <w:rsid w:val="0069462E"/>
    <w:rsid w:val="00694BFD"/>
    <w:rsid w:val="006950F1"/>
    <w:rsid w:val="006953CF"/>
    <w:rsid w:val="00695417"/>
    <w:rsid w:val="00695616"/>
    <w:rsid w:val="00695A03"/>
    <w:rsid w:val="00695C10"/>
    <w:rsid w:val="00695F46"/>
    <w:rsid w:val="0069643F"/>
    <w:rsid w:val="006964AA"/>
    <w:rsid w:val="006965FC"/>
    <w:rsid w:val="006966B8"/>
    <w:rsid w:val="006967D3"/>
    <w:rsid w:val="00696914"/>
    <w:rsid w:val="00696A80"/>
    <w:rsid w:val="00696B81"/>
    <w:rsid w:val="00696BC6"/>
    <w:rsid w:val="00696D22"/>
    <w:rsid w:val="0069795E"/>
    <w:rsid w:val="00697F3A"/>
    <w:rsid w:val="006A0775"/>
    <w:rsid w:val="006A1560"/>
    <w:rsid w:val="006A1DBD"/>
    <w:rsid w:val="006A2AC0"/>
    <w:rsid w:val="006A2DA7"/>
    <w:rsid w:val="006A3A6E"/>
    <w:rsid w:val="006A3E3F"/>
    <w:rsid w:val="006A3ED6"/>
    <w:rsid w:val="006A4619"/>
    <w:rsid w:val="006A48EB"/>
    <w:rsid w:val="006A4AA5"/>
    <w:rsid w:val="006A4C4A"/>
    <w:rsid w:val="006A4F7C"/>
    <w:rsid w:val="006A51FA"/>
    <w:rsid w:val="006A5291"/>
    <w:rsid w:val="006A557F"/>
    <w:rsid w:val="006A5591"/>
    <w:rsid w:val="006A5B8D"/>
    <w:rsid w:val="006A5BCF"/>
    <w:rsid w:val="006A5D2E"/>
    <w:rsid w:val="006A5DCC"/>
    <w:rsid w:val="006A5EED"/>
    <w:rsid w:val="006A6027"/>
    <w:rsid w:val="006A712E"/>
    <w:rsid w:val="006A73ED"/>
    <w:rsid w:val="006A74DD"/>
    <w:rsid w:val="006A7734"/>
    <w:rsid w:val="006A7793"/>
    <w:rsid w:val="006A7A86"/>
    <w:rsid w:val="006B00F2"/>
    <w:rsid w:val="006B0574"/>
    <w:rsid w:val="006B0BFE"/>
    <w:rsid w:val="006B0E51"/>
    <w:rsid w:val="006B164A"/>
    <w:rsid w:val="006B1996"/>
    <w:rsid w:val="006B1CA8"/>
    <w:rsid w:val="006B1DD2"/>
    <w:rsid w:val="006B1F2B"/>
    <w:rsid w:val="006B232D"/>
    <w:rsid w:val="006B23ED"/>
    <w:rsid w:val="006B2601"/>
    <w:rsid w:val="006B27C6"/>
    <w:rsid w:val="006B28C1"/>
    <w:rsid w:val="006B2C3C"/>
    <w:rsid w:val="006B2EA8"/>
    <w:rsid w:val="006B2F6D"/>
    <w:rsid w:val="006B306D"/>
    <w:rsid w:val="006B3280"/>
    <w:rsid w:val="006B3A8D"/>
    <w:rsid w:val="006B4564"/>
    <w:rsid w:val="006B52C6"/>
    <w:rsid w:val="006B5568"/>
    <w:rsid w:val="006B5A60"/>
    <w:rsid w:val="006B621B"/>
    <w:rsid w:val="006B6EAF"/>
    <w:rsid w:val="006B722C"/>
    <w:rsid w:val="006B7548"/>
    <w:rsid w:val="006B768B"/>
    <w:rsid w:val="006B76C8"/>
    <w:rsid w:val="006B7745"/>
    <w:rsid w:val="006B7923"/>
    <w:rsid w:val="006C03C6"/>
    <w:rsid w:val="006C07A0"/>
    <w:rsid w:val="006C0970"/>
    <w:rsid w:val="006C0F41"/>
    <w:rsid w:val="006C10E8"/>
    <w:rsid w:val="006C16FC"/>
    <w:rsid w:val="006C1BD0"/>
    <w:rsid w:val="006C1E8E"/>
    <w:rsid w:val="006C201A"/>
    <w:rsid w:val="006C26FB"/>
    <w:rsid w:val="006C2958"/>
    <w:rsid w:val="006C2BB0"/>
    <w:rsid w:val="006C3582"/>
    <w:rsid w:val="006C3AB8"/>
    <w:rsid w:val="006C3BFA"/>
    <w:rsid w:val="006C3ED4"/>
    <w:rsid w:val="006C4083"/>
    <w:rsid w:val="006C4161"/>
    <w:rsid w:val="006C4210"/>
    <w:rsid w:val="006C441D"/>
    <w:rsid w:val="006C46B0"/>
    <w:rsid w:val="006C48D9"/>
    <w:rsid w:val="006C513E"/>
    <w:rsid w:val="006C5459"/>
    <w:rsid w:val="006C5F5D"/>
    <w:rsid w:val="006C5F62"/>
    <w:rsid w:val="006C5FB1"/>
    <w:rsid w:val="006C6082"/>
    <w:rsid w:val="006C63A0"/>
    <w:rsid w:val="006C6B8D"/>
    <w:rsid w:val="006C72B5"/>
    <w:rsid w:val="006C779E"/>
    <w:rsid w:val="006C7B47"/>
    <w:rsid w:val="006D0DC2"/>
    <w:rsid w:val="006D0E80"/>
    <w:rsid w:val="006D1AD3"/>
    <w:rsid w:val="006D1BC6"/>
    <w:rsid w:val="006D26A4"/>
    <w:rsid w:val="006D2D4C"/>
    <w:rsid w:val="006D3371"/>
    <w:rsid w:val="006D36F5"/>
    <w:rsid w:val="006D3858"/>
    <w:rsid w:val="006D3A3E"/>
    <w:rsid w:val="006D3EA5"/>
    <w:rsid w:val="006D4372"/>
    <w:rsid w:val="006D4764"/>
    <w:rsid w:val="006D4E15"/>
    <w:rsid w:val="006D5404"/>
    <w:rsid w:val="006D5CAC"/>
    <w:rsid w:val="006D5D15"/>
    <w:rsid w:val="006D63D0"/>
    <w:rsid w:val="006D63FB"/>
    <w:rsid w:val="006D6BA3"/>
    <w:rsid w:val="006D6C60"/>
    <w:rsid w:val="006D71EE"/>
    <w:rsid w:val="006D71F6"/>
    <w:rsid w:val="006D7780"/>
    <w:rsid w:val="006D79D7"/>
    <w:rsid w:val="006D7A1C"/>
    <w:rsid w:val="006D7D2B"/>
    <w:rsid w:val="006E00FF"/>
    <w:rsid w:val="006E0331"/>
    <w:rsid w:val="006E0849"/>
    <w:rsid w:val="006E0887"/>
    <w:rsid w:val="006E0EAE"/>
    <w:rsid w:val="006E0EC1"/>
    <w:rsid w:val="006E0FAE"/>
    <w:rsid w:val="006E10E2"/>
    <w:rsid w:val="006E1574"/>
    <w:rsid w:val="006E1576"/>
    <w:rsid w:val="006E15DE"/>
    <w:rsid w:val="006E1807"/>
    <w:rsid w:val="006E1995"/>
    <w:rsid w:val="006E1A2C"/>
    <w:rsid w:val="006E1A44"/>
    <w:rsid w:val="006E1F96"/>
    <w:rsid w:val="006E21E0"/>
    <w:rsid w:val="006E222E"/>
    <w:rsid w:val="006E224E"/>
    <w:rsid w:val="006E23E8"/>
    <w:rsid w:val="006E248E"/>
    <w:rsid w:val="006E28BD"/>
    <w:rsid w:val="006E2BA4"/>
    <w:rsid w:val="006E2E79"/>
    <w:rsid w:val="006E347C"/>
    <w:rsid w:val="006E356F"/>
    <w:rsid w:val="006E438D"/>
    <w:rsid w:val="006E447A"/>
    <w:rsid w:val="006E4500"/>
    <w:rsid w:val="006E48F0"/>
    <w:rsid w:val="006E499A"/>
    <w:rsid w:val="006E4E55"/>
    <w:rsid w:val="006E514C"/>
    <w:rsid w:val="006E5B40"/>
    <w:rsid w:val="006E69E5"/>
    <w:rsid w:val="006E6C52"/>
    <w:rsid w:val="006E7CBC"/>
    <w:rsid w:val="006E7D51"/>
    <w:rsid w:val="006F0458"/>
    <w:rsid w:val="006F0F57"/>
    <w:rsid w:val="006F1013"/>
    <w:rsid w:val="006F16DC"/>
    <w:rsid w:val="006F182E"/>
    <w:rsid w:val="006F1E60"/>
    <w:rsid w:val="006F2557"/>
    <w:rsid w:val="006F2709"/>
    <w:rsid w:val="006F2A43"/>
    <w:rsid w:val="006F3193"/>
    <w:rsid w:val="006F3879"/>
    <w:rsid w:val="006F3C8B"/>
    <w:rsid w:val="006F3F73"/>
    <w:rsid w:val="006F40F4"/>
    <w:rsid w:val="006F4561"/>
    <w:rsid w:val="006F4C64"/>
    <w:rsid w:val="006F4FA6"/>
    <w:rsid w:val="006F5751"/>
    <w:rsid w:val="006F6199"/>
    <w:rsid w:val="006F6335"/>
    <w:rsid w:val="006F64AB"/>
    <w:rsid w:val="006F64DF"/>
    <w:rsid w:val="006F6964"/>
    <w:rsid w:val="006F6AF0"/>
    <w:rsid w:val="006F6DF8"/>
    <w:rsid w:val="006F71D7"/>
    <w:rsid w:val="006F7693"/>
    <w:rsid w:val="006F7992"/>
    <w:rsid w:val="00700179"/>
    <w:rsid w:val="00700236"/>
    <w:rsid w:val="007005F3"/>
    <w:rsid w:val="007006E6"/>
    <w:rsid w:val="007007E5"/>
    <w:rsid w:val="0070092F"/>
    <w:rsid w:val="00700C7F"/>
    <w:rsid w:val="00700E4F"/>
    <w:rsid w:val="00700E99"/>
    <w:rsid w:val="00701107"/>
    <w:rsid w:val="00701341"/>
    <w:rsid w:val="00701588"/>
    <w:rsid w:val="00702317"/>
    <w:rsid w:val="007025DC"/>
    <w:rsid w:val="0070292E"/>
    <w:rsid w:val="00702A84"/>
    <w:rsid w:val="007035C7"/>
    <w:rsid w:val="00704355"/>
    <w:rsid w:val="007051BF"/>
    <w:rsid w:val="007053AD"/>
    <w:rsid w:val="007055DD"/>
    <w:rsid w:val="00705603"/>
    <w:rsid w:val="0070571C"/>
    <w:rsid w:val="00705801"/>
    <w:rsid w:val="0070581F"/>
    <w:rsid w:val="007068B4"/>
    <w:rsid w:val="007068B9"/>
    <w:rsid w:val="00706B85"/>
    <w:rsid w:val="00706D25"/>
    <w:rsid w:val="00707809"/>
    <w:rsid w:val="007078A7"/>
    <w:rsid w:val="00707DD9"/>
    <w:rsid w:val="00707E76"/>
    <w:rsid w:val="00711778"/>
    <w:rsid w:val="00711B48"/>
    <w:rsid w:val="00711B73"/>
    <w:rsid w:val="0071281D"/>
    <w:rsid w:val="00712B1B"/>
    <w:rsid w:val="007136F1"/>
    <w:rsid w:val="0071372F"/>
    <w:rsid w:val="007137CC"/>
    <w:rsid w:val="00713A97"/>
    <w:rsid w:val="00713B0C"/>
    <w:rsid w:val="00713CEA"/>
    <w:rsid w:val="00713F88"/>
    <w:rsid w:val="00714137"/>
    <w:rsid w:val="00714700"/>
    <w:rsid w:val="00714C4E"/>
    <w:rsid w:val="00714D04"/>
    <w:rsid w:val="00715071"/>
    <w:rsid w:val="007153E7"/>
    <w:rsid w:val="00715810"/>
    <w:rsid w:val="0071611A"/>
    <w:rsid w:val="0071640E"/>
    <w:rsid w:val="00716763"/>
    <w:rsid w:val="00716A41"/>
    <w:rsid w:val="00716D2A"/>
    <w:rsid w:val="0071712B"/>
    <w:rsid w:val="00717448"/>
    <w:rsid w:val="00717A9A"/>
    <w:rsid w:val="00717ADB"/>
    <w:rsid w:val="00717E7C"/>
    <w:rsid w:val="007200DF"/>
    <w:rsid w:val="00720200"/>
    <w:rsid w:val="00720334"/>
    <w:rsid w:val="007203C4"/>
    <w:rsid w:val="007208C3"/>
    <w:rsid w:val="00721EE6"/>
    <w:rsid w:val="00722231"/>
    <w:rsid w:val="00722235"/>
    <w:rsid w:val="00722596"/>
    <w:rsid w:val="00722825"/>
    <w:rsid w:val="0072293E"/>
    <w:rsid w:val="00722E78"/>
    <w:rsid w:val="007231B5"/>
    <w:rsid w:val="00723575"/>
    <w:rsid w:val="00723818"/>
    <w:rsid w:val="00724060"/>
    <w:rsid w:val="0072434C"/>
    <w:rsid w:val="007246E0"/>
    <w:rsid w:val="00724850"/>
    <w:rsid w:val="00724FF9"/>
    <w:rsid w:val="00725027"/>
    <w:rsid w:val="007259D0"/>
    <w:rsid w:val="00725A0D"/>
    <w:rsid w:val="00725B7C"/>
    <w:rsid w:val="00725D79"/>
    <w:rsid w:val="00725F36"/>
    <w:rsid w:val="00725FB1"/>
    <w:rsid w:val="00726009"/>
    <w:rsid w:val="00726298"/>
    <w:rsid w:val="00726AC6"/>
    <w:rsid w:val="007271C2"/>
    <w:rsid w:val="007274B2"/>
    <w:rsid w:val="00730061"/>
    <w:rsid w:val="007307F8"/>
    <w:rsid w:val="0073091D"/>
    <w:rsid w:val="00730A8D"/>
    <w:rsid w:val="00730DF7"/>
    <w:rsid w:val="00731A37"/>
    <w:rsid w:val="00732AC5"/>
    <w:rsid w:val="00732ADC"/>
    <w:rsid w:val="00732FB6"/>
    <w:rsid w:val="0073360C"/>
    <w:rsid w:val="00733B46"/>
    <w:rsid w:val="007341C4"/>
    <w:rsid w:val="00734878"/>
    <w:rsid w:val="00734AB2"/>
    <w:rsid w:val="00734B01"/>
    <w:rsid w:val="00734B6A"/>
    <w:rsid w:val="00734C0B"/>
    <w:rsid w:val="00735050"/>
    <w:rsid w:val="007352F5"/>
    <w:rsid w:val="0073597B"/>
    <w:rsid w:val="00736218"/>
    <w:rsid w:val="007366EC"/>
    <w:rsid w:val="007368B9"/>
    <w:rsid w:val="00736F8F"/>
    <w:rsid w:val="00737081"/>
    <w:rsid w:val="007372AC"/>
    <w:rsid w:val="0073743A"/>
    <w:rsid w:val="00737D3D"/>
    <w:rsid w:val="00737EF8"/>
    <w:rsid w:val="007401C4"/>
    <w:rsid w:val="007407EE"/>
    <w:rsid w:val="00741082"/>
    <w:rsid w:val="007412B9"/>
    <w:rsid w:val="007412F0"/>
    <w:rsid w:val="00741BBE"/>
    <w:rsid w:val="00741E1B"/>
    <w:rsid w:val="00741F19"/>
    <w:rsid w:val="00742700"/>
    <w:rsid w:val="007429E5"/>
    <w:rsid w:val="00742B75"/>
    <w:rsid w:val="00742C32"/>
    <w:rsid w:val="0074317D"/>
    <w:rsid w:val="00743C9B"/>
    <w:rsid w:val="00743FD6"/>
    <w:rsid w:val="00744632"/>
    <w:rsid w:val="007447EA"/>
    <w:rsid w:val="00744F71"/>
    <w:rsid w:val="00745342"/>
    <w:rsid w:val="007453BD"/>
    <w:rsid w:val="00745663"/>
    <w:rsid w:val="007457CF"/>
    <w:rsid w:val="00745A20"/>
    <w:rsid w:val="00745C04"/>
    <w:rsid w:val="00745E8D"/>
    <w:rsid w:val="007462B8"/>
    <w:rsid w:val="00746DB2"/>
    <w:rsid w:val="00746EF0"/>
    <w:rsid w:val="007472A2"/>
    <w:rsid w:val="00747D82"/>
    <w:rsid w:val="00750245"/>
    <w:rsid w:val="0075057F"/>
    <w:rsid w:val="00750584"/>
    <w:rsid w:val="00750DDC"/>
    <w:rsid w:val="00750EAA"/>
    <w:rsid w:val="00750EF2"/>
    <w:rsid w:val="007525A3"/>
    <w:rsid w:val="00752D5F"/>
    <w:rsid w:val="0075354A"/>
    <w:rsid w:val="00753799"/>
    <w:rsid w:val="00753835"/>
    <w:rsid w:val="0075389F"/>
    <w:rsid w:val="007539F5"/>
    <w:rsid w:val="00753D55"/>
    <w:rsid w:val="007544AA"/>
    <w:rsid w:val="007546B4"/>
    <w:rsid w:val="007547EC"/>
    <w:rsid w:val="0075493F"/>
    <w:rsid w:val="007553D4"/>
    <w:rsid w:val="007554DB"/>
    <w:rsid w:val="007556BE"/>
    <w:rsid w:val="00755840"/>
    <w:rsid w:val="00755A35"/>
    <w:rsid w:val="00755B59"/>
    <w:rsid w:val="00757285"/>
    <w:rsid w:val="00760253"/>
    <w:rsid w:val="00760275"/>
    <w:rsid w:val="00760293"/>
    <w:rsid w:val="00760584"/>
    <w:rsid w:val="00760959"/>
    <w:rsid w:val="007615C2"/>
    <w:rsid w:val="00761866"/>
    <w:rsid w:val="00761BB3"/>
    <w:rsid w:val="00761D58"/>
    <w:rsid w:val="00762250"/>
    <w:rsid w:val="00762532"/>
    <w:rsid w:val="00762615"/>
    <w:rsid w:val="007626FD"/>
    <w:rsid w:val="0076310D"/>
    <w:rsid w:val="007631ED"/>
    <w:rsid w:val="00763C1B"/>
    <w:rsid w:val="0076494B"/>
    <w:rsid w:val="00764C9B"/>
    <w:rsid w:val="00764EA1"/>
    <w:rsid w:val="00765356"/>
    <w:rsid w:val="00765371"/>
    <w:rsid w:val="00765D02"/>
    <w:rsid w:val="0076674F"/>
    <w:rsid w:val="007667BB"/>
    <w:rsid w:val="0076695B"/>
    <w:rsid w:val="00766A08"/>
    <w:rsid w:val="00766BFE"/>
    <w:rsid w:val="00766F8B"/>
    <w:rsid w:val="00767776"/>
    <w:rsid w:val="007700CE"/>
    <w:rsid w:val="00770457"/>
    <w:rsid w:val="00770712"/>
    <w:rsid w:val="00770740"/>
    <w:rsid w:val="00770B1E"/>
    <w:rsid w:val="00770D32"/>
    <w:rsid w:val="007713DE"/>
    <w:rsid w:val="0077169F"/>
    <w:rsid w:val="007719DF"/>
    <w:rsid w:val="007719F0"/>
    <w:rsid w:val="00771C7F"/>
    <w:rsid w:val="0077224D"/>
    <w:rsid w:val="00772848"/>
    <w:rsid w:val="00772B66"/>
    <w:rsid w:val="00772BBE"/>
    <w:rsid w:val="00772E3C"/>
    <w:rsid w:val="0077333C"/>
    <w:rsid w:val="00773684"/>
    <w:rsid w:val="007736F3"/>
    <w:rsid w:val="00773DAD"/>
    <w:rsid w:val="0077406E"/>
    <w:rsid w:val="0077441F"/>
    <w:rsid w:val="007745E5"/>
    <w:rsid w:val="0077508A"/>
    <w:rsid w:val="00775122"/>
    <w:rsid w:val="007757CB"/>
    <w:rsid w:val="007760AA"/>
    <w:rsid w:val="007762D7"/>
    <w:rsid w:val="0077630E"/>
    <w:rsid w:val="00776519"/>
    <w:rsid w:val="00776800"/>
    <w:rsid w:val="00776D36"/>
    <w:rsid w:val="00776DA4"/>
    <w:rsid w:val="00776DE2"/>
    <w:rsid w:val="00777885"/>
    <w:rsid w:val="007779E6"/>
    <w:rsid w:val="00777BD4"/>
    <w:rsid w:val="00777E19"/>
    <w:rsid w:val="0078067F"/>
    <w:rsid w:val="00780764"/>
    <w:rsid w:val="0078097D"/>
    <w:rsid w:val="007809FA"/>
    <w:rsid w:val="00780CDC"/>
    <w:rsid w:val="00780EFC"/>
    <w:rsid w:val="007811EF"/>
    <w:rsid w:val="00781674"/>
    <w:rsid w:val="0078182A"/>
    <w:rsid w:val="00782449"/>
    <w:rsid w:val="00782489"/>
    <w:rsid w:val="00782965"/>
    <w:rsid w:val="007833C6"/>
    <w:rsid w:val="00783599"/>
    <w:rsid w:val="00783758"/>
    <w:rsid w:val="00783838"/>
    <w:rsid w:val="00783AD0"/>
    <w:rsid w:val="00783E45"/>
    <w:rsid w:val="00784336"/>
    <w:rsid w:val="00784650"/>
    <w:rsid w:val="0078466C"/>
    <w:rsid w:val="00784B34"/>
    <w:rsid w:val="00784D1A"/>
    <w:rsid w:val="00784E63"/>
    <w:rsid w:val="007853A8"/>
    <w:rsid w:val="007853B4"/>
    <w:rsid w:val="0078546E"/>
    <w:rsid w:val="007868B2"/>
    <w:rsid w:val="0078716B"/>
    <w:rsid w:val="007875D5"/>
    <w:rsid w:val="00787FB5"/>
    <w:rsid w:val="00790A8E"/>
    <w:rsid w:val="00790B45"/>
    <w:rsid w:val="00791076"/>
    <w:rsid w:val="007912B7"/>
    <w:rsid w:val="00791562"/>
    <w:rsid w:val="00791A4F"/>
    <w:rsid w:val="00791C50"/>
    <w:rsid w:val="00791CF3"/>
    <w:rsid w:val="00791D7F"/>
    <w:rsid w:val="00791EC7"/>
    <w:rsid w:val="0079231D"/>
    <w:rsid w:val="00792587"/>
    <w:rsid w:val="007938E2"/>
    <w:rsid w:val="0079445D"/>
    <w:rsid w:val="00794BCC"/>
    <w:rsid w:val="00794DB7"/>
    <w:rsid w:val="00795133"/>
    <w:rsid w:val="0079534D"/>
    <w:rsid w:val="00795354"/>
    <w:rsid w:val="0079571E"/>
    <w:rsid w:val="00795EB8"/>
    <w:rsid w:val="00796238"/>
    <w:rsid w:val="007965D6"/>
    <w:rsid w:val="007969C2"/>
    <w:rsid w:val="00796E58"/>
    <w:rsid w:val="007971FB"/>
    <w:rsid w:val="00797665"/>
    <w:rsid w:val="0079790B"/>
    <w:rsid w:val="00797A3B"/>
    <w:rsid w:val="007A01A9"/>
    <w:rsid w:val="007A0671"/>
    <w:rsid w:val="007A0EB1"/>
    <w:rsid w:val="007A101F"/>
    <w:rsid w:val="007A122A"/>
    <w:rsid w:val="007A1557"/>
    <w:rsid w:val="007A162C"/>
    <w:rsid w:val="007A1853"/>
    <w:rsid w:val="007A1D00"/>
    <w:rsid w:val="007A2A5D"/>
    <w:rsid w:val="007A2E53"/>
    <w:rsid w:val="007A310B"/>
    <w:rsid w:val="007A3488"/>
    <w:rsid w:val="007A38CC"/>
    <w:rsid w:val="007A4415"/>
    <w:rsid w:val="007A44F2"/>
    <w:rsid w:val="007A505B"/>
    <w:rsid w:val="007A53B0"/>
    <w:rsid w:val="007A563E"/>
    <w:rsid w:val="007A5894"/>
    <w:rsid w:val="007A5932"/>
    <w:rsid w:val="007A6DC9"/>
    <w:rsid w:val="007A77D3"/>
    <w:rsid w:val="007B0AAB"/>
    <w:rsid w:val="007B135B"/>
    <w:rsid w:val="007B19DB"/>
    <w:rsid w:val="007B1F32"/>
    <w:rsid w:val="007B2412"/>
    <w:rsid w:val="007B3BDC"/>
    <w:rsid w:val="007B3FB0"/>
    <w:rsid w:val="007B41C4"/>
    <w:rsid w:val="007B42A0"/>
    <w:rsid w:val="007B4550"/>
    <w:rsid w:val="007B4AB3"/>
    <w:rsid w:val="007B4FEC"/>
    <w:rsid w:val="007B50EA"/>
    <w:rsid w:val="007B56FD"/>
    <w:rsid w:val="007B57C1"/>
    <w:rsid w:val="007B59CE"/>
    <w:rsid w:val="007B5E5B"/>
    <w:rsid w:val="007B5EC3"/>
    <w:rsid w:val="007B6267"/>
    <w:rsid w:val="007B6DED"/>
    <w:rsid w:val="007B706F"/>
    <w:rsid w:val="007C09EF"/>
    <w:rsid w:val="007C0A6E"/>
    <w:rsid w:val="007C10F6"/>
    <w:rsid w:val="007C234A"/>
    <w:rsid w:val="007C269E"/>
    <w:rsid w:val="007C28A6"/>
    <w:rsid w:val="007C29C1"/>
    <w:rsid w:val="007C30D9"/>
    <w:rsid w:val="007C32BB"/>
    <w:rsid w:val="007C347B"/>
    <w:rsid w:val="007C365B"/>
    <w:rsid w:val="007C433E"/>
    <w:rsid w:val="007C4E61"/>
    <w:rsid w:val="007C55E6"/>
    <w:rsid w:val="007C689B"/>
    <w:rsid w:val="007C691C"/>
    <w:rsid w:val="007C6961"/>
    <w:rsid w:val="007C70E4"/>
    <w:rsid w:val="007C72CB"/>
    <w:rsid w:val="007C7B7A"/>
    <w:rsid w:val="007C7DFE"/>
    <w:rsid w:val="007C7E88"/>
    <w:rsid w:val="007C7F0A"/>
    <w:rsid w:val="007D02AE"/>
    <w:rsid w:val="007D045A"/>
    <w:rsid w:val="007D0AC1"/>
    <w:rsid w:val="007D0D57"/>
    <w:rsid w:val="007D10FA"/>
    <w:rsid w:val="007D136E"/>
    <w:rsid w:val="007D1470"/>
    <w:rsid w:val="007D1AD5"/>
    <w:rsid w:val="007D2189"/>
    <w:rsid w:val="007D274E"/>
    <w:rsid w:val="007D29A0"/>
    <w:rsid w:val="007D2B20"/>
    <w:rsid w:val="007D2F07"/>
    <w:rsid w:val="007D32F0"/>
    <w:rsid w:val="007D33AD"/>
    <w:rsid w:val="007D38D5"/>
    <w:rsid w:val="007D39BA"/>
    <w:rsid w:val="007D3AEA"/>
    <w:rsid w:val="007D3FD5"/>
    <w:rsid w:val="007D3FE2"/>
    <w:rsid w:val="007D472F"/>
    <w:rsid w:val="007D48A0"/>
    <w:rsid w:val="007D49CA"/>
    <w:rsid w:val="007D4D01"/>
    <w:rsid w:val="007D4E51"/>
    <w:rsid w:val="007D5130"/>
    <w:rsid w:val="007D5CD3"/>
    <w:rsid w:val="007D66B2"/>
    <w:rsid w:val="007D67BB"/>
    <w:rsid w:val="007D6D52"/>
    <w:rsid w:val="007D6DAF"/>
    <w:rsid w:val="007D6FC6"/>
    <w:rsid w:val="007D7275"/>
    <w:rsid w:val="007D7AC3"/>
    <w:rsid w:val="007E04ED"/>
    <w:rsid w:val="007E063C"/>
    <w:rsid w:val="007E07BF"/>
    <w:rsid w:val="007E0892"/>
    <w:rsid w:val="007E093C"/>
    <w:rsid w:val="007E0C5A"/>
    <w:rsid w:val="007E1296"/>
    <w:rsid w:val="007E1303"/>
    <w:rsid w:val="007E1375"/>
    <w:rsid w:val="007E14FD"/>
    <w:rsid w:val="007E1755"/>
    <w:rsid w:val="007E1855"/>
    <w:rsid w:val="007E218C"/>
    <w:rsid w:val="007E2839"/>
    <w:rsid w:val="007E3198"/>
    <w:rsid w:val="007E321B"/>
    <w:rsid w:val="007E34F2"/>
    <w:rsid w:val="007E3629"/>
    <w:rsid w:val="007E36A8"/>
    <w:rsid w:val="007E36C5"/>
    <w:rsid w:val="007E372A"/>
    <w:rsid w:val="007E394A"/>
    <w:rsid w:val="007E3A0D"/>
    <w:rsid w:val="007E3B8B"/>
    <w:rsid w:val="007E4133"/>
    <w:rsid w:val="007E44A0"/>
    <w:rsid w:val="007E4974"/>
    <w:rsid w:val="007E4D9F"/>
    <w:rsid w:val="007E5D51"/>
    <w:rsid w:val="007E5D7F"/>
    <w:rsid w:val="007E5EDD"/>
    <w:rsid w:val="007E6295"/>
    <w:rsid w:val="007E718D"/>
    <w:rsid w:val="007E7348"/>
    <w:rsid w:val="007E7579"/>
    <w:rsid w:val="007E7657"/>
    <w:rsid w:val="007F03C1"/>
    <w:rsid w:val="007F0677"/>
    <w:rsid w:val="007F0A20"/>
    <w:rsid w:val="007F0FDB"/>
    <w:rsid w:val="007F1586"/>
    <w:rsid w:val="007F1FA4"/>
    <w:rsid w:val="007F2345"/>
    <w:rsid w:val="007F24F5"/>
    <w:rsid w:val="007F26A5"/>
    <w:rsid w:val="007F2C01"/>
    <w:rsid w:val="007F2EA4"/>
    <w:rsid w:val="007F3869"/>
    <w:rsid w:val="007F38BD"/>
    <w:rsid w:val="007F4758"/>
    <w:rsid w:val="007F478F"/>
    <w:rsid w:val="007F49A4"/>
    <w:rsid w:val="007F4A29"/>
    <w:rsid w:val="007F4CE6"/>
    <w:rsid w:val="007F4D99"/>
    <w:rsid w:val="007F536A"/>
    <w:rsid w:val="007F543B"/>
    <w:rsid w:val="007F58C4"/>
    <w:rsid w:val="007F5908"/>
    <w:rsid w:val="007F5957"/>
    <w:rsid w:val="007F59D9"/>
    <w:rsid w:val="007F6024"/>
    <w:rsid w:val="007F61DF"/>
    <w:rsid w:val="007F69F7"/>
    <w:rsid w:val="007F6A91"/>
    <w:rsid w:val="007F710E"/>
    <w:rsid w:val="007F7384"/>
    <w:rsid w:val="007F7397"/>
    <w:rsid w:val="007F7411"/>
    <w:rsid w:val="007F7CC3"/>
    <w:rsid w:val="00800203"/>
    <w:rsid w:val="00800282"/>
    <w:rsid w:val="008002B9"/>
    <w:rsid w:val="00800738"/>
    <w:rsid w:val="00801674"/>
    <w:rsid w:val="00801EC6"/>
    <w:rsid w:val="008020B3"/>
    <w:rsid w:val="008026AC"/>
    <w:rsid w:val="00802B02"/>
    <w:rsid w:val="00802FC6"/>
    <w:rsid w:val="00803317"/>
    <w:rsid w:val="00804175"/>
    <w:rsid w:val="008044AF"/>
    <w:rsid w:val="008044C9"/>
    <w:rsid w:val="0080491F"/>
    <w:rsid w:val="00804EED"/>
    <w:rsid w:val="008050C6"/>
    <w:rsid w:val="00805676"/>
    <w:rsid w:val="00805ABB"/>
    <w:rsid w:val="00805BDE"/>
    <w:rsid w:val="00805F33"/>
    <w:rsid w:val="00805FF5"/>
    <w:rsid w:val="0080613C"/>
    <w:rsid w:val="00806459"/>
    <w:rsid w:val="00806EAD"/>
    <w:rsid w:val="00807068"/>
    <w:rsid w:val="00807A83"/>
    <w:rsid w:val="00807B03"/>
    <w:rsid w:val="00810517"/>
    <w:rsid w:val="008109B2"/>
    <w:rsid w:val="00810E99"/>
    <w:rsid w:val="00810EDB"/>
    <w:rsid w:val="00811306"/>
    <w:rsid w:val="008117F8"/>
    <w:rsid w:val="00811EE5"/>
    <w:rsid w:val="008122EC"/>
    <w:rsid w:val="008123F6"/>
    <w:rsid w:val="008125E9"/>
    <w:rsid w:val="00812C61"/>
    <w:rsid w:val="008131A8"/>
    <w:rsid w:val="008131CE"/>
    <w:rsid w:val="00813C2B"/>
    <w:rsid w:val="00813F4B"/>
    <w:rsid w:val="00814660"/>
    <w:rsid w:val="00814B98"/>
    <w:rsid w:val="00814E37"/>
    <w:rsid w:val="00815077"/>
    <w:rsid w:val="008151F9"/>
    <w:rsid w:val="0081526A"/>
    <w:rsid w:val="00815454"/>
    <w:rsid w:val="00815544"/>
    <w:rsid w:val="00815A0A"/>
    <w:rsid w:val="00815A7B"/>
    <w:rsid w:val="00815EB3"/>
    <w:rsid w:val="00816D45"/>
    <w:rsid w:val="00817B16"/>
    <w:rsid w:val="00817F72"/>
    <w:rsid w:val="00820C9E"/>
    <w:rsid w:val="00820D24"/>
    <w:rsid w:val="00820D49"/>
    <w:rsid w:val="00821287"/>
    <w:rsid w:val="00821541"/>
    <w:rsid w:val="0082164F"/>
    <w:rsid w:val="008219A2"/>
    <w:rsid w:val="00821C27"/>
    <w:rsid w:val="00821EF5"/>
    <w:rsid w:val="0082265C"/>
    <w:rsid w:val="008229E7"/>
    <w:rsid w:val="008230B4"/>
    <w:rsid w:val="00823161"/>
    <w:rsid w:val="00823606"/>
    <w:rsid w:val="008241DC"/>
    <w:rsid w:val="008247E1"/>
    <w:rsid w:val="00825207"/>
    <w:rsid w:val="008256D5"/>
    <w:rsid w:val="008257CC"/>
    <w:rsid w:val="008257E8"/>
    <w:rsid w:val="00825D89"/>
    <w:rsid w:val="00825EDA"/>
    <w:rsid w:val="00826687"/>
    <w:rsid w:val="00826F50"/>
    <w:rsid w:val="00827547"/>
    <w:rsid w:val="008300F2"/>
    <w:rsid w:val="0083014C"/>
    <w:rsid w:val="008305B9"/>
    <w:rsid w:val="008308D5"/>
    <w:rsid w:val="00830905"/>
    <w:rsid w:val="00830CDC"/>
    <w:rsid w:val="0083125A"/>
    <w:rsid w:val="008318CB"/>
    <w:rsid w:val="008319E6"/>
    <w:rsid w:val="00831D3A"/>
    <w:rsid w:val="00832A39"/>
    <w:rsid w:val="00832DE9"/>
    <w:rsid w:val="00832F60"/>
    <w:rsid w:val="008330C7"/>
    <w:rsid w:val="008337B6"/>
    <w:rsid w:val="0083395C"/>
    <w:rsid w:val="00833D11"/>
    <w:rsid w:val="00834384"/>
    <w:rsid w:val="008347B2"/>
    <w:rsid w:val="00834CA2"/>
    <w:rsid w:val="0083579E"/>
    <w:rsid w:val="00835946"/>
    <w:rsid w:val="00835C8E"/>
    <w:rsid w:val="00835E28"/>
    <w:rsid w:val="00835FCF"/>
    <w:rsid w:val="008367B1"/>
    <w:rsid w:val="008369F9"/>
    <w:rsid w:val="00836B3F"/>
    <w:rsid w:val="00836BF5"/>
    <w:rsid w:val="0083785B"/>
    <w:rsid w:val="00840447"/>
    <w:rsid w:val="00840BA2"/>
    <w:rsid w:val="00840C73"/>
    <w:rsid w:val="00840F1C"/>
    <w:rsid w:val="00841092"/>
    <w:rsid w:val="00841700"/>
    <w:rsid w:val="00841899"/>
    <w:rsid w:val="008418E9"/>
    <w:rsid w:val="0084199B"/>
    <w:rsid w:val="00841EF2"/>
    <w:rsid w:val="00841F8D"/>
    <w:rsid w:val="00841FE4"/>
    <w:rsid w:val="0084203C"/>
    <w:rsid w:val="00842AFC"/>
    <w:rsid w:val="00842B31"/>
    <w:rsid w:val="00842C54"/>
    <w:rsid w:val="00842C9A"/>
    <w:rsid w:val="00843838"/>
    <w:rsid w:val="00843D7E"/>
    <w:rsid w:val="00844108"/>
    <w:rsid w:val="008444F7"/>
    <w:rsid w:val="0084494A"/>
    <w:rsid w:val="00844B55"/>
    <w:rsid w:val="00845074"/>
    <w:rsid w:val="00845332"/>
    <w:rsid w:val="00845378"/>
    <w:rsid w:val="008453D3"/>
    <w:rsid w:val="00845622"/>
    <w:rsid w:val="00845916"/>
    <w:rsid w:val="00845ACB"/>
    <w:rsid w:val="008468C6"/>
    <w:rsid w:val="0084696C"/>
    <w:rsid w:val="00846BFC"/>
    <w:rsid w:val="00846C5D"/>
    <w:rsid w:val="0084717C"/>
    <w:rsid w:val="00847EBA"/>
    <w:rsid w:val="00847F79"/>
    <w:rsid w:val="0085017B"/>
    <w:rsid w:val="00850319"/>
    <w:rsid w:val="008505D3"/>
    <w:rsid w:val="00850944"/>
    <w:rsid w:val="00850D58"/>
    <w:rsid w:val="00851144"/>
    <w:rsid w:val="008515FF"/>
    <w:rsid w:val="00851719"/>
    <w:rsid w:val="008517C9"/>
    <w:rsid w:val="00852BA1"/>
    <w:rsid w:val="00852D62"/>
    <w:rsid w:val="00853335"/>
    <w:rsid w:val="00853670"/>
    <w:rsid w:val="00853970"/>
    <w:rsid w:val="00854156"/>
    <w:rsid w:val="008541F8"/>
    <w:rsid w:val="008542CA"/>
    <w:rsid w:val="008546CD"/>
    <w:rsid w:val="008547F3"/>
    <w:rsid w:val="00854859"/>
    <w:rsid w:val="00854B3B"/>
    <w:rsid w:val="00854D5E"/>
    <w:rsid w:val="00854DFE"/>
    <w:rsid w:val="0085547A"/>
    <w:rsid w:val="00855593"/>
    <w:rsid w:val="00855657"/>
    <w:rsid w:val="00855DD9"/>
    <w:rsid w:val="00855F67"/>
    <w:rsid w:val="00856199"/>
    <w:rsid w:val="0085655D"/>
    <w:rsid w:val="0085672F"/>
    <w:rsid w:val="00856A89"/>
    <w:rsid w:val="0085704E"/>
    <w:rsid w:val="0085708F"/>
    <w:rsid w:val="00860665"/>
    <w:rsid w:val="008607FC"/>
    <w:rsid w:val="0086096B"/>
    <w:rsid w:val="00860AEB"/>
    <w:rsid w:val="00860F7C"/>
    <w:rsid w:val="0086105D"/>
    <w:rsid w:val="00861350"/>
    <w:rsid w:val="008614CE"/>
    <w:rsid w:val="00862B94"/>
    <w:rsid w:val="00862C4B"/>
    <w:rsid w:val="00863770"/>
    <w:rsid w:val="00863B3C"/>
    <w:rsid w:val="00863E49"/>
    <w:rsid w:val="00863F53"/>
    <w:rsid w:val="00864002"/>
    <w:rsid w:val="008640C8"/>
    <w:rsid w:val="0086445E"/>
    <w:rsid w:val="00864644"/>
    <w:rsid w:val="008646EA"/>
    <w:rsid w:val="008647F6"/>
    <w:rsid w:val="00864871"/>
    <w:rsid w:val="008649FC"/>
    <w:rsid w:val="00864FA1"/>
    <w:rsid w:val="00865AA9"/>
    <w:rsid w:val="00866193"/>
    <w:rsid w:val="0086650F"/>
    <w:rsid w:val="008669A5"/>
    <w:rsid w:val="00866AB7"/>
    <w:rsid w:val="00866BEA"/>
    <w:rsid w:val="00867001"/>
    <w:rsid w:val="00867192"/>
    <w:rsid w:val="008675C5"/>
    <w:rsid w:val="00867AAD"/>
    <w:rsid w:val="00867DD9"/>
    <w:rsid w:val="008703AF"/>
    <w:rsid w:val="00870432"/>
    <w:rsid w:val="00870631"/>
    <w:rsid w:val="008708C6"/>
    <w:rsid w:val="0087106D"/>
    <w:rsid w:val="008712D0"/>
    <w:rsid w:val="008717E3"/>
    <w:rsid w:val="00872809"/>
    <w:rsid w:val="00872CE8"/>
    <w:rsid w:val="00872D97"/>
    <w:rsid w:val="008732E4"/>
    <w:rsid w:val="008734AF"/>
    <w:rsid w:val="008744AE"/>
    <w:rsid w:val="00874A97"/>
    <w:rsid w:val="00874E83"/>
    <w:rsid w:val="00874F0D"/>
    <w:rsid w:val="00875163"/>
    <w:rsid w:val="00875E73"/>
    <w:rsid w:val="00875FCE"/>
    <w:rsid w:val="00876060"/>
    <w:rsid w:val="00876149"/>
    <w:rsid w:val="00876569"/>
    <w:rsid w:val="00876692"/>
    <w:rsid w:val="0087679E"/>
    <w:rsid w:val="00876C82"/>
    <w:rsid w:val="00877004"/>
    <w:rsid w:val="0087735B"/>
    <w:rsid w:val="0087755F"/>
    <w:rsid w:val="008778A8"/>
    <w:rsid w:val="008803F2"/>
    <w:rsid w:val="0088051B"/>
    <w:rsid w:val="00880F91"/>
    <w:rsid w:val="0088164D"/>
    <w:rsid w:val="00881DA2"/>
    <w:rsid w:val="00882432"/>
    <w:rsid w:val="0088249A"/>
    <w:rsid w:val="008824A0"/>
    <w:rsid w:val="00882CA7"/>
    <w:rsid w:val="00882E62"/>
    <w:rsid w:val="00883028"/>
    <w:rsid w:val="008831D9"/>
    <w:rsid w:val="00883534"/>
    <w:rsid w:val="00883A46"/>
    <w:rsid w:val="00883AE7"/>
    <w:rsid w:val="008841FA"/>
    <w:rsid w:val="00884AA4"/>
    <w:rsid w:val="0088519E"/>
    <w:rsid w:val="008858C4"/>
    <w:rsid w:val="008858C9"/>
    <w:rsid w:val="0088666C"/>
    <w:rsid w:val="008867C8"/>
    <w:rsid w:val="00886EC1"/>
    <w:rsid w:val="00886F46"/>
    <w:rsid w:val="0088710C"/>
    <w:rsid w:val="008873F2"/>
    <w:rsid w:val="008876D0"/>
    <w:rsid w:val="00890123"/>
    <w:rsid w:val="00890544"/>
    <w:rsid w:val="008906ED"/>
    <w:rsid w:val="00890CB1"/>
    <w:rsid w:val="00890D73"/>
    <w:rsid w:val="008913D2"/>
    <w:rsid w:val="00891692"/>
    <w:rsid w:val="00891B20"/>
    <w:rsid w:val="00891F4E"/>
    <w:rsid w:val="00892077"/>
    <w:rsid w:val="008920F8"/>
    <w:rsid w:val="008925B5"/>
    <w:rsid w:val="00892A24"/>
    <w:rsid w:val="00892AD3"/>
    <w:rsid w:val="0089378E"/>
    <w:rsid w:val="008938AC"/>
    <w:rsid w:val="00893B9E"/>
    <w:rsid w:val="00893DD7"/>
    <w:rsid w:val="00893F57"/>
    <w:rsid w:val="00894014"/>
    <w:rsid w:val="00894102"/>
    <w:rsid w:val="008943C1"/>
    <w:rsid w:val="0089457A"/>
    <w:rsid w:val="00894A6D"/>
    <w:rsid w:val="00894B1E"/>
    <w:rsid w:val="008955B6"/>
    <w:rsid w:val="00895A75"/>
    <w:rsid w:val="008964F4"/>
    <w:rsid w:val="008965ED"/>
    <w:rsid w:val="008965FD"/>
    <w:rsid w:val="00896880"/>
    <w:rsid w:val="0089765F"/>
    <w:rsid w:val="00897A1B"/>
    <w:rsid w:val="00897AC7"/>
    <w:rsid w:val="00897BAF"/>
    <w:rsid w:val="00897D47"/>
    <w:rsid w:val="008A0083"/>
    <w:rsid w:val="008A0D26"/>
    <w:rsid w:val="008A12D7"/>
    <w:rsid w:val="008A1326"/>
    <w:rsid w:val="008A1B5C"/>
    <w:rsid w:val="008A1EC6"/>
    <w:rsid w:val="008A28D5"/>
    <w:rsid w:val="008A28F9"/>
    <w:rsid w:val="008A2F82"/>
    <w:rsid w:val="008A3107"/>
    <w:rsid w:val="008A330B"/>
    <w:rsid w:val="008A356C"/>
    <w:rsid w:val="008A3808"/>
    <w:rsid w:val="008A3A61"/>
    <w:rsid w:val="008A3D12"/>
    <w:rsid w:val="008A427D"/>
    <w:rsid w:val="008A45BE"/>
    <w:rsid w:val="008A47D8"/>
    <w:rsid w:val="008A4B47"/>
    <w:rsid w:val="008A56FB"/>
    <w:rsid w:val="008A6155"/>
    <w:rsid w:val="008A646F"/>
    <w:rsid w:val="008A7517"/>
    <w:rsid w:val="008A77A8"/>
    <w:rsid w:val="008A7839"/>
    <w:rsid w:val="008B15C3"/>
    <w:rsid w:val="008B177B"/>
    <w:rsid w:val="008B1BB0"/>
    <w:rsid w:val="008B1F93"/>
    <w:rsid w:val="008B2165"/>
    <w:rsid w:val="008B2314"/>
    <w:rsid w:val="008B2B2B"/>
    <w:rsid w:val="008B2CD8"/>
    <w:rsid w:val="008B3015"/>
    <w:rsid w:val="008B35A8"/>
    <w:rsid w:val="008B3A5F"/>
    <w:rsid w:val="008B3C43"/>
    <w:rsid w:val="008B3E4B"/>
    <w:rsid w:val="008B43BD"/>
    <w:rsid w:val="008B455F"/>
    <w:rsid w:val="008B4B99"/>
    <w:rsid w:val="008B5A10"/>
    <w:rsid w:val="008B5A23"/>
    <w:rsid w:val="008B5EA8"/>
    <w:rsid w:val="008B65A1"/>
    <w:rsid w:val="008B6691"/>
    <w:rsid w:val="008B6998"/>
    <w:rsid w:val="008B6B69"/>
    <w:rsid w:val="008B6D50"/>
    <w:rsid w:val="008B74E4"/>
    <w:rsid w:val="008B7699"/>
    <w:rsid w:val="008B7A1C"/>
    <w:rsid w:val="008B7CC3"/>
    <w:rsid w:val="008B7D86"/>
    <w:rsid w:val="008B7DF9"/>
    <w:rsid w:val="008C0AE4"/>
    <w:rsid w:val="008C0EAA"/>
    <w:rsid w:val="008C0F5A"/>
    <w:rsid w:val="008C1407"/>
    <w:rsid w:val="008C161C"/>
    <w:rsid w:val="008C20CC"/>
    <w:rsid w:val="008C2283"/>
    <w:rsid w:val="008C22D0"/>
    <w:rsid w:val="008C241E"/>
    <w:rsid w:val="008C287C"/>
    <w:rsid w:val="008C2968"/>
    <w:rsid w:val="008C2E05"/>
    <w:rsid w:val="008C2E48"/>
    <w:rsid w:val="008C2F6C"/>
    <w:rsid w:val="008C3603"/>
    <w:rsid w:val="008C376B"/>
    <w:rsid w:val="008C37C2"/>
    <w:rsid w:val="008C3C70"/>
    <w:rsid w:val="008C41AE"/>
    <w:rsid w:val="008C464F"/>
    <w:rsid w:val="008C48BA"/>
    <w:rsid w:val="008C48FF"/>
    <w:rsid w:val="008C4C05"/>
    <w:rsid w:val="008C4CC8"/>
    <w:rsid w:val="008C4FE1"/>
    <w:rsid w:val="008C5577"/>
    <w:rsid w:val="008C5EBB"/>
    <w:rsid w:val="008C5F69"/>
    <w:rsid w:val="008C6005"/>
    <w:rsid w:val="008C619D"/>
    <w:rsid w:val="008C61EC"/>
    <w:rsid w:val="008C655D"/>
    <w:rsid w:val="008C666D"/>
    <w:rsid w:val="008C6870"/>
    <w:rsid w:val="008C6BCE"/>
    <w:rsid w:val="008C7107"/>
    <w:rsid w:val="008C7512"/>
    <w:rsid w:val="008C7837"/>
    <w:rsid w:val="008C7EAC"/>
    <w:rsid w:val="008D017E"/>
    <w:rsid w:val="008D01A9"/>
    <w:rsid w:val="008D08E3"/>
    <w:rsid w:val="008D0CAD"/>
    <w:rsid w:val="008D0DFF"/>
    <w:rsid w:val="008D13B0"/>
    <w:rsid w:val="008D1567"/>
    <w:rsid w:val="008D163E"/>
    <w:rsid w:val="008D184D"/>
    <w:rsid w:val="008D1893"/>
    <w:rsid w:val="008D201B"/>
    <w:rsid w:val="008D27D6"/>
    <w:rsid w:val="008D298A"/>
    <w:rsid w:val="008D2EC4"/>
    <w:rsid w:val="008D42DB"/>
    <w:rsid w:val="008D43A0"/>
    <w:rsid w:val="008D4E0D"/>
    <w:rsid w:val="008D4EB2"/>
    <w:rsid w:val="008D5417"/>
    <w:rsid w:val="008D567E"/>
    <w:rsid w:val="008D5B72"/>
    <w:rsid w:val="008D5BD5"/>
    <w:rsid w:val="008D5CBF"/>
    <w:rsid w:val="008D5D2F"/>
    <w:rsid w:val="008D5E0F"/>
    <w:rsid w:val="008D65D8"/>
    <w:rsid w:val="008D6A1B"/>
    <w:rsid w:val="008D6D1E"/>
    <w:rsid w:val="008E0617"/>
    <w:rsid w:val="008E0B8A"/>
    <w:rsid w:val="008E0C93"/>
    <w:rsid w:val="008E0E7B"/>
    <w:rsid w:val="008E1146"/>
    <w:rsid w:val="008E11FC"/>
    <w:rsid w:val="008E1260"/>
    <w:rsid w:val="008E1263"/>
    <w:rsid w:val="008E1673"/>
    <w:rsid w:val="008E1B3A"/>
    <w:rsid w:val="008E1C91"/>
    <w:rsid w:val="008E2556"/>
    <w:rsid w:val="008E2840"/>
    <w:rsid w:val="008E2D3B"/>
    <w:rsid w:val="008E3043"/>
    <w:rsid w:val="008E3643"/>
    <w:rsid w:val="008E3653"/>
    <w:rsid w:val="008E3B3F"/>
    <w:rsid w:val="008E4075"/>
    <w:rsid w:val="008E4079"/>
    <w:rsid w:val="008E428A"/>
    <w:rsid w:val="008E4376"/>
    <w:rsid w:val="008E44E1"/>
    <w:rsid w:val="008E49AA"/>
    <w:rsid w:val="008E5951"/>
    <w:rsid w:val="008E5A4C"/>
    <w:rsid w:val="008E5B54"/>
    <w:rsid w:val="008E5F4A"/>
    <w:rsid w:val="008E63B6"/>
    <w:rsid w:val="008E669D"/>
    <w:rsid w:val="008E684B"/>
    <w:rsid w:val="008E6FFB"/>
    <w:rsid w:val="008E7947"/>
    <w:rsid w:val="008F0541"/>
    <w:rsid w:val="008F09F0"/>
    <w:rsid w:val="008F0A05"/>
    <w:rsid w:val="008F1392"/>
    <w:rsid w:val="008F1C60"/>
    <w:rsid w:val="008F1D34"/>
    <w:rsid w:val="008F298B"/>
    <w:rsid w:val="008F33D6"/>
    <w:rsid w:val="008F3759"/>
    <w:rsid w:val="008F393E"/>
    <w:rsid w:val="008F398D"/>
    <w:rsid w:val="008F3A77"/>
    <w:rsid w:val="008F3ACB"/>
    <w:rsid w:val="008F4717"/>
    <w:rsid w:val="008F4734"/>
    <w:rsid w:val="008F480C"/>
    <w:rsid w:val="008F5AC9"/>
    <w:rsid w:val="008F5D9D"/>
    <w:rsid w:val="008F64D1"/>
    <w:rsid w:val="008F6568"/>
    <w:rsid w:val="008F65F2"/>
    <w:rsid w:val="008F68C2"/>
    <w:rsid w:val="008F6F11"/>
    <w:rsid w:val="008F727D"/>
    <w:rsid w:val="008F766C"/>
    <w:rsid w:val="008F7C0E"/>
    <w:rsid w:val="008F7CD8"/>
    <w:rsid w:val="0090004F"/>
    <w:rsid w:val="009010AA"/>
    <w:rsid w:val="009010EE"/>
    <w:rsid w:val="0090149E"/>
    <w:rsid w:val="00902234"/>
    <w:rsid w:val="00902711"/>
    <w:rsid w:val="0090271B"/>
    <w:rsid w:val="00902877"/>
    <w:rsid w:val="00902941"/>
    <w:rsid w:val="00902B42"/>
    <w:rsid w:val="00902B58"/>
    <w:rsid w:val="00902BD3"/>
    <w:rsid w:val="00903271"/>
    <w:rsid w:val="0090333F"/>
    <w:rsid w:val="00904003"/>
    <w:rsid w:val="009042C2"/>
    <w:rsid w:val="009042D0"/>
    <w:rsid w:val="00904851"/>
    <w:rsid w:val="00904C11"/>
    <w:rsid w:val="00904CC8"/>
    <w:rsid w:val="0090518D"/>
    <w:rsid w:val="00905377"/>
    <w:rsid w:val="0090566F"/>
    <w:rsid w:val="00905698"/>
    <w:rsid w:val="0090589F"/>
    <w:rsid w:val="00905A1D"/>
    <w:rsid w:val="00905E54"/>
    <w:rsid w:val="00905FF9"/>
    <w:rsid w:val="00906115"/>
    <w:rsid w:val="009065D3"/>
    <w:rsid w:val="00906EF2"/>
    <w:rsid w:val="00907246"/>
    <w:rsid w:val="00907AA2"/>
    <w:rsid w:val="00907F4A"/>
    <w:rsid w:val="009106EF"/>
    <w:rsid w:val="0091072F"/>
    <w:rsid w:val="009108A3"/>
    <w:rsid w:val="0091105B"/>
    <w:rsid w:val="00911442"/>
    <w:rsid w:val="00911C8E"/>
    <w:rsid w:val="00911D7C"/>
    <w:rsid w:val="00912482"/>
    <w:rsid w:val="009126CF"/>
    <w:rsid w:val="0091281F"/>
    <w:rsid w:val="00912A5C"/>
    <w:rsid w:val="00912D4A"/>
    <w:rsid w:val="009136E5"/>
    <w:rsid w:val="00913785"/>
    <w:rsid w:val="009137F4"/>
    <w:rsid w:val="009138BD"/>
    <w:rsid w:val="00913A84"/>
    <w:rsid w:val="00913BEF"/>
    <w:rsid w:val="009144F8"/>
    <w:rsid w:val="009145AF"/>
    <w:rsid w:val="009149B3"/>
    <w:rsid w:val="009149CE"/>
    <w:rsid w:val="00915060"/>
    <w:rsid w:val="009155A7"/>
    <w:rsid w:val="009157CE"/>
    <w:rsid w:val="00916151"/>
    <w:rsid w:val="00916861"/>
    <w:rsid w:val="009168F5"/>
    <w:rsid w:val="00916D6B"/>
    <w:rsid w:val="00916E64"/>
    <w:rsid w:val="00917104"/>
    <w:rsid w:val="009177D8"/>
    <w:rsid w:val="009177EB"/>
    <w:rsid w:val="00917C0D"/>
    <w:rsid w:val="0092014D"/>
    <w:rsid w:val="009203F8"/>
    <w:rsid w:val="00920511"/>
    <w:rsid w:val="00920816"/>
    <w:rsid w:val="00920B36"/>
    <w:rsid w:val="00920CC4"/>
    <w:rsid w:val="00920F24"/>
    <w:rsid w:val="0092121B"/>
    <w:rsid w:val="009212B4"/>
    <w:rsid w:val="009215C4"/>
    <w:rsid w:val="009215F3"/>
    <w:rsid w:val="0092175A"/>
    <w:rsid w:val="009218A5"/>
    <w:rsid w:val="00921BA2"/>
    <w:rsid w:val="00922425"/>
    <w:rsid w:val="00922453"/>
    <w:rsid w:val="0092257E"/>
    <w:rsid w:val="009225BE"/>
    <w:rsid w:val="0092274C"/>
    <w:rsid w:val="0092275D"/>
    <w:rsid w:val="00923316"/>
    <w:rsid w:val="009233F1"/>
    <w:rsid w:val="009235D5"/>
    <w:rsid w:val="009237AB"/>
    <w:rsid w:val="009239D4"/>
    <w:rsid w:val="0092488E"/>
    <w:rsid w:val="00924D9A"/>
    <w:rsid w:val="00924E0D"/>
    <w:rsid w:val="0092531C"/>
    <w:rsid w:val="00926CD3"/>
    <w:rsid w:val="00926D03"/>
    <w:rsid w:val="00926ECE"/>
    <w:rsid w:val="0092749F"/>
    <w:rsid w:val="009275DA"/>
    <w:rsid w:val="0092761A"/>
    <w:rsid w:val="00927688"/>
    <w:rsid w:val="00930168"/>
    <w:rsid w:val="00930801"/>
    <w:rsid w:val="009308D3"/>
    <w:rsid w:val="00930B87"/>
    <w:rsid w:val="00930D6C"/>
    <w:rsid w:val="00931277"/>
    <w:rsid w:val="0093149E"/>
    <w:rsid w:val="009315DB"/>
    <w:rsid w:val="0093160F"/>
    <w:rsid w:val="009319FA"/>
    <w:rsid w:val="00931A6F"/>
    <w:rsid w:val="00932120"/>
    <w:rsid w:val="009324C5"/>
    <w:rsid w:val="009325C4"/>
    <w:rsid w:val="00932D3C"/>
    <w:rsid w:val="00933026"/>
    <w:rsid w:val="009336E0"/>
    <w:rsid w:val="0093386F"/>
    <w:rsid w:val="00933C76"/>
    <w:rsid w:val="00934025"/>
    <w:rsid w:val="0093419B"/>
    <w:rsid w:val="00934B01"/>
    <w:rsid w:val="00934B06"/>
    <w:rsid w:val="009352F6"/>
    <w:rsid w:val="0093540F"/>
    <w:rsid w:val="00935760"/>
    <w:rsid w:val="0093690C"/>
    <w:rsid w:val="00936C2C"/>
    <w:rsid w:val="009370C1"/>
    <w:rsid w:val="009374BD"/>
    <w:rsid w:val="00937518"/>
    <w:rsid w:val="0093753A"/>
    <w:rsid w:val="00937C83"/>
    <w:rsid w:val="00937E63"/>
    <w:rsid w:val="00940082"/>
    <w:rsid w:val="0094095F"/>
    <w:rsid w:val="00940AD5"/>
    <w:rsid w:val="00940DD3"/>
    <w:rsid w:val="00940F1F"/>
    <w:rsid w:val="00940FD2"/>
    <w:rsid w:val="00941843"/>
    <w:rsid w:val="00941BC1"/>
    <w:rsid w:val="0094200A"/>
    <w:rsid w:val="00942108"/>
    <w:rsid w:val="009425EE"/>
    <w:rsid w:val="0094277B"/>
    <w:rsid w:val="00942782"/>
    <w:rsid w:val="009430F4"/>
    <w:rsid w:val="00943323"/>
    <w:rsid w:val="00944061"/>
    <w:rsid w:val="0094414C"/>
    <w:rsid w:val="00944727"/>
    <w:rsid w:val="00944F7F"/>
    <w:rsid w:val="00945E45"/>
    <w:rsid w:val="00946060"/>
    <w:rsid w:val="009465C7"/>
    <w:rsid w:val="00946B85"/>
    <w:rsid w:val="009470D1"/>
    <w:rsid w:val="0094776E"/>
    <w:rsid w:val="00947869"/>
    <w:rsid w:val="0094791C"/>
    <w:rsid w:val="0094795F"/>
    <w:rsid w:val="00950257"/>
    <w:rsid w:val="009504FF"/>
    <w:rsid w:val="00950AC3"/>
    <w:rsid w:val="00951289"/>
    <w:rsid w:val="00951BE8"/>
    <w:rsid w:val="00951F69"/>
    <w:rsid w:val="00951FE3"/>
    <w:rsid w:val="0095229E"/>
    <w:rsid w:val="009523BB"/>
    <w:rsid w:val="009527DA"/>
    <w:rsid w:val="0095280A"/>
    <w:rsid w:val="00952D21"/>
    <w:rsid w:val="00952F7F"/>
    <w:rsid w:val="00953251"/>
    <w:rsid w:val="00953784"/>
    <w:rsid w:val="00953987"/>
    <w:rsid w:val="00953A98"/>
    <w:rsid w:val="00953AFB"/>
    <w:rsid w:val="00953C6D"/>
    <w:rsid w:val="00953C92"/>
    <w:rsid w:val="00953E66"/>
    <w:rsid w:val="0095411A"/>
    <w:rsid w:val="00954DEF"/>
    <w:rsid w:val="009552A6"/>
    <w:rsid w:val="0095547A"/>
    <w:rsid w:val="0095582E"/>
    <w:rsid w:val="00955C0A"/>
    <w:rsid w:val="0095609B"/>
    <w:rsid w:val="009564C5"/>
    <w:rsid w:val="00956D93"/>
    <w:rsid w:val="00957492"/>
    <w:rsid w:val="009575A0"/>
    <w:rsid w:val="009577C2"/>
    <w:rsid w:val="0095799F"/>
    <w:rsid w:val="009579C0"/>
    <w:rsid w:val="0096081D"/>
    <w:rsid w:val="00960B5A"/>
    <w:rsid w:val="00960C11"/>
    <w:rsid w:val="00960F97"/>
    <w:rsid w:val="0096148C"/>
    <w:rsid w:val="00961616"/>
    <w:rsid w:val="00961699"/>
    <w:rsid w:val="0096187C"/>
    <w:rsid w:val="009619E7"/>
    <w:rsid w:val="00961A7A"/>
    <w:rsid w:val="0096250A"/>
    <w:rsid w:val="0096255C"/>
    <w:rsid w:val="009625AE"/>
    <w:rsid w:val="00962F4B"/>
    <w:rsid w:val="00962F91"/>
    <w:rsid w:val="00962FDE"/>
    <w:rsid w:val="00963096"/>
    <w:rsid w:val="009630D7"/>
    <w:rsid w:val="009631CC"/>
    <w:rsid w:val="00963307"/>
    <w:rsid w:val="0096344E"/>
    <w:rsid w:val="00963A1C"/>
    <w:rsid w:val="00963DEF"/>
    <w:rsid w:val="00964078"/>
    <w:rsid w:val="0096438F"/>
    <w:rsid w:val="00964473"/>
    <w:rsid w:val="00964C98"/>
    <w:rsid w:val="00964FB4"/>
    <w:rsid w:val="00965A8A"/>
    <w:rsid w:val="00965B98"/>
    <w:rsid w:val="00965D57"/>
    <w:rsid w:val="00966246"/>
    <w:rsid w:val="009664BD"/>
    <w:rsid w:val="00966F88"/>
    <w:rsid w:val="009671D9"/>
    <w:rsid w:val="00967350"/>
    <w:rsid w:val="009709F7"/>
    <w:rsid w:val="00970B8F"/>
    <w:rsid w:val="00970BB2"/>
    <w:rsid w:val="00970E70"/>
    <w:rsid w:val="0097118A"/>
    <w:rsid w:val="0097130A"/>
    <w:rsid w:val="00971320"/>
    <w:rsid w:val="00971411"/>
    <w:rsid w:val="0097188F"/>
    <w:rsid w:val="00971F57"/>
    <w:rsid w:val="00972069"/>
    <w:rsid w:val="009720EB"/>
    <w:rsid w:val="009722CA"/>
    <w:rsid w:val="00972B58"/>
    <w:rsid w:val="009730D5"/>
    <w:rsid w:val="00973A31"/>
    <w:rsid w:val="0097469A"/>
    <w:rsid w:val="00974855"/>
    <w:rsid w:val="009748B9"/>
    <w:rsid w:val="00974DAF"/>
    <w:rsid w:val="0097546E"/>
    <w:rsid w:val="00975BD7"/>
    <w:rsid w:val="00976170"/>
    <w:rsid w:val="00976248"/>
    <w:rsid w:val="00976508"/>
    <w:rsid w:val="00976B05"/>
    <w:rsid w:val="00976BE9"/>
    <w:rsid w:val="00976EAA"/>
    <w:rsid w:val="0097714D"/>
    <w:rsid w:val="0097766E"/>
    <w:rsid w:val="00977695"/>
    <w:rsid w:val="00980A69"/>
    <w:rsid w:val="0098153D"/>
    <w:rsid w:val="009817C4"/>
    <w:rsid w:val="00981A9A"/>
    <w:rsid w:val="00981EDB"/>
    <w:rsid w:val="00982115"/>
    <w:rsid w:val="009821D7"/>
    <w:rsid w:val="0098260C"/>
    <w:rsid w:val="00982A9D"/>
    <w:rsid w:val="00982ACC"/>
    <w:rsid w:val="00982B45"/>
    <w:rsid w:val="00983539"/>
    <w:rsid w:val="00983549"/>
    <w:rsid w:val="00983618"/>
    <w:rsid w:val="00983D6C"/>
    <w:rsid w:val="00984023"/>
    <w:rsid w:val="00984270"/>
    <w:rsid w:val="00984552"/>
    <w:rsid w:val="009853C8"/>
    <w:rsid w:val="00985768"/>
    <w:rsid w:val="00985D60"/>
    <w:rsid w:val="0098657D"/>
    <w:rsid w:val="0098660D"/>
    <w:rsid w:val="00986680"/>
    <w:rsid w:val="00986B0C"/>
    <w:rsid w:val="00986BBA"/>
    <w:rsid w:val="00986EBC"/>
    <w:rsid w:val="00986F7D"/>
    <w:rsid w:val="00986FAF"/>
    <w:rsid w:val="009871D7"/>
    <w:rsid w:val="009874D2"/>
    <w:rsid w:val="00987C01"/>
    <w:rsid w:val="00987FBB"/>
    <w:rsid w:val="009900DC"/>
    <w:rsid w:val="00990347"/>
    <w:rsid w:val="00990B54"/>
    <w:rsid w:val="00991339"/>
    <w:rsid w:val="00991D74"/>
    <w:rsid w:val="00992105"/>
    <w:rsid w:val="00992213"/>
    <w:rsid w:val="00992241"/>
    <w:rsid w:val="009925FC"/>
    <w:rsid w:val="00992698"/>
    <w:rsid w:val="009926FE"/>
    <w:rsid w:val="00992B27"/>
    <w:rsid w:val="00993017"/>
    <w:rsid w:val="0099313A"/>
    <w:rsid w:val="00993190"/>
    <w:rsid w:val="00993689"/>
    <w:rsid w:val="00994125"/>
    <w:rsid w:val="009948A7"/>
    <w:rsid w:val="00994AB8"/>
    <w:rsid w:val="00994B10"/>
    <w:rsid w:val="00994B4A"/>
    <w:rsid w:val="00994DF4"/>
    <w:rsid w:val="0099533A"/>
    <w:rsid w:val="00995742"/>
    <w:rsid w:val="00995B42"/>
    <w:rsid w:val="00995C1F"/>
    <w:rsid w:val="00995C8A"/>
    <w:rsid w:val="00995F5C"/>
    <w:rsid w:val="009961EB"/>
    <w:rsid w:val="0099637F"/>
    <w:rsid w:val="00996D04"/>
    <w:rsid w:val="00996DA8"/>
    <w:rsid w:val="00996F75"/>
    <w:rsid w:val="009971FC"/>
    <w:rsid w:val="0099747D"/>
    <w:rsid w:val="00997E1F"/>
    <w:rsid w:val="009A0277"/>
    <w:rsid w:val="009A08AA"/>
    <w:rsid w:val="009A0FDD"/>
    <w:rsid w:val="009A17AE"/>
    <w:rsid w:val="009A1984"/>
    <w:rsid w:val="009A1C85"/>
    <w:rsid w:val="009A1DB0"/>
    <w:rsid w:val="009A2531"/>
    <w:rsid w:val="009A2563"/>
    <w:rsid w:val="009A2735"/>
    <w:rsid w:val="009A29A6"/>
    <w:rsid w:val="009A2B2B"/>
    <w:rsid w:val="009A46A2"/>
    <w:rsid w:val="009A4B41"/>
    <w:rsid w:val="009A4EA4"/>
    <w:rsid w:val="009A5076"/>
    <w:rsid w:val="009A5279"/>
    <w:rsid w:val="009A52D4"/>
    <w:rsid w:val="009A55E3"/>
    <w:rsid w:val="009A5902"/>
    <w:rsid w:val="009A5E2D"/>
    <w:rsid w:val="009A5E70"/>
    <w:rsid w:val="009A5E90"/>
    <w:rsid w:val="009A5F79"/>
    <w:rsid w:val="009A614A"/>
    <w:rsid w:val="009A68FA"/>
    <w:rsid w:val="009A6F72"/>
    <w:rsid w:val="009A70A1"/>
    <w:rsid w:val="009A72E2"/>
    <w:rsid w:val="009A7D1E"/>
    <w:rsid w:val="009B052C"/>
    <w:rsid w:val="009B0F33"/>
    <w:rsid w:val="009B1173"/>
    <w:rsid w:val="009B1312"/>
    <w:rsid w:val="009B177A"/>
    <w:rsid w:val="009B2236"/>
    <w:rsid w:val="009B2375"/>
    <w:rsid w:val="009B2FE2"/>
    <w:rsid w:val="009B3297"/>
    <w:rsid w:val="009B3704"/>
    <w:rsid w:val="009B389B"/>
    <w:rsid w:val="009B397B"/>
    <w:rsid w:val="009B3BF4"/>
    <w:rsid w:val="009B402B"/>
    <w:rsid w:val="009B4044"/>
    <w:rsid w:val="009B4BB5"/>
    <w:rsid w:val="009B4F73"/>
    <w:rsid w:val="009B4FD1"/>
    <w:rsid w:val="009B54AF"/>
    <w:rsid w:val="009B56C6"/>
    <w:rsid w:val="009B58D9"/>
    <w:rsid w:val="009B5980"/>
    <w:rsid w:val="009B6187"/>
    <w:rsid w:val="009B6308"/>
    <w:rsid w:val="009B661C"/>
    <w:rsid w:val="009B6677"/>
    <w:rsid w:val="009B6A26"/>
    <w:rsid w:val="009B6F83"/>
    <w:rsid w:val="009B73F5"/>
    <w:rsid w:val="009B7AEA"/>
    <w:rsid w:val="009B7E4F"/>
    <w:rsid w:val="009C01F4"/>
    <w:rsid w:val="009C04AA"/>
    <w:rsid w:val="009C04D3"/>
    <w:rsid w:val="009C0B47"/>
    <w:rsid w:val="009C107B"/>
    <w:rsid w:val="009C13D1"/>
    <w:rsid w:val="009C15C7"/>
    <w:rsid w:val="009C18DA"/>
    <w:rsid w:val="009C1E81"/>
    <w:rsid w:val="009C2381"/>
    <w:rsid w:val="009C2ABF"/>
    <w:rsid w:val="009C2C29"/>
    <w:rsid w:val="009C341C"/>
    <w:rsid w:val="009C3548"/>
    <w:rsid w:val="009C362B"/>
    <w:rsid w:val="009C3A13"/>
    <w:rsid w:val="009C3D52"/>
    <w:rsid w:val="009C4507"/>
    <w:rsid w:val="009C5896"/>
    <w:rsid w:val="009C5A65"/>
    <w:rsid w:val="009C5CA3"/>
    <w:rsid w:val="009C6195"/>
    <w:rsid w:val="009C6383"/>
    <w:rsid w:val="009C65DB"/>
    <w:rsid w:val="009C7C5A"/>
    <w:rsid w:val="009C7CEC"/>
    <w:rsid w:val="009C7D87"/>
    <w:rsid w:val="009C7DF3"/>
    <w:rsid w:val="009C7F89"/>
    <w:rsid w:val="009D032A"/>
    <w:rsid w:val="009D063F"/>
    <w:rsid w:val="009D0C89"/>
    <w:rsid w:val="009D1D45"/>
    <w:rsid w:val="009D2221"/>
    <w:rsid w:val="009D2367"/>
    <w:rsid w:val="009D2947"/>
    <w:rsid w:val="009D29D0"/>
    <w:rsid w:val="009D3129"/>
    <w:rsid w:val="009D4812"/>
    <w:rsid w:val="009D4919"/>
    <w:rsid w:val="009D4B0A"/>
    <w:rsid w:val="009D4C65"/>
    <w:rsid w:val="009D52F9"/>
    <w:rsid w:val="009D5787"/>
    <w:rsid w:val="009D5999"/>
    <w:rsid w:val="009D5A95"/>
    <w:rsid w:val="009D5FC6"/>
    <w:rsid w:val="009D61AA"/>
    <w:rsid w:val="009D63F7"/>
    <w:rsid w:val="009D654C"/>
    <w:rsid w:val="009D677A"/>
    <w:rsid w:val="009D6A0C"/>
    <w:rsid w:val="009D721F"/>
    <w:rsid w:val="009D73A5"/>
    <w:rsid w:val="009D741A"/>
    <w:rsid w:val="009D7952"/>
    <w:rsid w:val="009D7AB3"/>
    <w:rsid w:val="009E0388"/>
    <w:rsid w:val="009E1166"/>
    <w:rsid w:val="009E1A10"/>
    <w:rsid w:val="009E1D62"/>
    <w:rsid w:val="009E20D8"/>
    <w:rsid w:val="009E24ED"/>
    <w:rsid w:val="009E25E8"/>
    <w:rsid w:val="009E2702"/>
    <w:rsid w:val="009E2A08"/>
    <w:rsid w:val="009E3268"/>
    <w:rsid w:val="009E33FC"/>
    <w:rsid w:val="009E372B"/>
    <w:rsid w:val="009E3830"/>
    <w:rsid w:val="009E3838"/>
    <w:rsid w:val="009E3ABF"/>
    <w:rsid w:val="009E3FB7"/>
    <w:rsid w:val="009E4261"/>
    <w:rsid w:val="009E451B"/>
    <w:rsid w:val="009E45BE"/>
    <w:rsid w:val="009E47F7"/>
    <w:rsid w:val="009E59BF"/>
    <w:rsid w:val="009E5B28"/>
    <w:rsid w:val="009E5CAE"/>
    <w:rsid w:val="009E5E40"/>
    <w:rsid w:val="009E5FD0"/>
    <w:rsid w:val="009E607A"/>
    <w:rsid w:val="009E60A0"/>
    <w:rsid w:val="009E6361"/>
    <w:rsid w:val="009E67AF"/>
    <w:rsid w:val="009E67CA"/>
    <w:rsid w:val="009E67DC"/>
    <w:rsid w:val="009E7438"/>
    <w:rsid w:val="009E7A1E"/>
    <w:rsid w:val="009E7AFA"/>
    <w:rsid w:val="009F08D3"/>
    <w:rsid w:val="009F0BA1"/>
    <w:rsid w:val="009F0E36"/>
    <w:rsid w:val="009F105A"/>
    <w:rsid w:val="009F12A4"/>
    <w:rsid w:val="009F2066"/>
    <w:rsid w:val="009F282F"/>
    <w:rsid w:val="009F2ABC"/>
    <w:rsid w:val="009F2AC3"/>
    <w:rsid w:val="009F2D9A"/>
    <w:rsid w:val="009F39F1"/>
    <w:rsid w:val="009F3D8B"/>
    <w:rsid w:val="009F44C6"/>
    <w:rsid w:val="009F49A1"/>
    <w:rsid w:val="009F4E0C"/>
    <w:rsid w:val="009F4E3D"/>
    <w:rsid w:val="009F500F"/>
    <w:rsid w:val="009F504C"/>
    <w:rsid w:val="009F5319"/>
    <w:rsid w:val="009F58B5"/>
    <w:rsid w:val="009F5B23"/>
    <w:rsid w:val="009F5D5E"/>
    <w:rsid w:val="009F5D6D"/>
    <w:rsid w:val="009F6210"/>
    <w:rsid w:val="009F65C8"/>
    <w:rsid w:val="009F6D75"/>
    <w:rsid w:val="009F707F"/>
    <w:rsid w:val="009F70A7"/>
    <w:rsid w:val="009F7316"/>
    <w:rsid w:val="009F7374"/>
    <w:rsid w:val="009F75EB"/>
    <w:rsid w:val="009F7ADF"/>
    <w:rsid w:val="009F7D26"/>
    <w:rsid w:val="009F7E1E"/>
    <w:rsid w:val="009F7E43"/>
    <w:rsid w:val="00A00C21"/>
    <w:rsid w:val="00A00CA2"/>
    <w:rsid w:val="00A00F38"/>
    <w:rsid w:val="00A0182D"/>
    <w:rsid w:val="00A01BE6"/>
    <w:rsid w:val="00A021AB"/>
    <w:rsid w:val="00A03153"/>
    <w:rsid w:val="00A04207"/>
    <w:rsid w:val="00A043B7"/>
    <w:rsid w:val="00A04602"/>
    <w:rsid w:val="00A048EA"/>
    <w:rsid w:val="00A048F7"/>
    <w:rsid w:val="00A04E72"/>
    <w:rsid w:val="00A04E8B"/>
    <w:rsid w:val="00A04EE8"/>
    <w:rsid w:val="00A051DA"/>
    <w:rsid w:val="00A05650"/>
    <w:rsid w:val="00A05693"/>
    <w:rsid w:val="00A05BA0"/>
    <w:rsid w:val="00A06CFE"/>
    <w:rsid w:val="00A07026"/>
    <w:rsid w:val="00A07083"/>
    <w:rsid w:val="00A070D4"/>
    <w:rsid w:val="00A071A6"/>
    <w:rsid w:val="00A0764A"/>
    <w:rsid w:val="00A078F6"/>
    <w:rsid w:val="00A079B8"/>
    <w:rsid w:val="00A07EFA"/>
    <w:rsid w:val="00A100A1"/>
    <w:rsid w:val="00A1087F"/>
    <w:rsid w:val="00A11061"/>
    <w:rsid w:val="00A110B2"/>
    <w:rsid w:val="00A11885"/>
    <w:rsid w:val="00A11BF4"/>
    <w:rsid w:val="00A131F1"/>
    <w:rsid w:val="00A1352E"/>
    <w:rsid w:val="00A1360C"/>
    <w:rsid w:val="00A136FF"/>
    <w:rsid w:val="00A13799"/>
    <w:rsid w:val="00A13D3F"/>
    <w:rsid w:val="00A1403B"/>
    <w:rsid w:val="00A140D5"/>
    <w:rsid w:val="00A1455F"/>
    <w:rsid w:val="00A14BAF"/>
    <w:rsid w:val="00A14C71"/>
    <w:rsid w:val="00A14CC7"/>
    <w:rsid w:val="00A15193"/>
    <w:rsid w:val="00A15306"/>
    <w:rsid w:val="00A15448"/>
    <w:rsid w:val="00A15B43"/>
    <w:rsid w:val="00A15B65"/>
    <w:rsid w:val="00A15F73"/>
    <w:rsid w:val="00A162E9"/>
    <w:rsid w:val="00A16306"/>
    <w:rsid w:val="00A17BD4"/>
    <w:rsid w:val="00A17BE5"/>
    <w:rsid w:val="00A201F2"/>
    <w:rsid w:val="00A2044B"/>
    <w:rsid w:val="00A20611"/>
    <w:rsid w:val="00A206B9"/>
    <w:rsid w:val="00A20EB6"/>
    <w:rsid w:val="00A21C41"/>
    <w:rsid w:val="00A21FB1"/>
    <w:rsid w:val="00A2205C"/>
    <w:rsid w:val="00A2225E"/>
    <w:rsid w:val="00A2260B"/>
    <w:rsid w:val="00A233F5"/>
    <w:rsid w:val="00A2345C"/>
    <w:rsid w:val="00A23D1D"/>
    <w:rsid w:val="00A23F6B"/>
    <w:rsid w:val="00A23FCF"/>
    <w:rsid w:val="00A240B6"/>
    <w:rsid w:val="00A24A55"/>
    <w:rsid w:val="00A25DC7"/>
    <w:rsid w:val="00A262D6"/>
    <w:rsid w:val="00A26342"/>
    <w:rsid w:val="00A26369"/>
    <w:rsid w:val="00A26440"/>
    <w:rsid w:val="00A26879"/>
    <w:rsid w:val="00A269D1"/>
    <w:rsid w:val="00A2721E"/>
    <w:rsid w:val="00A27615"/>
    <w:rsid w:val="00A277E1"/>
    <w:rsid w:val="00A27ABB"/>
    <w:rsid w:val="00A27E1F"/>
    <w:rsid w:val="00A30AB2"/>
    <w:rsid w:val="00A30B41"/>
    <w:rsid w:val="00A3109C"/>
    <w:rsid w:val="00A31100"/>
    <w:rsid w:val="00A315FE"/>
    <w:rsid w:val="00A31857"/>
    <w:rsid w:val="00A31E5D"/>
    <w:rsid w:val="00A31EBF"/>
    <w:rsid w:val="00A322F7"/>
    <w:rsid w:val="00A32517"/>
    <w:rsid w:val="00A3362D"/>
    <w:rsid w:val="00A33892"/>
    <w:rsid w:val="00A34202"/>
    <w:rsid w:val="00A344AC"/>
    <w:rsid w:val="00A3474A"/>
    <w:rsid w:val="00A34CC5"/>
    <w:rsid w:val="00A3532A"/>
    <w:rsid w:val="00A353AC"/>
    <w:rsid w:val="00A36073"/>
    <w:rsid w:val="00A365B3"/>
    <w:rsid w:val="00A36609"/>
    <w:rsid w:val="00A369C7"/>
    <w:rsid w:val="00A36CCA"/>
    <w:rsid w:val="00A402A8"/>
    <w:rsid w:val="00A4071B"/>
    <w:rsid w:val="00A40B56"/>
    <w:rsid w:val="00A40B88"/>
    <w:rsid w:val="00A40D0A"/>
    <w:rsid w:val="00A415D3"/>
    <w:rsid w:val="00A416ED"/>
    <w:rsid w:val="00A418C4"/>
    <w:rsid w:val="00A419CA"/>
    <w:rsid w:val="00A41DF5"/>
    <w:rsid w:val="00A41F6C"/>
    <w:rsid w:val="00A4216C"/>
    <w:rsid w:val="00A42B50"/>
    <w:rsid w:val="00A430AC"/>
    <w:rsid w:val="00A43A75"/>
    <w:rsid w:val="00A43B8D"/>
    <w:rsid w:val="00A440D4"/>
    <w:rsid w:val="00A445E2"/>
    <w:rsid w:val="00A446E9"/>
    <w:rsid w:val="00A44B86"/>
    <w:rsid w:val="00A44E7E"/>
    <w:rsid w:val="00A451D0"/>
    <w:rsid w:val="00A45326"/>
    <w:rsid w:val="00A45ABC"/>
    <w:rsid w:val="00A45F58"/>
    <w:rsid w:val="00A46CD9"/>
    <w:rsid w:val="00A4736B"/>
    <w:rsid w:val="00A4737E"/>
    <w:rsid w:val="00A50624"/>
    <w:rsid w:val="00A50B2D"/>
    <w:rsid w:val="00A50FC3"/>
    <w:rsid w:val="00A511A1"/>
    <w:rsid w:val="00A51567"/>
    <w:rsid w:val="00A51570"/>
    <w:rsid w:val="00A51891"/>
    <w:rsid w:val="00A51AAC"/>
    <w:rsid w:val="00A520FB"/>
    <w:rsid w:val="00A52423"/>
    <w:rsid w:val="00A52ED7"/>
    <w:rsid w:val="00A5306D"/>
    <w:rsid w:val="00A531BE"/>
    <w:rsid w:val="00A53C34"/>
    <w:rsid w:val="00A53EEF"/>
    <w:rsid w:val="00A542D6"/>
    <w:rsid w:val="00A544EF"/>
    <w:rsid w:val="00A549E3"/>
    <w:rsid w:val="00A54D09"/>
    <w:rsid w:val="00A54F98"/>
    <w:rsid w:val="00A55584"/>
    <w:rsid w:val="00A55604"/>
    <w:rsid w:val="00A55CDB"/>
    <w:rsid w:val="00A56252"/>
    <w:rsid w:val="00A566EF"/>
    <w:rsid w:val="00A567CC"/>
    <w:rsid w:val="00A56971"/>
    <w:rsid w:val="00A56A41"/>
    <w:rsid w:val="00A56AFE"/>
    <w:rsid w:val="00A57019"/>
    <w:rsid w:val="00A5707F"/>
    <w:rsid w:val="00A5710F"/>
    <w:rsid w:val="00A577FD"/>
    <w:rsid w:val="00A5799E"/>
    <w:rsid w:val="00A60011"/>
    <w:rsid w:val="00A617DE"/>
    <w:rsid w:val="00A618FA"/>
    <w:rsid w:val="00A61C76"/>
    <w:rsid w:val="00A62290"/>
    <w:rsid w:val="00A62BAC"/>
    <w:rsid w:val="00A62BDA"/>
    <w:rsid w:val="00A62CEE"/>
    <w:rsid w:val="00A62CF4"/>
    <w:rsid w:val="00A633A3"/>
    <w:rsid w:val="00A63683"/>
    <w:rsid w:val="00A6384F"/>
    <w:rsid w:val="00A640B8"/>
    <w:rsid w:val="00A640EA"/>
    <w:rsid w:val="00A6429C"/>
    <w:rsid w:val="00A648A4"/>
    <w:rsid w:val="00A655B9"/>
    <w:rsid w:val="00A657DA"/>
    <w:rsid w:val="00A65CAA"/>
    <w:rsid w:val="00A66541"/>
    <w:rsid w:val="00A66866"/>
    <w:rsid w:val="00A66A08"/>
    <w:rsid w:val="00A66B7D"/>
    <w:rsid w:val="00A66BBA"/>
    <w:rsid w:val="00A66CE3"/>
    <w:rsid w:val="00A66DBC"/>
    <w:rsid w:val="00A66F25"/>
    <w:rsid w:val="00A67171"/>
    <w:rsid w:val="00A67214"/>
    <w:rsid w:val="00A67BAE"/>
    <w:rsid w:val="00A706E9"/>
    <w:rsid w:val="00A71BBC"/>
    <w:rsid w:val="00A71FF8"/>
    <w:rsid w:val="00A724B7"/>
    <w:rsid w:val="00A728F3"/>
    <w:rsid w:val="00A72EAF"/>
    <w:rsid w:val="00A72FAD"/>
    <w:rsid w:val="00A73B78"/>
    <w:rsid w:val="00A74312"/>
    <w:rsid w:val="00A74391"/>
    <w:rsid w:val="00A7459B"/>
    <w:rsid w:val="00A7464C"/>
    <w:rsid w:val="00A74790"/>
    <w:rsid w:val="00A747D9"/>
    <w:rsid w:val="00A74B98"/>
    <w:rsid w:val="00A74BCF"/>
    <w:rsid w:val="00A74C41"/>
    <w:rsid w:val="00A75735"/>
    <w:rsid w:val="00A758D5"/>
    <w:rsid w:val="00A75913"/>
    <w:rsid w:val="00A75927"/>
    <w:rsid w:val="00A75A6A"/>
    <w:rsid w:val="00A75A90"/>
    <w:rsid w:val="00A763DB"/>
    <w:rsid w:val="00A763FB"/>
    <w:rsid w:val="00A7644C"/>
    <w:rsid w:val="00A764DC"/>
    <w:rsid w:val="00A76528"/>
    <w:rsid w:val="00A76692"/>
    <w:rsid w:val="00A76BDC"/>
    <w:rsid w:val="00A77272"/>
    <w:rsid w:val="00A77367"/>
    <w:rsid w:val="00A80AE4"/>
    <w:rsid w:val="00A80B24"/>
    <w:rsid w:val="00A8167E"/>
    <w:rsid w:val="00A81B71"/>
    <w:rsid w:val="00A81BFA"/>
    <w:rsid w:val="00A8343A"/>
    <w:rsid w:val="00A842A9"/>
    <w:rsid w:val="00A84311"/>
    <w:rsid w:val="00A8459D"/>
    <w:rsid w:val="00A8498D"/>
    <w:rsid w:val="00A84D37"/>
    <w:rsid w:val="00A84FF7"/>
    <w:rsid w:val="00A851A9"/>
    <w:rsid w:val="00A8528C"/>
    <w:rsid w:val="00A853A5"/>
    <w:rsid w:val="00A857EB"/>
    <w:rsid w:val="00A85C60"/>
    <w:rsid w:val="00A860E7"/>
    <w:rsid w:val="00A8624C"/>
    <w:rsid w:val="00A86C87"/>
    <w:rsid w:val="00A87001"/>
    <w:rsid w:val="00A872F1"/>
    <w:rsid w:val="00A875AC"/>
    <w:rsid w:val="00A875F6"/>
    <w:rsid w:val="00A87836"/>
    <w:rsid w:val="00A87BC3"/>
    <w:rsid w:val="00A900FC"/>
    <w:rsid w:val="00A90342"/>
    <w:rsid w:val="00A90A65"/>
    <w:rsid w:val="00A918E3"/>
    <w:rsid w:val="00A91B99"/>
    <w:rsid w:val="00A9280C"/>
    <w:rsid w:val="00A92927"/>
    <w:rsid w:val="00A92B8C"/>
    <w:rsid w:val="00A92E17"/>
    <w:rsid w:val="00A934AF"/>
    <w:rsid w:val="00A93740"/>
    <w:rsid w:val="00A9386F"/>
    <w:rsid w:val="00A93A30"/>
    <w:rsid w:val="00A9421F"/>
    <w:rsid w:val="00A94285"/>
    <w:rsid w:val="00A948AA"/>
    <w:rsid w:val="00A94C6C"/>
    <w:rsid w:val="00A94D8B"/>
    <w:rsid w:val="00A954ED"/>
    <w:rsid w:val="00A9591E"/>
    <w:rsid w:val="00A95ACA"/>
    <w:rsid w:val="00A95BEF"/>
    <w:rsid w:val="00A9644F"/>
    <w:rsid w:val="00A96BE8"/>
    <w:rsid w:val="00A96C38"/>
    <w:rsid w:val="00A96E3A"/>
    <w:rsid w:val="00A973E1"/>
    <w:rsid w:val="00A974E5"/>
    <w:rsid w:val="00A97E7F"/>
    <w:rsid w:val="00AA039B"/>
    <w:rsid w:val="00AA03F9"/>
    <w:rsid w:val="00AA0655"/>
    <w:rsid w:val="00AA073F"/>
    <w:rsid w:val="00AA09BC"/>
    <w:rsid w:val="00AA0F29"/>
    <w:rsid w:val="00AA1E51"/>
    <w:rsid w:val="00AA2A0B"/>
    <w:rsid w:val="00AA2B32"/>
    <w:rsid w:val="00AA2D3B"/>
    <w:rsid w:val="00AA3083"/>
    <w:rsid w:val="00AA3634"/>
    <w:rsid w:val="00AA36C2"/>
    <w:rsid w:val="00AA402D"/>
    <w:rsid w:val="00AA406F"/>
    <w:rsid w:val="00AA46AF"/>
    <w:rsid w:val="00AA46CA"/>
    <w:rsid w:val="00AA46E1"/>
    <w:rsid w:val="00AA4A97"/>
    <w:rsid w:val="00AA4CA3"/>
    <w:rsid w:val="00AA4E63"/>
    <w:rsid w:val="00AA52FD"/>
    <w:rsid w:val="00AA53E9"/>
    <w:rsid w:val="00AA5740"/>
    <w:rsid w:val="00AA58B9"/>
    <w:rsid w:val="00AA5988"/>
    <w:rsid w:val="00AA5BA1"/>
    <w:rsid w:val="00AA77FB"/>
    <w:rsid w:val="00AA795F"/>
    <w:rsid w:val="00AA7CA7"/>
    <w:rsid w:val="00AA7D9B"/>
    <w:rsid w:val="00AA7F7E"/>
    <w:rsid w:val="00AB0293"/>
    <w:rsid w:val="00AB0616"/>
    <w:rsid w:val="00AB06A2"/>
    <w:rsid w:val="00AB0A6B"/>
    <w:rsid w:val="00AB0BDD"/>
    <w:rsid w:val="00AB0DF7"/>
    <w:rsid w:val="00AB1458"/>
    <w:rsid w:val="00AB16FE"/>
    <w:rsid w:val="00AB176D"/>
    <w:rsid w:val="00AB1B97"/>
    <w:rsid w:val="00AB1E6F"/>
    <w:rsid w:val="00AB1F7E"/>
    <w:rsid w:val="00AB20D3"/>
    <w:rsid w:val="00AB2224"/>
    <w:rsid w:val="00AB266A"/>
    <w:rsid w:val="00AB28CC"/>
    <w:rsid w:val="00AB2B8A"/>
    <w:rsid w:val="00AB379C"/>
    <w:rsid w:val="00AB43AB"/>
    <w:rsid w:val="00AB5055"/>
    <w:rsid w:val="00AB5192"/>
    <w:rsid w:val="00AB51B0"/>
    <w:rsid w:val="00AB5732"/>
    <w:rsid w:val="00AB5DE5"/>
    <w:rsid w:val="00AB6106"/>
    <w:rsid w:val="00AB65D4"/>
    <w:rsid w:val="00AB6761"/>
    <w:rsid w:val="00AB686D"/>
    <w:rsid w:val="00AB6D77"/>
    <w:rsid w:val="00AB6EC0"/>
    <w:rsid w:val="00AB7068"/>
    <w:rsid w:val="00AB78FA"/>
    <w:rsid w:val="00AB7EE6"/>
    <w:rsid w:val="00AC0CD0"/>
    <w:rsid w:val="00AC0EFF"/>
    <w:rsid w:val="00AC1405"/>
    <w:rsid w:val="00AC1502"/>
    <w:rsid w:val="00AC227B"/>
    <w:rsid w:val="00AC2890"/>
    <w:rsid w:val="00AC2EC0"/>
    <w:rsid w:val="00AC3133"/>
    <w:rsid w:val="00AC341C"/>
    <w:rsid w:val="00AC36D2"/>
    <w:rsid w:val="00AC4285"/>
    <w:rsid w:val="00AC4413"/>
    <w:rsid w:val="00AC4507"/>
    <w:rsid w:val="00AC4AA0"/>
    <w:rsid w:val="00AC4C73"/>
    <w:rsid w:val="00AC4E16"/>
    <w:rsid w:val="00AC53B7"/>
    <w:rsid w:val="00AC55D5"/>
    <w:rsid w:val="00AC55EC"/>
    <w:rsid w:val="00AC57C1"/>
    <w:rsid w:val="00AC5BDC"/>
    <w:rsid w:val="00AC5EC2"/>
    <w:rsid w:val="00AC6046"/>
    <w:rsid w:val="00AC6170"/>
    <w:rsid w:val="00AC6450"/>
    <w:rsid w:val="00AC6868"/>
    <w:rsid w:val="00AC6C70"/>
    <w:rsid w:val="00AC6ED0"/>
    <w:rsid w:val="00AC721D"/>
    <w:rsid w:val="00AC73DE"/>
    <w:rsid w:val="00AC7C41"/>
    <w:rsid w:val="00AD04E0"/>
    <w:rsid w:val="00AD0BC3"/>
    <w:rsid w:val="00AD0CE3"/>
    <w:rsid w:val="00AD0DF8"/>
    <w:rsid w:val="00AD14E0"/>
    <w:rsid w:val="00AD1ACC"/>
    <w:rsid w:val="00AD20DD"/>
    <w:rsid w:val="00AD233C"/>
    <w:rsid w:val="00AD239C"/>
    <w:rsid w:val="00AD253C"/>
    <w:rsid w:val="00AD26FE"/>
    <w:rsid w:val="00AD2CD5"/>
    <w:rsid w:val="00AD3455"/>
    <w:rsid w:val="00AD3885"/>
    <w:rsid w:val="00AD4033"/>
    <w:rsid w:val="00AD40EC"/>
    <w:rsid w:val="00AD45E1"/>
    <w:rsid w:val="00AD496D"/>
    <w:rsid w:val="00AD4D03"/>
    <w:rsid w:val="00AD4FC4"/>
    <w:rsid w:val="00AD55FA"/>
    <w:rsid w:val="00AD5769"/>
    <w:rsid w:val="00AD5CF9"/>
    <w:rsid w:val="00AD5E2D"/>
    <w:rsid w:val="00AD5FE6"/>
    <w:rsid w:val="00AD66D8"/>
    <w:rsid w:val="00AD7031"/>
    <w:rsid w:val="00AD758C"/>
    <w:rsid w:val="00AD7A7C"/>
    <w:rsid w:val="00AE0035"/>
    <w:rsid w:val="00AE0064"/>
    <w:rsid w:val="00AE04F3"/>
    <w:rsid w:val="00AE0539"/>
    <w:rsid w:val="00AE09D0"/>
    <w:rsid w:val="00AE111D"/>
    <w:rsid w:val="00AE1210"/>
    <w:rsid w:val="00AE1EC9"/>
    <w:rsid w:val="00AE1EF9"/>
    <w:rsid w:val="00AE2A09"/>
    <w:rsid w:val="00AE3AF8"/>
    <w:rsid w:val="00AE3D97"/>
    <w:rsid w:val="00AE3DF0"/>
    <w:rsid w:val="00AE3EF2"/>
    <w:rsid w:val="00AE3FB9"/>
    <w:rsid w:val="00AE4638"/>
    <w:rsid w:val="00AE46B5"/>
    <w:rsid w:val="00AE48B6"/>
    <w:rsid w:val="00AE5373"/>
    <w:rsid w:val="00AE5497"/>
    <w:rsid w:val="00AE55B2"/>
    <w:rsid w:val="00AE57D3"/>
    <w:rsid w:val="00AE5FB0"/>
    <w:rsid w:val="00AE670F"/>
    <w:rsid w:val="00AE6FB7"/>
    <w:rsid w:val="00AE75E3"/>
    <w:rsid w:val="00AE7CA5"/>
    <w:rsid w:val="00AE7FA9"/>
    <w:rsid w:val="00AF0439"/>
    <w:rsid w:val="00AF05B0"/>
    <w:rsid w:val="00AF089C"/>
    <w:rsid w:val="00AF08F5"/>
    <w:rsid w:val="00AF0DB4"/>
    <w:rsid w:val="00AF0DB6"/>
    <w:rsid w:val="00AF1193"/>
    <w:rsid w:val="00AF134D"/>
    <w:rsid w:val="00AF1391"/>
    <w:rsid w:val="00AF18DE"/>
    <w:rsid w:val="00AF1B36"/>
    <w:rsid w:val="00AF1F63"/>
    <w:rsid w:val="00AF1FC6"/>
    <w:rsid w:val="00AF228C"/>
    <w:rsid w:val="00AF237E"/>
    <w:rsid w:val="00AF23A6"/>
    <w:rsid w:val="00AF24F7"/>
    <w:rsid w:val="00AF2BB1"/>
    <w:rsid w:val="00AF2F44"/>
    <w:rsid w:val="00AF3288"/>
    <w:rsid w:val="00AF3312"/>
    <w:rsid w:val="00AF3500"/>
    <w:rsid w:val="00AF3690"/>
    <w:rsid w:val="00AF3E19"/>
    <w:rsid w:val="00AF41B5"/>
    <w:rsid w:val="00AF42BF"/>
    <w:rsid w:val="00AF455E"/>
    <w:rsid w:val="00AF46EA"/>
    <w:rsid w:val="00AF4B7D"/>
    <w:rsid w:val="00AF4CD5"/>
    <w:rsid w:val="00AF4F95"/>
    <w:rsid w:val="00AF5333"/>
    <w:rsid w:val="00AF5B00"/>
    <w:rsid w:val="00AF5CF3"/>
    <w:rsid w:val="00AF6470"/>
    <w:rsid w:val="00AF65B1"/>
    <w:rsid w:val="00AF69B3"/>
    <w:rsid w:val="00AF6BB9"/>
    <w:rsid w:val="00AF75A1"/>
    <w:rsid w:val="00AF7750"/>
    <w:rsid w:val="00AF77E3"/>
    <w:rsid w:val="00AF7DFE"/>
    <w:rsid w:val="00B003BA"/>
    <w:rsid w:val="00B007E8"/>
    <w:rsid w:val="00B00826"/>
    <w:rsid w:val="00B00D5A"/>
    <w:rsid w:val="00B00F51"/>
    <w:rsid w:val="00B019D1"/>
    <w:rsid w:val="00B01EFD"/>
    <w:rsid w:val="00B01F66"/>
    <w:rsid w:val="00B01F6D"/>
    <w:rsid w:val="00B02085"/>
    <w:rsid w:val="00B0219E"/>
    <w:rsid w:val="00B0235B"/>
    <w:rsid w:val="00B026F8"/>
    <w:rsid w:val="00B02C7D"/>
    <w:rsid w:val="00B02CDE"/>
    <w:rsid w:val="00B02EFC"/>
    <w:rsid w:val="00B04603"/>
    <w:rsid w:val="00B046A1"/>
    <w:rsid w:val="00B04EFF"/>
    <w:rsid w:val="00B0531E"/>
    <w:rsid w:val="00B0566D"/>
    <w:rsid w:val="00B05B6A"/>
    <w:rsid w:val="00B062D5"/>
    <w:rsid w:val="00B06862"/>
    <w:rsid w:val="00B06BF2"/>
    <w:rsid w:val="00B06EFD"/>
    <w:rsid w:val="00B07462"/>
    <w:rsid w:val="00B07503"/>
    <w:rsid w:val="00B075A4"/>
    <w:rsid w:val="00B075FD"/>
    <w:rsid w:val="00B076E9"/>
    <w:rsid w:val="00B076FA"/>
    <w:rsid w:val="00B07A05"/>
    <w:rsid w:val="00B11379"/>
    <w:rsid w:val="00B11890"/>
    <w:rsid w:val="00B1202A"/>
    <w:rsid w:val="00B1217B"/>
    <w:rsid w:val="00B130EB"/>
    <w:rsid w:val="00B13180"/>
    <w:rsid w:val="00B13404"/>
    <w:rsid w:val="00B138C2"/>
    <w:rsid w:val="00B13ABB"/>
    <w:rsid w:val="00B13D39"/>
    <w:rsid w:val="00B1406F"/>
    <w:rsid w:val="00B140A1"/>
    <w:rsid w:val="00B14537"/>
    <w:rsid w:val="00B14F45"/>
    <w:rsid w:val="00B154BC"/>
    <w:rsid w:val="00B1565C"/>
    <w:rsid w:val="00B158D2"/>
    <w:rsid w:val="00B15A31"/>
    <w:rsid w:val="00B15BD7"/>
    <w:rsid w:val="00B15F08"/>
    <w:rsid w:val="00B15FDF"/>
    <w:rsid w:val="00B16017"/>
    <w:rsid w:val="00B1618C"/>
    <w:rsid w:val="00B169A2"/>
    <w:rsid w:val="00B169B7"/>
    <w:rsid w:val="00B176E1"/>
    <w:rsid w:val="00B17966"/>
    <w:rsid w:val="00B17D56"/>
    <w:rsid w:val="00B17D91"/>
    <w:rsid w:val="00B17F1D"/>
    <w:rsid w:val="00B20621"/>
    <w:rsid w:val="00B20DBC"/>
    <w:rsid w:val="00B20F2F"/>
    <w:rsid w:val="00B213A5"/>
    <w:rsid w:val="00B215FF"/>
    <w:rsid w:val="00B21795"/>
    <w:rsid w:val="00B21B10"/>
    <w:rsid w:val="00B222A7"/>
    <w:rsid w:val="00B2232C"/>
    <w:rsid w:val="00B2254E"/>
    <w:rsid w:val="00B22790"/>
    <w:rsid w:val="00B228D9"/>
    <w:rsid w:val="00B228E6"/>
    <w:rsid w:val="00B22CDB"/>
    <w:rsid w:val="00B23197"/>
    <w:rsid w:val="00B232FD"/>
    <w:rsid w:val="00B23A52"/>
    <w:rsid w:val="00B23EF4"/>
    <w:rsid w:val="00B240CD"/>
    <w:rsid w:val="00B2472A"/>
    <w:rsid w:val="00B248CE"/>
    <w:rsid w:val="00B24951"/>
    <w:rsid w:val="00B24B94"/>
    <w:rsid w:val="00B24D6B"/>
    <w:rsid w:val="00B2514E"/>
    <w:rsid w:val="00B256BA"/>
    <w:rsid w:val="00B25CC9"/>
    <w:rsid w:val="00B25D05"/>
    <w:rsid w:val="00B25F27"/>
    <w:rsid w:val="00B265AC"/>
    <w:rsid w:val="00B26A6D"/>
    <w:rsid w:val="00B275BA"/>
    <w:rsid w:val="00B27D59"/>
    <w:rsid w:val="00B308EB"/>
    <w:rsid w:val="00B311DB"/>
    <w:rsid w:val="00B31299"/>
    <w:rsid w:val="00B31607"/>
    <w:rsid w:val="00B31CCD"/>
    <w:rsid w:val="00B3238E"/>
    <w:rsid w:val="00B333EB"/>
    <w:rsid w:val="00B33950"/>
    <w:rsid w:val="00B339A7"/>
    <w:rsid w:val="00B3479D"/>
    <w:rsid w:val="00B3487E"/>
    <w:rsid w:val="00B348D6"/>
    <w:rsid w:val="00B34EDD"/>
    <w:rsid w:val="00B35587"/>
    <w:rsid w:val="00B356F5"/>
    <w:rsid w:val="00B35E00"/>
    <w:rsid w:val="00B35E72"/>
    <w:rsid w:val="00B35F6E"/>
    <w:rsid w:val="00B362E2"/>
    <w:rsid w:val="00B36345"/>
    <w:rsid w:val="00B36CAE"/>
    <w:rsid w:val="00B36FFD"/>
    <w:rsid w:val="00B3723A"/>
    <w:rsid w:val="00B372B8"/>
    <w:rsid w:val="00B373D6"/>
    <w:rsid w:val="00B37C1F"/>
    <w:rsid w:val="00B37EB7"/>
    <w:rsid w:val="00B37FFC"/>
    <w:rsid w:val="00B40065"/>
    <w:rsid w:val="00B402E0"/>
    <w:rsid w:val="00B403DD"/>
    <w:rsid w:val="00B41046"/>
    <w:rsid w:val="00B4122C"/>
    <w:rsid w:val="00B4227A"/>
    <w:rsid w:val="00B42F19"/>
    <w:rsid w:val="00B42F33"/>
    <w:rsid w:val="00B4342F"/>
    <w:rsid w:val="00B43849"/>
    <w:rsid w:val="00B43FC8"/>
    <w:rsid w:val="00B44616"/>
    <w:rsid w:val="00B44CE3"/>
    <w:rsid w:val="00B44EC3"/>
    <w:rsid w:val="00B4539F"/>
    <w:rsid w:val="00B4544C"/>
    <w:rsid w:val="00B45D0D"/>
    <w:rsid w:val="00B45F82"/>
    <w:rsid w:val="00B46071"/>
    <w:rsid w:val="00B463E3"/>
    <w:rsid w:val="00B464FF"/>
    <w:rsid w:val="00B465C6"/>
    <w:rsid w:val="00B468B4"/>
    <w:rsid w:val="00B46FD7"/>
    <w:rsid w:val="00B47244"/>
    <w:rsid w:val="00B474AF"/>
    <w:rsid w:val="00B476B5"/>
    <w:rsid w:val="00B476C4"/>
    <w:rsid w:val="00B47C16"/>
    <w:rsid w:val="00B500EB"/>
    <w:rsid w:val="00B503D7"/>
    <w:rsid w:val="00B503E5"/>
    <w:rsid w:val="00B5050B"/>
    <w:rsid w:val="00B5059D"/>
    <w:rsid w:val="00B50964"/>
    <w:rsid w:val="00B50CD1"/>
    <w:rsid w:val="00B51088"/>
    <w:rsid w:val="00B510BD"/>
    <w:rsid w:val="00B512A7"/>
    <w:rsid w:val="00B51BE9"/>
    <w:rsid w:val="00B51D72"/>
    <w:rsid w:val="00B5231D"/>
    <w:rsid w:val="00B528EA"/>
    <w:rsid w:val="00B52D98"/>
    <w:rsid w:val="00B52F84"/>
    <w:rsid w:val="00B53728"/>
    <w:rsid w:val="00B53E56"/>
    <w:rsid w:val="00B542D1"/>
    <w:rsid w:val="00B547DD"/>
    <w:rsid w:val="00B54E50"/>
    <w:rsid w:val="00B54F2C"/>
    <w:rsid w:val="00B55220"/>
    <w:rsid w:val="00B5535A"/>
    <w:rsid w:val="00B55693"/>
    <w:rsid w:val="00B557B7"/>
    <w:rsid w:val="00B55C0C"/>
    <w:rsid w:val="00B5645B"/>
    <w:rsid w:val="00B56545"/>
    <w:rsid w:val="00B5682D"/>
    <w:rsid w:val="00B569AC"/>
    <w:rsid w:val="00B56B71"/>
    <w:rsid w:val="00B56C29"/>
    <w:rsid w:val="00B56E98"/>
    <w:rsid w:val="00B56E9C"/>
    <w:rsid w:val="00B56F77"/>
    <w:rsid w:val="00B572D5"/>
    <w:rsid w:val="00B5757C"/>
    <w:rsid w:val="00B60912"/>
    <w:rsid w:val="00B6250F"/>
    <w:rsid w:val="00B62AE6"/>
    <w:rsid w:val="00B63197"/>
    <w:rsid w:val="00B635D8"/>
    <w:rsid w:val="00B6376B"/>
    <w:rsid w:val="00B63979"/>
    <w:rsid w:val="00B63D7E"/>
    <w:rsid w:val="00B63E3D"/>
    <w:rsid w:val="00B64055"/>
    <w:rsid w:val="00B64370"/>
    <w:rsid w:val="00B643E7"/>
    <w:rsid w:val="00B648AB"/>
    <w:rsid w:val="00B64B40"/>
    <w:rsid w:val="00B64D3F"/>
    <w:rsid w:val="00B65B0C"/>
    <w:rsid w:val="00B65C7E"/>
    <w:rsid w:val="00B66566"/>
    <w:rsid w:val="00B66810"/>
    <w:rsid w:val="00B66DAD"/>
    <w:rsid w:val="00B66FC0"/>
    <w:rsid w:val="00B675FE"/>
    <w:rsid w:val="00B67994"/>
    <w:rsid w:val="00B67D1B"/>
    <w:rsid w:val="00B67E35"/>
    <w:rsid w:val="00B7000C"/>
    <w:rsid w:val="00B7064F"/>
    <w:rsid w:val="00B70E68"/>
    <w:rsid w:val="00B711FA"/>
    <w:rsid w:val="00B71873"/>
    <w:rsid w:val="00B71F09"/>
    <w:rsid w:val="00B72131"/>
    <w:rsid w:val="00B72C17"/>
    <w:rsid w:val="00B72CFA"/>
    <w:rsid w:val="00B72D07"/>
    <w:rsid w:val="00B7412C"/>
    <w:rsid w:val="00B74A24"/>
    <w:rsid w:val="00B74F0F"/>
    <w:rsid w:val="00B7584A"/>
    <w:rsid w:val="00B758B4"/>
    <w:rsid w:val="00B758C3"/>
    <w:rsid w:val="00B75BE0"/>
    <w:rsid w:val="00B75C2F"/>
    <w:rsid w:val="00B75C74"/>
    <w:rsid w:val="00B75D51"/>
    <w:rsid w:val="00B760B2"/>
    <w:rsid w:val="00B7639F"/>
    <w:rsid w:val="00B76969"/>
    <w:rsid w:val="00B770FA"/>
    <w:rsid w:val="00B77ACD"/>
    <w:rsid w:val="00B77B28"/>
    <w:rsid w:val="00B808D9"/>
    <w:rsid w:val="00B80D0D"/>
    <w:rsid w:val="00B81286"/>
    <w:rsid w:val="00B8142A"/>
    <w:rsid w:val="00B816E9"/>
    <w:rsid w:val="00B81AEE"/>
    <w:rsid w:val="00B8227F"/>
    <w:rsid w:val="00B82599"/>
    <w:rsid w:val="00B8271D"/>
    <w:rsid w:val="00B829E1"/>
    <w:rsid w:val="00B82C38"/>
    <w:rsid w:val="00B82F58"/>
    <w:rsid w:val="00B832D5"/>
    <w:rsid w:val="00B8385C"/>
    <w:rsid w:val="00B8396D"/>
    <w:rsid w:val="00B84603"/>
    <w:rsid w:val="00B84C43"/>
    <w:rsid w:val="00B84F35"/>
    <w:rsid w:val="00B84F4A"/>
    <w:rsid w:val="00B85014"/>
    <w:rsid w:val="00B850D7"/>
    <w:rsid w:val="00B859D3"/>
    <w:rsid w:val="00B85ADF"/>
    <w:rsid w:val="00B85F07"/>
    <w:rsid w:val="00B86A21"/>
    <w:rsid w:val="00B86B34"/>
    <w:rsid w:val="00B879AC"/>
    <w:rsid w:val="00B87AB4"/>
    <w:rsid w:val="00B902E8"/>
    <w:rsid w:val="00B9052F"/>
    <w:rsid w:val="00B907E5"/>
    <w:rsid w:val="00B90D10"/>
    <w:rsid w:val="00B913BB"/>
    <w:rsid w:val="00B91BE1"/>
    <w:rsid w:val="00B91ECF"/>
    <w:rsid w:val="00B926C9"/>
    <w:rsid w:val="00B9293E"/>
    <w:rsid w:val="00B93145"/>
    <w:rsid w:val="00B93291"/>
    <w:rsid w:val="00B93861"/>
    <w:rsid w:val="00B93B90"/>
    <w:rsid w:val="00B93C4A"/>
    <w:rsid w:val="00B93F42"/>
    <w:rsid w:val="00B93FE8"/>
    <w:rsid w:val="00B947B0"/>
    <w:rsid w:val="00B94946"/>
    <w:rsid w:val="00B94ADB"/>
    <w:rsid w:val="00B94F30"/>
    <w:rsid w:val="00B950D7"/>
    <w:rsid w:val="00B95341"/>
    <w:rsid w:val="00B9535C"/>
    <w:rsid w:val="00B954F0"/>
    <w:rsid w:val="00B95771"/>
    <w:rsid w:val="00B957ED"/>
    <w:rsid w:val="00B95DED"/>
    <w:rsid w:val="00B96378"/>
    <w:rsid w:val="00B97068"/>
    <w:rsid w:val="00B9731C"/>
    <w:rsid w:val="00B9762B"/>
    <w:rsid w:val="00B976C7"/>
    <w:rsid w:val="00B97A60"/>
    <w:rsid w:val="00B97F94"/>
    <w:rsid w:val="00BA0392"/>
    <w:rsid w:val="00BA07A1"/>
    <w:rsid w:val="00BA0BB2"/>
    <w:rsid w:val="00BA1147"/>
    <w:rsid w:val="00BA121D"/>
    <w:rsid w:val="00BA1361"/>
    <w:rsid w:val="00BA16CF"/>
    <w:rsid w:val="00BA24C9"/>
    <w:rsid w:val="00BA2613"/>
    <w:rsid w:val="00BA2A8D"/>
    <w:rsid w:val="00BA2D02"/>
    <w:rsid w:val="00BA3341"/>
    <w:rsid w:val="00BA3442"/>
    <w:rsid w:val="00BA344F"/>
    <w:rsid w:val="00BA35EA"/>
    <w:rsid w:val="00BA363C"/>
    <w:rsid w:val="00BA3689"/>
    <w:rsid w:val="00BA398A"/>
    <w:rsid w:val="00BA3CC4"/>
    <w:rsid w:val="00BA3F2B"/>
    <w:rsid w:val="00BA41D8"/>
    <w:rsid w:val="00BA4297"/>
    <w:rsid w:val="00BA4B19"/>
    <w:rsid w:val="00BA5125"/>
    <w:rsid w:val="00BA549F"/>
    <w:rsid w:val="00BA5580"/>
    <w:rsid w:val="00BA5B2C"/>
    <w:rsid w:val="00BA6439"/>
    <w:rsid w:val="00BA64DC"/>
    <w:rsid w:val="00BA655B"/>
    <w:rsid w:val="00BA6850"/>
    <w:rsid w:val="00BA6B2D"/>
    <w:rsid w:val="00BA6EC7"/>
    <w:rsid w:val="00BA7080"/>
    <w:rsid w:val="00BA7092"/>
    <w:rsid w:val="00BA7240"/>
    <w:rsid w:val="00BA77D3"/>
    <w:rsid w:val="00BA7AFF"/>
    <w:rsid w:val="00BA7B97"/>
    <w:rsid w:val="00BB0298"/>
    <w:rsid w:val="00BB02D6"/>
    <w:rsid w:val="00BB03B3"/>
    <w:rsid w:val="00BB0C2B"/>
    <w:rsid w:val="00BB0EC3"/>
    <w:rsid w:val="00BB1447"/>
    <w:rsid w:val="00BB14DE"/>
    <w:rsid w:val="00BB179A"/>
    <w:rsid w:val="00BB180D"/>
    <w:rsid w:val="00BB1C64"/>
    <w:rsid w:val="00BB1D60"/>
    <w:rsid w:val="00BB2272"/>
    <w:rsid w:val="00BB2AB5"/>
    <w:rsid w:val="00BB2E3D"/>
    <w:rsid w:val="00BB2EC2"/>
    <w:rsid w:val="00BB30C1"/>
    <w:rsid w:val="00BB31A7"/>
    <w:rsid w:val="00BB3A2D"/>
    <w:rsid w:val="00BB3B78"/>
    <w:rsid w:val="00BB4116"/>
    <w:rsid w:val="00BB4972"/>
    <w:rsid w:val="00BB4B8F"/>
    <w:rsid w:val="00BB4BB6"/>
    <w:rsid w:val="00BB526C"/>
    <w:rsid w:val="00BB55CA"/>
    <w:rsid w:val="00BB59BE"/>
    <w:rsid w:val="00BB5AAB"/>
    <w:rsid w:val="00BB5D84"/>
    <w:rsid w:val="00BB6426"/>
    <w:rsid w:val="00BB6567"/>
    <w:rsid w:val="00BB67CB"/>
    <w:rsid w:val="00BB69E5"/>
    <w:rsid w:val="00BB6C53"/>
    <w:rsid w:val="00BB6EE8"/>
    <w:rsid w:val="00BB7736"/>
    <w:rsid w:val="00BB79A5"/>
    <w:rsid w:val="00BC00C0"/>
    <w:rsid w:val="00BC01CA"/>
    <w:rsid w:val="00BC025C"/>
    <w:rsid w:val="00BC0ADC"/>
    <w:rsid w:val="00BC160D"/>
    <w:rsid w:val="00BC16D6"/>
    <w:rsid w:val="00BC17AD"/>
    <w:rsid w:val="00BC1AD3"/>
    <w:rsid w:val="00BC1D36"/>
    <w:rsid w:val="00BC22DE"/>
    <w:rsid w:val="00BC2741"/>
    <w:rsid w:val="00BC2DB3"/>
    <w:rsid w:val="00BC3027"/>
    <w:rsid w:val="00BC35DC"/>
    <w:rsid w:val="00BC37D0"/>
    <w:rsid w:val="00BC3904"/>
    <w:rsid w:val="00BC3910"/>
    <w:rsid w:val="00BC395A"/>
    <w:rsid w:val="00BC3A58"/>
    <w:rsid w:val="00BC3F6A"/>
    <w:rsid w:val="00BC4422"/>
    <w:rsid w:val="00BC4C83"/>
    <w:rsid w:val="00BC4C9B"/>
    <w:rsid w:val="00BC5014"/>
    <w:rsid w:val="00BC56DF"/>
    <w:rsid w:val="00BC5941"/>
    <w:rsid w:val="00BC59B9"/>
    <w:rsid w:val="00BC623B"/>
    <w:rsid w:val="00BC66AF"/>
    <w:rsid w:val="00BC6999"/>
    <w:rsid w:val="00BC69CB"/>
    <w:rsid w:val="00BC6C63"/>
    <w:rsid w:val="00BC7085"/>
    <w:rsid w:val="00BC709C"/>
    <w:rsid w:val="00BC70AA"/>
    <w:rsid w:val="00BC7277"/>
    <w:rsid w:val="00BC72FA"/>
    <w:rsid w:val="00BC7670"/>
    <w:rsid w:val="00BC7F83"/>
    <w:rsid w:val="00BD00ED"/>
    <w:rsid w:val="00BD018A"/>
    <w:rsid w:val="00BD0A26"/>
    <w:rsid w:val="00BD102A"/>
    <w:rsid w:val="00BD17AC"/>
    <w:rsid w:val="00BD17E3"/>
    <w:rsid w:val="00BD1B4D"/>
    <w:rsid w:val="00BD24BC"/>
    <w:rsid w:val="00BD25C6"/>
    <w:rsid w:val="00BD2633"/>
    <w:rsid w:val="00BD270E"/>
    <w:rsid w:val="00BD278E"/>
    <w:rsid w:val="00BD2927"/>
    <w:rsid w:val="00BD30A7"/>
    <w:rsid w:val="00BD38CA"/>
    <w:rsid w:val="00BD3AFC"/>
    <w:rsid w:val="00BD3C06"/>
    <w:rsid w:val="00BD4465"/>
    <w:rsid w:val="00BD48E9"/>
    <w:rsid w:val="00BD4AB1"/>
    <w:rsid w:val="00BD4AFE"/>
    <w:rsid w:val="00BD4CC4"/>
    <w:rsid w:val="00BD4F95"/>
    <w:rsid w:val="00BD534F"/>
    <w:rsid w:val="00BD5483"/>
    <w:rsid w:val="00BD5719"/>
    <w:rsid w:val="00BD59B3"/>
    <w:rsid w:val="00BD5D37"/>
    <w:rsid w:val="00BD61D0"/>
    <w:rsid w:val="00BD6B11"/>
    <w:rsid w:val="00BD702D"/>
    <w:rsid w:val="00BD7CE7"/>
    <w:rsid w:val="00BD7F61"/>
    <w:rsid w:val="00BE011E"/>
    <w:rsid w:val="00BE0A08"/>
    <w:rsid w:val="00BE0A26"/>
    <w:rsid w:val="00BE0AB1"/>
    <w:rsid w:val="00BE0EB5"/>
    <w:rsid w:val="00BE0EFD"/>
    <w:rsid w:val="00BE1290"/>
    <w:rsid w:val="00BE155E"/>
    <w:rsid w:val="00BE1BF9"/>
    <w:rsid w:val="00BE1E54"/>
    <w:rsid w:val="00BE2263"/>
    <w:rsid w:val="00BE2B2F"/>
    <w:rsid w:val="00BE2BBA"/>
    <w:rsid w:val="00BE3142"/>
    <w:rsid w:val="00BE33D5"/>
    <w:rsid w:val="00BE3BB3"/>
    <w:rsid w:val="00BE3EFD"/>
    <w:rsid w:val="00BE4074"/>
    <w:rsid w:val="00BE40B6"/>
    <w:rsid w:val="00BE44FE"/>
    <w:rsid w:val="00BE45E7"/>
    <w:rsid w:val="00BE470A"/>
    <w:rsid w:val="00BE4AE8"/>
    <w:rsid w:val="00BE4DE0"/>
    <w:rsid w:val="00BE4E0B"/>
    <w:rsid w:val="00BE4F6F"/>
    <w:rsid w:val="00BE4FD1"/>
    <w:rsid w:val="00BE503A"/>
    <w:rsid w:val="00BE5521"/>
    <w:rsid w:val="00BE57F7"/>
    <w:rsid w:val="00BE594E"/>
    <w:rsid w:val="00BE5A3D"/>
    <w:rsid w:val="00BE5AE2"/>
    <w:rsid w:val="00BE5C6A"/>
    <w:rsid w:val="00BE5F51"/>
    <w:rsid w:val="00BE6433"/>
    <w:rsid w:val="00BE6666"/>
    <w:rsid w:val="00BE6C75"/>
    <w:rsid w:val="00BF014A"/>
    <w:rsid w:val="00BF02AD"/>
    <w:rsid w:val="00BF0742"/>
    <w:rsid w:val="00BF1177"/>
    <w:rsid w:val="00BF1734"/>
    <w:rsid w:val="00BF1CDC"/>
    <w:rsid w:val="00BF1E30"/>
    <w:rsid w:val="00BF2015"/>
    <w:rsid w:val="00BF284D"/>
    <w:rsid w:val="00BF2A42"/>
    <w:rsid w:val="00BF2D32"/>
    <w:rsid w:val="00BF2DB2"/>
    <w:rsid w:val="00BF3022"/>
    <w:rsid w:val="00BF3370"/>
    <w:rsid w:val="00BF383B"/>
    <w:rsid w:val="00BF3D8B"/>
    <w:rsid w:val="00BF43E2"/>
    <w:rsid w:val="00BF463F"/>
    <w:rsid w:val="00BF47E5"/>
    <w:rsid w:val="00BF5276"/>
    <w:rsid w:val="00BF5404"/>
    <w:rsid w:val="00BF5511"/>
    <w:rsid w:val="00BF5716"/>
    <w:rsid w:val="00BF5B50"/>
    <w:rsid w:val="00BF5BD9"/>
    <w:rsid w:val="00BF658B"/>
    <w:rsid w:val="00BF6661"/>
    <w:rsid w:val="00BF6875"/>
    <w:rsid w:val="00BF6FC9"/>
    <w:rsid w:val="00BF7430"/>
    <w:rsid w:val="00BF792D"/>
    <w:rsid w:val="00BF79F2"/>
    <w:rsid w:val="00BF7A31"/>
    <w:rsid w:val="00BF7CCA"/>
    <w:rsid w:val="00BF7F37"/>
    <w:rsid w:val="00BF7FE5"/>
    <w:rsid w:val="00C00177"/>
    <w:rsid w:val="00C00380"/>
    <w:rsid w:val="00C004C1"/>
    <w:rsid w:val="00C0062F"/>
    <w:rsid w:val="00C006DC"/>
    <w:rsid w:val="00C00767"/>
    <w:rsid w:val="00C00AD0"/>
    <w:rsid w:val="00C00BC4"/>
    <w:rsid w:val="00C00DE3"/>
    <w:rsid w:val="00C013B7"/>
    <w:rsid w:val="00C01C49"/>
    <w:rsid w:val="00C01D5E"/>
    <w:rsid w:val="00C01DAA"/>
    <w:rsid w:val="00C02328"/>
    <w:rsid w:val="00C023C0"/>
    <w:rsid w:val="00C0263A"/>
    <w:rsid w:val="00C02AEF"/>
    <w:rsid w:val="00C02CA4"/>
    <w:rsid w:val="00C02E66"/>
    <w:rsid w:val="00C02FE9"/>
    <w:rsid w:val="00C03064"/>
    <w:rsid w:val="00C03190"/>
    <w:rsid w:val="00C0349E"/>
    <w:rsid w:val="00C03559"/>
    <w:rsid w:val="00C03E64"/>
    <w:rsid w:val="00C0403B"/>
    <w:rsid w:val="00C04453"/>
    <w:rsid w:val="00C04561"/>
    <w:rsid w:val="00C0473B"/>
    <w:rsid w:val="00C047E9"/>
    <w:rsid w:val="00C04ACA"/>
    <w:rsid w:val="00C0509F"/>
    <w:rsid w:val="00C0566E"/>
    <w:rsid w:val="00C05A74"/>
    <w:rsid w:val="00C05B70"/>
    <w:rsid w:val="00C05DAB"/>
    <w:rsid w:val="00C0680E"/>
    <w:rsid w:val="00C06A5D"/>
    <w:rsid w:val="00C07032"/>
    <w:rsid w:val="00C0704F"/>
    <w:rsid w:val="00C07390"/>
    <w:rsid w:val="00C1019D"/>
    <w:rsid w:val="00C10605"/>
    <w:rsid w:val="00C1060F"/>
    <w:rsid w:val="00C107AA"/>
    <w:rsid w:val="00C1085E"/>
    <w:rsid w:val="00C11EE8"/>
    <w:rsid w:val="00C1210E"/>
    <w:rsid w:val="00C12609"/>
    <w:rsid w:val="00C129C4"/>
    <w:rsid w:val="00C12A34"/>
    <w:rsid w:val="00C12EAC"/>
    <w:rsid w:val="00C12FBB"/>
    <w:rsid w:val="00C13001"/>
    <w:rsid w:val="00C130FA"/>
    <w:rsid w:val="00C13264"/>
    <w:rsid w:val="00C1364E"/>
    <w:rsid w:val="00C1375E"/>
    <w:rsid w:val="00C13AFD"/>
    <w:rsid w:val="00C13E42"/>
    <w:rsid w:val="00C14254"/>
    <w:rsid w:val="00C145DB"/>
    <w:rsid w:val="00C14BE6"/>
    <w:rsid w:val="00C14D43"/>
    <w:rsid w:val="00C150E6"/>
    <w:rsid w:val="00C157E0"/>
    <w:rsid w:val="00C15F15"/>
    <w:rsid w:val="00C16768"/>
    <w:rsid w:val="00C16D86"/>
    <w:rsid w:val="00C172A3"/>
    <w:rsid w:val="00C176B5"/>
    <w:rsid w:val="00C177B6"/>
    <w:rsid w:val="00C179EE"/>
    <w:rsid w:val="00C17F52"/>
    <w:rsid w:val="00C203DC"/>
    <w:rsid w:val="00C209C7"/>
    <w:rsid w:val="00C20ECB"/>
    <w:rsid w:val="00C212A2"/>
    <w:rsid w:val="00C2197A"/>
    <w:rsid w:val="00C21B35"/>
    <w:rsid w:val="00C21C10"/>
    <w:rsid w:val="00C2219D"/>
    <w:rsid w:val="00C22A27"/>
    <w:rsid w:val="00C22AC4"/>
    <w:rsid w:val="00C23544"/>
    <w:rsid w:val="00C23804"/>
    <w:rsid w:val="00C23888"/>
    <w:rsid w:val="00C23898"/>
    <w:rsid w:val="00C23F78"/>
    <w:rsid w:val="00C24025"/>
    <w:rsid w:val="00C2415C"/>
    <w:rsid w:val="00C243CD"/>
    <w:rsid w:val="00C24660"/>
    <w:rsid w:val="00C24781"/>
    <w:rsid w:val="00C24979"/>
    <w:rsid w:val="00C24D71"/>
    <w:rsid w:val="00C2528F"/>
    <w:rsid w:val="00C2596A"/>
    <w:rsid w:val="00C261E2"/>
    <w:rsid w:val="00C2675F"/>
    <w:rsid w:val="00C26D94"/>
    <w:rsid w:val="00C270E6"/>
    <w:rsid w:val="00C2763E"/>
    <w:rsid w:val="00C2797E"/>
    <w:rsid w:val="00C27C0F"/>
    <w:rsid w:val="00C27E1D"/>
    <w:rsid w:val="00C30536"/>
    <w:rsid w:val="00C3058A"/>
    <w:rsid w:val="00C308C1"/>
    <w:rsid w:val="00C30ADF"/>
    <w:rsid w:val="00C30E1A"/>
    <w:rsid w:val="00C30FA8"/>
    <w:rsid w:val="00C3114F"/>
    <w:rsid w:val="00C31262"/>
    <w:rsid w:val="00C31802"/>
    <w:rsid w:val="00C31F6B"/>
    <w:rsid w:val="00C3243F"/>
    <w:rsid w:val="00C326F5"/>
    <w:rsid w:val="00C32D8B"/>
    <w:rsid w:val="00C32F22"/>
    <w:rsid w:val="00C32F51"/>
    <w:rsid w:val="00C33370"/>
    <w:rsid w:val="00C3345C"/>
    <w:rsid w:val="00C336C1"/>
    <w:rsid w:val="00C33F00"/>
    <w:rsid w:val="00C33F19"/>
    <w:rsid w:val="00C34298"/>
    <w:rsid w:val="00C344C6"/>
    <w:rsid w:val="00C3474C"/>
    <w:rsid w:val="00C3491B"/>
    <w:rsid w:val="00C34B95"/>
    <w:rsid w:val="00C356D8"/>
    <w:rsid w:val="00C35902"/>
    <w:rsid w:val="00C35927"/>
    <w:rsid w:val="00C35D05"/>
    <w:rsid w:val="00C36240"/>
    <w:rsid w:val="00C36351"/>
    <w:rsid w:val="00C37466"/>
    <w:rsid w:val="00C3783C"/>
    <w:rsid w:val="00C37898"/>
    <w:rsid w:val="00C378C9"/>
    <w:rsid w:val="00C37BC3"/>
    <w:rsid w:val="00C37C03"/>
    <w:rsid w:val="00C40364"/>
    <w:rsid w:val="00C40E11"/>
    <w:rsid w:val="00C40EFD"/>
    <w:rsid w:val="00C41073"/>
    <w:rsid w:val="00C41463"/>
    <w:rsid w:val="00C417DB"/>
    <w:rsid w:val="00C4203D"/>
    <w:rsid w:val="00C421C2"/>
    <w:rsid w:val="00C43316"/>
    <w:rsid w:val="00C438C8"/>
    <w:rsid w:val="00C43A9B"/>
    <w:rsid w:val="00C441A8"/>
    <w:rsid w:val="00C441D7"/>
    <w:rsid w:val="00C444FF"/>
    <w:rsid w:val="00C44963"/>
    <w:rsid w:val="00C44A23"/>
    <w:rsid w:val="00C44D3C"/>
    <w:rsid w:val="00C45232"/>
    <w:rsid w:val="00C45A90"/>
    <w:rsid w:val="00C46120"/>
    <w:rsid w:val="00C466CE"/>
    <w:rsid w:val="00C4678C"/>
    <w:rsid w:val="00C46B3C"/>
    <w:rsid w:val="00C47167"/>
    <w:rsid w:val="00C473D1"/>
    <w:rsid w:val="00C476B9"/>
    <w:rsid w:val="00C4782B"/>
    <w:rsid w:val="00C479CE"/>
    <w:rsid w:val="00C47B30"/>
    <w:rsid w:val="00C47D15"/>
    <w:rsid w:val="00C5004F"/>
    <w:rsid w:val="00C504F4"/>
    <w:rsid w:val="00C50597"/>
    <w:rsid w:val="00C50733"/>
    <w:rsid w:val="00C5095A"/>
    <w:rsid w:val="00C50CFB"/>
    <w:rsid w:val="00C50DC4"/>
    <w:rsid w:val="00C50F45"/>
    <w:rsid w:val="00C513EA"/>
    <w:rsid w:val="00C517BE"/>
    <w:rsid w:val="00C5189C"/>
    <w:rsid w:val="00C519BA"/>
    <w:rsid w:val="00C51C32"/>
    <w:rsid w:val="00C52A9A"/>
    <w:rsid w:val="00C53156"/>
    <w:rsid w:val="00C53210"/>
    <w:rsid w:val="00C53239"/>
    <w:rsid w:val="00C53389"/>
    <w:rsid w:val="00C538D1"/>
    <w:rsid w:val="00C53A26"/>
    <w:rsid w:val="00C54088"/>
    <w:rsid w:val="00C540F3"/>
    <w:rsid w:val="00C547A4"/>
    <w:rsid w:val="00C54B21"/>
    <w:rsid w:val="00C54D44"/>
    <w:rsid w:val="00C54EA0"/>
    <w:rsid w:val="00C54EE2"/>
    <w:rsid w:val="00C55148"/>
    <w:rsid w:val="00C5518E"/>
    <w:rsid w:val="00C5557B"/>
    <w:rsid w:val="00C5560D"/>
    <w:rsid w:val="00C556E6"/>
    <w:rsid w:val="00C5586C"/>
    <w:rsid w:val="00C560CE"/>
    <w:rsid w:val="00C56529"/>
    <w:rsid w:val="00C56911"/>
    <w:rsid w:val="00C56918"/>
    <w:rsid w:val="00C569BB"/>
    <w:rsid w:val="00C56F38"/>
    <w:rsid w:val="00C56F91"/>
    <w:rsid w:val="00C5769C"/>
    <w:rsid w:val="00C578C0"/>
    <w:rsid w:val="00C579AA"/>
    <w:rsid w:val="00C57B66"/>
    <w:rsid w:val="00C57B7B"/>
    <w:rsid w:val="00C608D4"/>
    <w:rsid w:val="00C60EBB"/>
    <w:rsid w:val="00C6190F"/>
    <w:rsid w:val="00C61EA5"/>
    <w:rsid w:val="00C62062"/>
    <w:rsid w:val="00C62067"/>
    <w:rsid w:val="00C62A9D"/>
    <w:rsid w:val="00C62BA7"/>
    <w:rsid w:val="00C6302A"/>
    <w:rsid w:val="00C632EB"/>
    <w:rsid w:val="00C63325"/>
    <w:rsid w:val="00C633F9"/>
    <w:rsid w:val="00C634AE"/>
    <w:rsid w:val="00C64746"/>
    <w:rsid w:val="00C64C85"/>
    <w:rsid w:val="00C655A4"/>
    <w:rsid w:val="00C6598D"/>
    <w:rsid w:val="00C65EF0"/>
    <w:rsid w:val="00C66051"/>
    <w:rsid w:val="00C660D8"/>
    <w:rsid w:val="00C66622"/>
    <w:rsid w:val="00C66E5A"/>
    <w:rsid w:val="00C66EC5"/>
    <w:rsid w:val="00C66FBB"/>
    <w:rsid w:val="00C67909"/>
    <w:rsid w:val="00C67B72"/>
    <w:rsid w:val="00C7039F"/>
    <w:rsid w:val="00C70619"/>
    <w:rsid w:val="00C70E89"/>
    <w:rsid w:val="00C71514"/>
    <w:rsid w:val="00C7171C"/>
    <w:rsid w:val="00C71FF3"/>
    <w:rsid w:val="00C72077"/>
    <w:rsid w:val="00C7260B"/>
    <w:rsid w:val="00C72726"/>
    <w:rsid w:val="00C729E2"/>
    <w:rsid w:val="00C72B04"/>
    <w:rsid w:val="00C72E31"/>
    <w:rsid w:val="00C73B52"/>
    <w:rsid w:val="00C73C74"/>
    <w:rsid w:val="00C74312"/>
    <w:rsid w:val="00C747EB"/>
    <w:rsid w:val="00C7491B"/>
    <w:rsid w:val="00C7528F"/>
    <w:rsid w:val="00C7573C"/>
    <w:rsid w:val="00C75E8D"/>
    <w:rsid w:val="00C76640"/>
    <w:rsid w:val="00C766F2"/>
    <w:rsid w:val="00C76A03"/>
    <w:rsid w:val="00C76A3E"/>
    <w:rsid w:val="00C76B5F"/>
    <w:rsid w:val="00C76C48"/>
    <w:rsid w:val="00C76CB1"/>
    <w:rsid w:val="00C77020"/>
    <w:rsid w:val="00C77501"/>
    <w:rsid w:val="00C77508"/>
    <w:rsid w:val="00C776D0"/>
    <w:rsid w:val="00C7788D"/>
    <w:rsid w:val="00C77A40"/>
    <w:rsid w:val="00C8009F"/>
    <w:rsid w:val="00C8099E"/>
    <w:rsid w:val="00C80AAD"/>
    <w:rsid w:val="00C80C5D"/>
    <w:rsid w:val="00C80C92"/>
    <w:rsid w:val="00C81E9D"/>
    <w:rsid w:val="00C81FA6"/>
    <w:rsid w:val="00C8229A"/>
    <w:rsid w:val="00C8261A"/>
    <w:rsid w:val="00C82C60"/>
    <w:rsid w:val="00C82EF0"/>
    <w:rsid w:val="00C8307B"/>
    <w:rsid w:val="00C83464"/>
    <w:rsid w:val="00C8391D"/>
    <w:rsid w:val="00C83D29"/>
    <w:rsid w:val="00C8447C"/>
    <w:rsid w:val="00C848BA"/>
    <w:rsid w:val="00C84A50"/>
    <w:rsid w:val="00C84A8C"/>
    <w:rsid w:val="00C84E4B"/>
    <w:rsid w:val="00C853AB"/>
    <w:rsid w:val="00C856B0"/>
    <w:rsid w:val="00C85823"/>
    <w:rsid w:val="00C85A47"/>
    <w:rsid w:val="00C85E95"/>
    <w:rsid w:val="00C85F6B"/>
    <w:rsid w:val="00C86066"/>
    <w:rsid w:val="00C86DFE"/>
    <w:rsid w:val="00C86E48"/>
    <w:rsid w:val="00C872E1"/>
    <w:rsid w:val="00C87DC4"/>
    <w:rsid w:val="00C87E42"/>
    <w:rsid w:val="00C906CF"/>
    <w:rsid w:val="00C908DF"/>
    <w:rsid w:val="00C90F64"/>
    <w:rsid w:val="00C91444"/>
    <w:rsid w:val="00C92003"/>
    <w:rsid w:val="00C92B4D"/>
    <w:rsid w:val="00C92B52"/>
    <w:rsid w:val="00C92C54"/>
    <w:rsid w:val="00C92D28"/>
    <w:rsid w:val="00C93004"/>
    <w:rsid w:val="00C932DF"/>
    <w:rsid w:val="00C934C2"/>
    <w:rsid w:val="00C93D7C"/>
    <w:rsid w:val="00C93E5A"/>
    <w:rsid w:val="00C93F68"/>
    <w:rsid w:val="00C94161"/>
    <w:rsid w:val="00C94208"/>
    <w:rsid w:val="00C94C80"/>
    <w:rsid w:val="00C94D03"/>
    <w:rsid w:val="00C95157"/>
    <w:rsid w:val="00C95800"/>
    <w:rsid w:val="00C95977"/>
    <w:rsid w:val="00C95A7F"/>
    <w:rsid w:val="00C96081"/>
    <w:rsid w:val="00C9647B"/>
    <w:rsid w:val="00C9709A"/>
    <w:rsid w:val="00C973EB"/>
    <w:rsid w:val="00C9755C"/>
    <w:rsid w:val="00C97688"/>
    <w:rsid w:val="00C97779"/>
    <w:rsid w:val="00CA0BAC"/>
    <w:rsid w:val="00CA24C4"/>
    <w:rsid w:val="00CA250E"/>
    <w:rsid w:val="00CA261B"/>
    <w:rsid w:val="00CA2885"/>
    <w:rsid w:val="00CA2C48"/>
    <w:rsid w:val="00CA394A"/>
    <w:rsid w:val="00CA3EF5"/>
    <w:rsid w:val="00CA4509"/>
    <w:rsid w:val="00CA45B5"/>
    <w:rsid w:val="00CA4A3E"/>
    <w:rsid w:val="00CA4E9F"/>
    <w:rsid w:val="00CA4F2A"/>
    <w:rsid w:val="00CA4F46"/>
    <w:rsid w:val="00CA521F"/>
    <w:rsid w:val="00CA53F6"/>
    <w:rsid w:val="00CA55F1"/>
    <w:rsid w:val="00CA6A5C"/>
    <w:rsid w:val="00CA6AA1"/>
    <w:rsid w:val="00CA6D2A"/>
    <w:rsid w:val="00CA6FBA"/>
    <w:rsid w:val="00CA72DD"/>
    <w:rsid w:val="00CA74AB"/>
    <w:rsid w:val="00CA78D2"/>
    <w:rsid w:val="00CA7E5E"/>
    <w:rsid w:val="00CB0305"/>
    <w:rsid w:val="00CB0468"/>
    <w:rsid w:val="00CB04F8"/>
    <w:rsid w:val="00CB0980"/>
    <w:rsid w:val="00CB1638"/>
    <w:rsid w:val="00CB17DE"/>
    <w:rsid w:val="00CB1ADF"/>
    <w:rsid w:val="00CB1C26"/>
    <w:rsid w:val="00CB1C29"/>
    <w:rsid w:val="00CB1F19"/>
    <w:rsid w:val="00CB21E5"/>
    <w:rsid w:val="00CB2704"/>
    <w:rsid w:val="00CB3560"/>
    <w:rsid w:val="00CB3938"/>
    <w:rsid w:val="00CB3CC1"/>
    <w:rsid w:val="00CB3CEA"/>
    <w:rsid w:val="00CB4012"/>
    <w:rsid w:val="00CB4284"/>
    <w:rsid w:val="00CB45E5"/>
    <w:rsid w:val="00CB464B"/>
    <w:rsid w:val="00CB46E3"/>
    <w:rsid w:val="00CB48B7"/>
    <w:rsid w:val="00CB4C41"/>
    <w:rsid w:val="00CB50A7"/>
    <w:rsid w:val="00CB53F7"/>
    <w:rsid w:val="00CB5BD1"/>
    <w:rsid w:val="00CB6028"/>
    <w:rsid w:val="00CB61FA"/>
    <w:rsid w:val="00CB6484"/>
    <w:rsid w:val="00CB7677"/>
    <w:rsid w:val="00CB778D"/>
    <w:rsid w:val="00CB7C1A"/>
    <w:rsid w:val="00CB7CDA"/>
    <w:rsid w:val="00CC1019"/>
    <w:rsid w:val="00CC12FB"/>
    <w:rsid w:val="00CC178D"/>
    <w:rsid w:val="00CC19AA"/>
    <w:rsid w:val="00CC1B52"/>
    <w:rsid w:val="00CC1D2D"/>
    <w:rsid w:val="00CC1D38"/>
    <w:rsid w:val="00CC1D6C"/>
    <w:rsid w:val="00CC2719"/>
    <w:rsid w:val="00CC2974"/>
    <w:rsid w:val="00CC2ADA"/>
    <w:rsid w:val="00CC2D43"/>
    <w:rsid w:val="00CC3439"/>
    <w:rsid w:val="00CC3D4D"/>
    <w:rsid w:val="00CC43BA"/>
    <w:rsid w:val="00CC4678"/>
    <w:rsid w:val="00CC4B17"/>
    <w:rsid w:val="00CC501B"/>
    <w:rsid w:val="00CC50E6"/>
    <w:rsid w:val="00CC572F"/>
    <w:rsid w:val="00CC5AAE"/>
    <w:rsid w:val="00CC5C8C"/>
    <w:rsid w:val="00CC5FCC"/>
    <w:rsid w:val="00CC66BD"/>
    <w:rsid w:val="00CC6DF4"/>
    <w:rsid w:val="00CC744E"/>
    <w:rsid w:val="00CC7658"/>
    <w:rsid w:val="00CC787C"/>
    <w:rsid w:val="00CC7CA4"/>
    <w:rsid w:val="00CC7FE0"/>
    <w:rsid w:val="00CD058B"/>
    <w:rsid w:val="00CD07BA"/>
    <w:rsid w:val="00CD0DE1"/>
    <w:rsid w:val="00CD0DEA"/>
    <w:rsid w:val="00CD0F85"/>
    <w:rsid w:val="00CD11A5"/>
    <w:rsid w:val="00CD124A"/>
    <w:rsid w:val="00CD1446"/>
    <w:rsid w:val="00CD14BD"/>
    <w:rsid w:val="00CD158C"/>
    <w:rsid w:val="00CD1842"/>
    <w:rsid w:val="00CD30A0"/>
    <w:rsid w:val="00CD3222"/>
    <w:rsid w:val="00CD32A8"/>
    <w:rsid w:val="00CD3534"/>
    <w:rsid w:val="00CD35F2"/>
    <w:rsid w:val="00CD36B6"/>
    <w:rsid w:val="00CD3A06"/>
    <w:rsid w:val="00CD3CA3"/>
    <w:rsid w:val="00CD3CDA"/>
    <w:rsid w:val="00CD41BA"/>
    <w:rsid w:val="00CD4FBA"/>
    <w:rsid w:val="00CD4FD8"/>
    <w:rsid w:val="00CD5137"/>
    <w:rsid w:val="00CD522C"/>
    <w:rsid w:val="00CD5499"/>
    <w:rsid w:val="00CD5A0A"/>
    <w:rsid w:val="00CD5F5C"/>
    <w:rsid w:val="00CD6171"/>
    <w:rsid w:val="00CD6423"/>
    <w:rsid w:val="00CD658A"/>
    <w:rsid w:val="00CD6862"/>
    <w:rsid w:val="00CD6932"/>
    <w:rsid w:val="00CD714B"/>
    <w:rsid w:val="00CD72B6"/>
    <w:rsid w:val="00CE0405"/>
    <w:rsid w:val="00CE0567"/>
    <w:rsid w:val="00CE08C1"/>
    <w:rsid w:val="00CE0EF0"/>
    <w:rsid w:val="00CE14B6"/>
    <w:rsid w:val="00CE15B9"/>
    <w:rsid w:val="00CE1912"/>
    <w:rsid w:val="00CE1B89"/>
    <w:rsid w:val="00CE1C71"/>
    <w:rsid w:val="00CE22FB"/>
    <w:rsid w:val="00CE269C"/>
    <w:rsid w:val="00CE294B"/>
    <w:rsid w:val="00CE2C01"/>
    <w:rsid w:val="00CE2C02"/>
    <w:rsid w:val="00CE33A8"/>
    <w:rsid w:val="00CE346C"/>
    <w:rsid w:val="00CE34D9"/>
    <w:rsid w:val="00CE357D"/>
    <w:rsid w:val="00CE3784"/>
    <w:rsid w:val="00CE393E"/>
    <w:rsid w:val="00CE3DA7"/>
    <w:rsid w:val="00CE3ECB"/>
    <w:rsid w:val="00CE3F11"/>
    <w:rsid w:val="00CE3FA1"/>
    <w:rsid w:val="00CE3FD1"/>
    <w:rsid w:val="00CE4235"/>
    <w:rsid w:val="00CE4895"/>
    <w:rsid w:val="00CE4D55"/>
    <w:rsid w:val="00CE4F6F"/>
    <w:rsid w:val="00CE5D6D"/>
    <w:rsid w:val="00CE5E25"/>
    <w:rsid w:val="00CE63CF"/>
    <w:rsid w:val="00CE6B9A"/>
    <w:rsid w:val="00CE6D4E"/>
    <w:rsid w:val="00CE75C7"/>
    <w:rsid w:val="00CE794A"/>
    <w:rsid w:val="00CE7B04"/>
    <w:rsid w:val="00CF0036"/>
    <w:rsid w:val="00CF00CE"/>
    <w:rsid w:val="00CF078E"/>
    <w:rsid w:val="00CF0A46"/>
    <w:rsid w:val="00CF0BA1"/>
    <w:rsid w:val="00CF0C5E"/>
    <w:rsid w:val="00CF13F1"/>
    <w:rsid w:val="00CF16CD"/>
    <w:rsid w:val="00CF244E"/>
    <w:rsid w:val="00CF25E9"/>
    <w:rsid w:val="00CF270F"/>
    <w:rsid w:val="00CF27A2"/>
    <w:rsid w:val="00CF28A2"/>
    <w:rsid w:val="00CF2C67"/>
    <w:rsid w:val="00CF2F88"/>
    <w:rsid w:val="00CF31BD"/>
    <w:rsid w:val="00CF33C7"/>
    <w:rsid w:val="00CF42E2"/>
    <w:rsid w:val="00CF44EA"/>
    <w:rsid w:val="00CF45DE"/>
    <w:rsid w:val="00CF49D9"/>
    <w:rsid w:val="00CF53F5"/>
    <w:rsid w:val="00CF59C0"/>
    <w:rsid w:val="00CF5ABF"/>
    <w:rsid w:val="00CF5EB7"/>
    <w:rsid w:val="00CF6AD5"/>
    <w:rsid w:val="00CF6D2F"/>
    <w:rsid w:val="00CF6D7F"/>
    <w:rsid w:val="00CF705A"/>
    <w:rsid w:val="00CF7D4F"/>
    <w:rsid w:val="00CF7FB7"/>
    <w:rsid w:val="00D000EA"/>
    <w:rsid w:val="00D00D3B"/>
    <w:rsid w:val="00D00E59"/>
    <w:rsid w:val="00D00F6D"/>
    <w:rsid w:val="00D00F89"/>
    <w:rsid w:val="00D01339"/>
    <w:rsid w:val="00D0164E"/>
    <w:rsid w:val="00D01690"/>
    <w:rsid w:val="00D01F04"/>
    <w:rsid w:val="00D02081"/>
    <w:rsid w:val="00D021FE"/>
    <w:rsid w:val="00D02572"/>
    <w:rsid w:val="00D029DA"/>
    <w:rsid w:val="00D02C5D"/>
    <w:rsid w:val="00D02E3A"/>
    <w:rsid w:val="00D03061"/>
    <w:rsid w:val="00D03354"/>
    <w:rsid w:val="00D0336C"/>
    <w:rsid w:val="00D034BB"/>
    <w:rsid w:val="00D035F3"/>
    <w:rsid w:val="00D04F08"/>
    <w:rsid w:val="00D05179"/>
    <w:rsid w:val="00D053A3"/>
    <w:rsid w:val="00D05587"/>
    <w:rsid w:val="00D055A0"/>
    <w:rsid w:val="00D059C1"/>
    <w:rsid w:val="00D05A74"/>
    <w:rsid w:val="00D05EF1"/>
    <w:rsid w:val="00D061D3"/>
    <w:rsid w:val="00D064FD"/>
    <w:rsid w:val="00D06F3E"/>
    <w:rsid w:val="00D07299"/>
    <w:rsid w:val="00D0730D"/>
    <w:rsid w:val="00D07A58"/>
    <w:rsid w:val="00D104AA"/>
    <w:rsid w:val="00D104C9"/>
    <w:rsid w:val="00D1067D"/>
    <w:rsid w:val="00D10B94"/>
    <w:rsid w:val="00D10F1A"/>
    <w:rsid w:val="00D12589"/>
    <w:rsid w:val="00D125F9"/>
    <w:rsid w:val="00D1283C"/>
    <w:rsid w:val="00D129F5"/>
    <w:rsid w:val="00D12BD3"/>
    <w:rsid w:val="00D12E20"/>
    <w:rsid w:val="00D13A8F"/>
    <w:rsid w:val="00D13BE1"/>
    <w:rsid w:val="00D14132"/>
    <w:rsid w:val="00D142C5"/>
    <w:rsid w:val="00D14481"/>
    <w:rsid w:val="00D14BF3"/>
    <w:rsid w:val="00D14DEC"/>
    <w:rsid w:val="00D15241"/>
    <w:rsid w:val="00D15388"/>
    <w:rsid w:val="00D1545B"/>
    <w:rsid w:val="00D1574B"/>
    <w:rsid w:val="00D15F78"/>
    <w:rsid w:val="00D16518"/>
    <w:rsid w:val="00D16687"/>
    <w:rsid w:val="00D16AC5"/>
    <w:rsid w:val="00D16D1A"/>
    <w:rsid w:val="00D1748E"/>
    <w:rsid w:val="00D175CB"/>
    <w:rsid w:val="00D1767E"/>
    <w:rsid w:val="00D17C4B"/>
    <w:rsid w:val="00D200B6"/>
    <w:rsid w:val="00D2024B"/>
    <w:rsid w:val="00D2043D"/>
    <w:rsid w:val="00D2045E"/>
    <w:rsid w:val="00D2074B"/>
    <w:rsid w:val="00D207ED"/>
    <w:rsid w:val="00D20DBE"/>
    <w:rsid w:val="00D20EE6"/>
    <w:rsid w:val="00D20FBC"/>
    <w:rsid w:val="00D2116B"/>
    <w:rsid w:val="00D219BF"/>
    <w:rsid w:val="00D21A12"/>
    <w:rsid w:val="00D21DE1"/>
    <w:rsid w:val="00D220E5"/>
    <w:rsid w:val="00D2220C"/>
    <w:rsid w:val="00D22567"/>
    <w:rsid w:val="00D229AF"/>
    <w:rsid w:val="00D22BCF"/>
    <w:rsid w:val="00D22CF7"/>
    <w:rsid w:val="00D234A4"/>
    <w:rsid w:val="00D23729"/>
    <w:rsid w:val="00D237AB"/>
    <w:rsid w:val="00D23B28"/>
    <w:rsid w:val="00D24354"/>
    <w:rsid w:val="00D24611"/>
    <w:rsid w:val="00D24A31"/>
    <w:rsid w:val="00D25A6C"/>
    <w:rsid w:val="00D26077"/>
    <w:rsid w:val="00D2693B"/>
    <w:rsid w:val="00D269FC"/>
    <w:rsid w:val="00D26C90"/>
    <w:rsid w:val="00D26DEE"/>
    <w:rsid w:val="00D27126"/>
    <w:rsid w:val="00D275E1"/>
    <w:rsid w:val="00D27B3F"/>
    <w:rsid w:val="00D30879"/>
    <w:rsid w:val="00D30DF3"/>
    <w:rsid w:val="00D30E97"/>
    <w:rsid w:val="00D31D95"/>
    <w:rsid w:val="00D321D8"/>
    <w:rsid w:val="00D323F5"/>
    <w:rsid w:val="00D32705"/>
    <w:rsid w:val="00D32EA2"/>
    <w:rsid w:val="00D32FE4"/>
    <w:rsid w:val="00D3312C"/>
    <w:rsid w:val="00D331F0"/>
    <w:rsid w:val="00D33829"/>
    <w:rsid w:val="00D33A5A"/>
    <w:rsid w:val="00D34106"/>
    <w:rsid w:val="00D341DA"/>
    <w:rsid w:val="00D34AF7"/>
    <w:rsid w:val="00D34D40"/>
    <w:rsid w:val="00D34EB9"/>
    <w:rsid w:val="00D34F3C"/>
    <w:rsid w:val="00D351DC"/>
    <w:rsid w:val="00D35B07"/>
    <w:rsid w:val="00D35F1B"/>
    <w:rsid w:val="00D36B48"/>
    <w:rsid w:val="00D36D1C"/>
    <w:rsid w:val="00D37025"/>
    <w:rsid w:val="00D3704F"/>
    <w:rsid w:val="00D3796A"/>
    <w:rsid w:val="00D37B25"/>
    <w:rsid w:val="00D4066A"/>
    <w:rsid w:val="00D40D0D"/>
    <w:rsid w:val="00D412AA"/>
    <w:rsid w:val="00D41523"/>
    <w:rsid w:val="00D41569"/>
    <w:rsid w:val="00D418DF"/>
    <w:rsid w:val="00D41959"/>
    <w:rsid w:val="00D42083"/>
    <w:rsid w:val="00D42196"/>
    <w:rsid w:val="00D4247D"/>
    <w:rsid w:val="00D42674"/>
    <w:rsid w:val="00D42748"/>
    <w:rsid w:val="00D42E82"/>
    <w:rsid w:val="00D43112"/>
    <w:rsid w:val="00D432FD"/>
    <w:rsid w:val="00D43552"/>
    <w:rsid w:val="00D43656"/>
    <w:rsid w:val="00D43AA2"/>
    <w:rsid w:val="00D4488D"/>
    <w:rsid w:val="00D45420"/>
    <w:rsid w:val="00D454C6"/>
    <w:rsid w:val="00D45729"/>
    <w:rsid w:val="00D45A8F"/>
    <w:rsid w:val="00D4616F"/>
    <w:rsid w:val="00D463F3"/>
    <w:rsid w:val="00D4643D"/>
    <w:rsid w:val="00D468B9"/>
    <w:rsid w:val="00D4699F"/>
    <w:rsid w:val="00D47318"/>
    <w:rsid w:val="00D4741A"/>
    <w:rsid w:val="00D47794"/>
    <w:rsid w:val="00D47917"/>
    <w:rsid w:val="00D479CC"/>
    <w:rsid w:val="00D47DAF"/>
    <w:rsid w:val="00D509CD"/>
    <w:rsid w:val="00D50BC6"/>
    <w:rsid w:val="00D512E3"/>
    <w:rsid w:val="00D51427"/>
    <w:rsid w:val="00D514CD"/>
    <w:rsid w:val="00D519DB"/>
    <w:rsid w:val="00D51C48"/>
    <w:rsid w:val="00D51DBF"/>
    <w:rsid w:val="00D5219A"/>
    <w:rsid w:val="00D52321"/>
    <w:rsid w:val="00D523FF"/>
    <w:rsid w:val="00D52575"/>
    <w:rsid w:val="00D52992"/>
    <w:rsid w:val="00D52F17"/>
    <w:rsid w:val="00D5409C"/>
    <w:rsid w:val="00D54689"/>
    <w:rsid w:val="00D54A97"/>
    <w:rsid w:val="00D551F3"/>
    <w:rsid w:val="00D55874"/>
    <w:rsid w:val="00D55954"/>
    <w:rsid w:val="00D55C39"/>
    <w:rsid w:val="00D55C8B"/>
    <w:rsid w:val="00D55EE3"/>
    <w:rsid w:val="00D55F8F"/>
    <w:rsid w:val="00D56099"/>
    <w:rsid w:val="00D56628"/>
    <w:rsid w:val="00D56769"/>
    <w:rsid w:val="00D56945"/>
    <w:rsid w:val="00D56EDD"/>
    <w:rsid w:val="00D5737D"/>
    <w:rsid w:val="00D57E03"/>
    <w:rsid w:val="00D600B8"/>
    <w:rsid w:val="00D60453"/>
    <w:rsid w:val="00D60776"/>
    <w:rsid w:val="00D60837"/>
    <w:rsid w:val="00D60AB0"/>
    <w:rsid w:val="00D60F41"/>
    <w:rsid w:val="00D61101"/>
    <w:rsid w:val="00D6119A"/>
    <w:rsid w:val="00D61635"/>
    <w:rsid w:val="00D618EC"/>
    <w:rsid w:val="00D619B2"/>
    <w:rsid w:val="00D6221A"/>
    <w:rsid w:val="00D62640"/>
    <w:rsid w:val="00D62C81"/>
    <w:rsid w:val="00D630AC"/>
    <w:rsid w:val="00D630CC"/>
    <w:rsid w:val="00D632FB"/>
    <w:rsid w:val="00D633C2"/>
    <w:rsid w:val="00D63667"/>
    <w:rsid w:val="00D640AE"/>
    <w:rsid w:val="00D64BD5"/>
    <w:rsid w:val="00D6542A"/>
    <w:rsid w:val="00D65781"/>
    <w:rsid w:val="00D65F2E"/>
    <w:rsid w:val="00D6644E"/>
    <w:rsid w:val="00D66514"/>
    <w:rsid w:val="00D669B0"/>
    <w:rsid w:val="00D66B88"/>
    <w:rsid w:val="00D66BB5"/>
    <w:rsid w:val="00D66FF2"/>
    <w:rsid w:val="00D67093"/>
    <w:rsid w:val="00D67738"/>
    <w:rsid w:val="00D67C9D"/>
    <w:rsid w:val="00D67F9C"/>
    <w:rsid w:val="00D70166"/>
    <w:rsid w:val="00D701CE"/>
    <w:rsid w:val="00D7021D"/>
    <w:rsid w:val="00D70276"/>
    <w:rsid w:val="00D702DC"/>
    <w:rsid w:val="00D70329"/>
    <w:rsid w:val="00D7077B"/>
    <w:rsid w:val="00D70988"/>
    <w:rsid w:val="00D70A92"/>
    <w:rsid w:val="00D70E35"/>
    <w:rsid w:val="00D71336"/>
    <w:rsid w:val="00D71352"/>
    <w:rsid w:val="00D71539"/>
    <w:rsid w:val="00D71A7D"/>
    <w:rsid w:val="00D72485"/>
    <w:rsid w:val="00D72491"/>
    <w:rsid w:val="00D72552"/>
    <w:rsid w:val="00D725D1"/>
    <w:rsid w:val="00D72CFA"/>
    <w:rsid w:val="00D72D2E"/>
    <w:rsid w:val="00D734FA"/>
    <w:rsid w:val="00D74006"/>
    <w:rsid w:val="00D74CEC"/>
    <w:rsid w:val="00D75508"/>
    <w:rsid w:val="00D756D3"/>
    <w:rsid w:val="00D75C4E"/>
    <w:rsid w:val="00D75DAB"/>
    <w:rsid w:val="00D761A8"/>
    <w:rsid w:val="00D76229"/>
    <w:rsid w:val="00D77994"/>
    <w:rsid w:val="00D77A30"/>
    <w:rsid w:val="00D77BA0"/>
    <w:rsid w:val="00D77DD8"/>
    <w:rsid w:val="00D77E61"/>
    <w:rsid w:val="00D80028"/>
    <w:rsid w:val="00D80B87"/>
    <w:rsid w:val="00D80D30"/>
    <w:rsid w:val="00D80D47"/>
    <w:rsid w:val="00D8123A"/>
    <w:rsid w:val="00D822E0"/>
    <w:rsid w:val="00D82387"/>
    <w:rsid w:val="00D829B3"/>
    <w:rsid w:val="00D82A6F"/>
    <w:rsid w:val="00D82D15"/>
    <w:rsid w:val="00D833BF"/>
    <w:rsid w:val="00D8350A"/>
    <w:rsid w:val="00D835B2"/>
    <w:rsid w:val="00D839BF"/>
    <w:rsid w:val="00D83CA9"/>
    <w:rsid w:val="00D83E1E"/>
    <w:rsid w:val="00D83F4F"/>
    <w:rsid w:val="00D84C83"/>
    <w:rsid w:val="00D850F2"/>
    <w:rsid w:val="00D85177"/>
    <w:rsid w:val="00D852AB"/>
    <w:rsid w:val="00D85807"/>
    <w:rsid w:val="00D85ABF"/>
    <w:rsid w:val="00D86542"/>
    <w:rsid w:val="00D8658F"/>
    <w:rsid w:val="00D867A2"/>
    <w:rsid w:val="00D8726F"/>
    <w:rsid w:val="00D87E6E"/>
    <w:rsid w:val="00D9006A"/>
    <w:rsid w:val="00D902BF"/>
    <w:rsid w:val="00D9031D"/>
    <w:rsid w:val="00D90BEF"/>
    <w:rsid w:val="00D90C48"/>
    <w:rsid w:val="00D9112F"/>
    <w:rsid w:val="00D91971"/>
    <w:rsid w:val="00D923D4"/>
    <w:rsid w:val="00D93633"/>
    <w:rsid w:val="00D937A1"/>
    <w:rsid w:val="00D938B0"/>
    <w:rsid w:val="00D93FA1"/>
    <w:rsid w:val="00D942F1"/>
    <w:rsid w:val="00D94348"/>
    <w:rsid w:val="00D94366"/>
    <w:rsid w:val="00D94F55"/>
    <w:rsid w:val="00D95360"/>
    <w:rsid w:val="00D95477"/>
    <w:rsid w:val="00D95559"/>
    <w:rsid w:val="00D95764"/>
    <w:rsid w:val="00D95DF2"/>
    <w:rsid w:val="00D96007"/>
    <w:rsid w:val="00D9610C"/>
    <w:rsid w:val="00D96535"/>
    <w:rsid w:val="00D9669B"/>
    <w:rsid w:val="00D967FC"/>
    <w:rsid w:val="00D96AF4"/>
    <w:rsid w:val="00D96BD3"/>
    <w:rsid w:val="00D96D56"/>
    <w:rsid w:val="00D97503"/>
    <w:rsid w:val="00D975B6"/>
    <w:rsid w:val="00D97677"/>
    <w:rsid w:val="00D97753"/>
    <w:rsid w:val="00DA0E1C"/>
    <w:rsid w:val="00DA13A5"/>
    <w:rsid w:val="00DA15A2"/>
    <w:rsid w:val="00DA19FD"/>
    <w:rsid w:val="00DA1A68"/>
    <w:rsid w:val="00DA207D"/>
    <w:rsid w:val="00DA222C"/>
    <w:rsid w:val="00DA22E6"/>
    <w:rsid w:val="00DA236D"/>
    <w:rsid w:val="00DA2622"/>
    <w:rsid w:val="00DA2642"/>
    <w:rsid w:val="00DA273E"/>
    <w:rsid w:val="00DA29B5"/>
    <w:rsid w:val="00DA359F"/>
    <w:rsid w:val="00DA36D9"/>
    <w:rsid w:val="00DA3806"/>
    <w:rsid w:val="00DA42AD"/>
    <w:rsid w:val="00DA434C"/>
    <w:rsid w:val="00DA4597"/>
    <w:rsid w:val="00DA4C7F"/>
    <w:rsid w:val="00DA4D0F"/>
    <w:rsid w:val="00DA593C"/>
    <w:rsid w:val="00DA5C98"/>
    <w:rsid w:val="00DA5D79"/>
    <w:rsid w:val="00DA5F3F"/>
    <w:rsid w:val="00DA6042"/>
    <w:rsid w:val="00DA63E8"/>
    <w:rsid w:val="00DA6862"/>
    <w:rsid w:val="00DA6B94"/>
    <w:rsid w:val="00DA6F3A"/>
    <w:rsid w:val="00DA73C3"/>
    <w:rsid w:val="00DA7783"/>
    <w:rsid w:val="00DA7900"/>
    <w:rsid w:val="00DA7A06"/>
    <w:rsid w:val="00DA7DA5"/>
    <w:rsid w:val="00DB00F6"/>
    <w:rsid w:val="00DB0C3E"/>
    <w:rsid w:val="00DB12EB"/>
    <w:rsid w:val="00DB12F4"/>
    <w:rsid w:val="00DB17B4"/>
    <w:rsid w:val="00DB1D9C"/>
    <w:rsid w:val="00DB298B"/>
    <w:rsid w:val="00DB2D38"/>
    <w:rsid w:val="00DB311B"/>
    <w:rsid w:val="00DB32BD"/>
    <w:rsid w:val="00DB390E"/>
    <w:rsid w:val="00DB3C03"/>
    <w:rsid w:val="00DB4454"/>
    <w:rsid w:val="00DB4CE2"/>
    <w:rsid w:val="00DB4E4E"/>
    <w:rsid w:val="00DB4F84"/>
    <w:rsid w:val="00DB51F7"/>
    <w:rsid w:val="00DB577F"/>
    <w:rsid w:val="00DB57BA"/>
    <w:rsid w:val="00DB5B0E"/>
    <w:rsid w:val="00DB5BA4"/>
    <w:rsid w:val="00DB5CFC"/>
    <w:rsid w:val="00DB61E8"/>
    <w:rsid w:val="00DB6A18"/>
    <w:rsid w:val="00DB6A91"/>
    <w:rsid w:val="00DB6E01"/>
    <w:rsid w:val="00DB72ED"/>
    <w:rsid w:val="00DB72EE"/>
    <w:rsid w:val="00DC00C8"/>
    <w:rsid w:val="00DC040A"/>
    <w:rsid w:val="00DC06D7"/>
    <w:rsid w:val="00DC06E9"/>
    <w:rsid w:val="00DC0AF2"/>
    <w:rsid w:val="00DC0BFE"/>
    <w:rsid w:val="00DC14FC"/>
    <w:rsid w:val="00DC1ABC"/>
    <w:rsid w:val="00DC1C06"/>
    <w:rsid w:val="00DC1D5F"/>
    <w:rsid w:val="00DC22BD"/>
    <w:rsid w:val="00DC2AE8"/>
    <w:rsid w:val="00DC3C95"/>
    <w:rsid w:val="00DC3E66"/>
    <w:rsid w:val="00DC3EE3"/>
    <w:rsid w:val="00DC4590"/>
    <w:rsid w:val="00DC469A"/>
    <w:rsid w:val="00DC4C32"/>
    <w:rsid w:val="00DC532A"/>
    <w:rsid w:val="00DC5504"/>
    <w:rsid w:val="00DC56B1"/>
    <w:rsid w:val="00DC5727"/>
    <w:rsid w:val="00DC58E9"/>
    <w:rsid w:val="00DC59F5"/>
    <w:rsid w:val="00DC5CD0"/>
    <w:rsid w:val="00DC5F9F"/>
    <w:rsid w:val="00DC6024"/>
    <w:rsid w:val="00DC61C5"/>
    <w:rsid w:val="00DC6A7D"/>
    <w:rsid w:val="00DC7297"/>
    <w:rsid w:val="00DC7A4D"/>
    <w:rsid w:val="00DC7B14"/>
    <w:rsid w:val="00DD0693"/>
    <w:rsid w:val="00DD06A0"/>
    <w:rsid w:val="00DD0BCC"/>
    <w:rsid w:val="00DD1876"/>
    <w:rsid w:val="00DD261B"/>
    <w:rsid w:val="00DD2CC2"/>
    <w:rsid w:val="00DD3698"/>
    <w:rsid w:val="00DD3AC2"/>
    <w:rsid w:val="00DD3BE1"/>
    <w:rsid w:val="00DD3E79"/>
    <w:rsid w:val="00DD4576"/>
    <w:rsid w:val="00DD497D"/>
    <w:rsid w:val="00DD4E49"/>
    <w:rsid w:val="00DD4FDE"/>
    <w:rsid w:val="00DD5AF6"/>
    <w:rsid w:val="00DD5DCE"/>
    <w:rsid w:val="00DD61EF"/>
    <w:rsid w:val="00DD627F"/>
    <w:rsid w:val="00DD6392"/>
    <w:rsid w:val="00DD6831"/>
    <w:rsid w:val="00DD7331"/>
    <w:rsid w:val="00DD7566"/>
    <w:rsid w:val="00DD7706"/>
    <w:rsid w:val="00DD7FEE"/>
    <w:rsid w:val="00DE07C0"/>
    <w:rsid w:val="00DE1020"/>
    <w:rsid w:val="00DE221E"/>
    <w:rsid w:val="00DE2769"/>
    <w:rsid w:val="00DE2808"/>
    <w:rsid w:val="00DE2A70"/>
    <w:rsid w:val="00DE2E56"/>
    <w:rsid w:val="00DE2FB7"/>
    <w:rsid w:val="00DE37B6"/>
    <w:rsid w:val="00DE3E6A"/>
    <w:rsid w:val="00DE4A3E"/>
    <w:rsid w:val="00DE4AEC"/>
    <w:rsid w:val="00DE4B3B"/>
    <w:rsid w:val="00DE4E4A"/>
    <w:rsid w:val="00DE563D"/>
    <w:rsid w:val="00DE5647"/>
    <w:rsid w:val="00DE5700"/>
    <w:rsid w:val="00DE5712"/>
    <w:rsid w:val="00DE5AD2"/>
    <w:rsid w:val="00DE5D27"/>
    <w:rsid w:val="00DE5E75"/>
    <w:rsid w:val="00DE6069"/>
    <w:rsid w:val="00DE6270"/>
    <w:rsid w:val="00DE668F"/>
    <w:rsid w:val="00DE66DA"/>
    <w:rsid w:val="00DE69BE"/>
    <w:rsid w:val="00DE6A02"/>
    <w:rsid w:val="00DE6C58"/>
    <w:rsid w:val="00DE7552"/>
    <w:rsid w:val="00DE7A67"/>
    <w:rsid w:val="00DE7A81"/>
    <w:rsid w:val="00DE7A83"/>
    <w:rsid w:val="00DE7E89"/>
    <w:rsid w:val="00DF046A"/>
    <w:rsid w:val="00DF04C8"/>
    <w:rsid w:val="00DF05B1"/>
    <w:rsid w:val="00DF067C"/>
    <w:rsid w:val="00DF126C"/>
    <w:rsid w:val="00DF14DE"/>
    <w:rsid w:val="00DF1B18"/>
    <w:rsid w:val="00DF1FFD"/>
    <w:rsid w:val="00DF2126"/>
    <w:rsid w:val="00DF218E"/>
    <w:rsid w:val="00DF249A"/>
    <w:rsid w:val="00DF2A02"/>
    <w:rsid w:val="00DF2A88"/>
    <w:rsid w:val="00DF2AB6"/>
    <w:rsid w:val="00DF2CC5"/>
    <w:rsid w:val="00DF2F64"/>
    <w:rsid w:val="00DF321D"/>
    <w:rsid w:val="00DF3B6D"/>
    <w:rsid w:val="00DF3C3C"/>
    <w:rsid w:val="00DF3DAE"/>
    <w:rsid w:val="00DF41FB"/>
    <w:rsid w:val="00DF449F"/>
    <w:rsid w:val="00DF4C00"/>
    <w:rsid w:val="00DF5566"/>
    <w:rsid w:val="00DF5652"/>
    <w:rsid w:val="00DF56E2"/>
    <w:rsid w:val="00DF5875"/>
    <w:rsid w:val="00DF5EC5"/>
    <w:rsid w:val="00DF6142"/>
    <w:rsid w:val="00DF6321"/>
    <w:rsid w:val="00DF63E0"/>
    <w:rsid w:val="00DF66EB"/>
    <w:rsid w:val="00DF67C9"/>
    <w:rsid w:val="00DF6C48"/>
    <w:rsid w:val="00DF73B1"/>
    <w:rsid w:val="00DF76A2"/>
    <w:rsid w:val="00DF7E60"/>
    <w:rsid w:val="00E007C6"/>
    <w:rsid w:val="00E00C49"/>
    <w:rsid w:val="00E00DE5"/>
    <w:rsid w:val="00E00EF8"/>
    <w:rsid w:val="00E0195E"/>
    <w:rsid w:val="00E01970"/>
    <w:rsid w:val="00E01EE7"/>
    <w:rsid w:val="00E02498"/>
    <w:rsid w:val="00E0266F"/>
    <w:rsid w:val="00E0279F"/>
    <w:rsid w:val="00E02AE2"/>
    <w:rsid w:val="00E02ED3"/>
    <w:rsid w:val="00E034DC"/>
    <w:rsid w:val="00E035BF"/>
    <w:rsid w:val="00E03621"/>
    <w:rsid w:val="00E03F08"/>
    <w:rsid w:val="00E04818"/>
    <w:rsid w:val="00E04BDB"/>
    <w:rsid w:val="00E04D3A"/>
    <w:rsid w:val="00E04D68"/>
    <w:rsid w:val="00E05418"/>
    <w:rsid w:val="00E05764"/>
    <w:rsid w:val="00E0609D"/>
    <w:rsid w:val="00E06664"/>
    <w:rsid w:val="00E06B74"/>
    <w:rsid w:val="00E0757F"/>
    <w:rsid w:val="00E077C7"/>
    <w:rsid w:val="00E079A7"/>
    <w:rsid w:val="00E07A32"/>
    <w:rsid w:val="00E101E2"/>
    <w:rsid w:val="00E10274"/>
    <w:rsid w:val="00E102B5"/>
    <w:rsid w:val="00E11330"/>
    <w:rsid w:val="00E12446"/>
    <w:rsid w:val="00E12EE8"/>
    <w:rsid w:val="00E1300C"/>
    <w:rsid w:val="00E13479"/>
    <w:rsid w:val="00E135EC"/>
    <w:rsid w:val="00E1366D"/>
    <w:rsid w:val="00E13CF4"/>
    <w:rsid w:val="00E13E11"/>
    <w:rsid w:val="00E14511"/>
    <w:rsid w:val="00E14708"/>
    <w:rsid w:val="00E14A45"/>
    <w:rsid w:val="00E14B69"/>
    <w:rsid w:val="00E1507E"/>
    <w:rsid w:val="00E157F5"/>
    <w:rsid w:val="00E1587D"/>
    <w:rsid w:val="00E160E5"/>
    <w:rsid w:val="00E16298"/>
    <w:rsid w:val="00E163B0"/>
    <w:rsid w:val="00E16843"/>
    <w:rsid w:val="00E16AB9"/>
    <w:rsid w:val="00E16AC1"/>
    <w:rsid w:val="00E16CF3"/>
    <w:rsid w:val="00E16FA4"/>
    <w:rsid w:val="00E172D0"/>
    <w:rsid w:val="00E17769"/>
    <w:rsid w:val="00E17C11"/>
    <w:rsid w:val="00E20109"/>
    <w:rsid w:val="00E20AB4"/>
    <w:rsid w:val="00E20F7B"/>
    <w:rsid w:val="00E2110D"/>
    <w:rsid w:val="00E21413"/>
    <w:rsid w:val="00E21738"/>
    <w:rsid w:val="00E21985"/>
    <w:rsid w:val="00E21FF6"/>
    <w:rsid w:val="00E220A3"/>
    <w:rsid w:val="00E22432"/>
    <w:rsid w:val="00E227C6"/>
    <w:rsid w:val="00E22D01"/>
    <w:rsid w:val="00E231C9"/>
    <w:rsid w:val="00E231F7"/>
    <w:rsid w:val="00E23466"/>
    <w:rsid w:val="00E23E63"/>
    <w:rsid w:val="00E24373"/>
    <w:rsid w:val="00E24493"/>
    <w:rsid w:val="00E244F3"/>
    <w:rsid w:val="00E24946"/>
    <w:rsid w:val="00E25085"/>
    <w:rsid w:val="00E25488"/>
    <w:rsid w:val="00E259BE"/>
    <w:rsid w:val="00E25ABC"/>
    <w:rsid w:val="00E2613F"/>
    <w:rsid w:val="00E2647F"/>
    <w:rsid w:val="00E26784"/>
    <w:rsid w:val="00E26D0F"/>
    <w:rsid w:val="00E26DD8"/>
    <w:rsid w:val="00E275A9"/>
    <w:rsid w:val="00E2783D"/>
    <w:rsid w:val="00E27A7A"/>
    <w:rsid w:val="00E27E7C"/>
    <w:rsid w:val="00E30902"/>
    <w:rsid w:val="00E30A5F"/>
    <w:rsid w:val="00E30BAA"/>
    <w:rsid w:val="00E30E01"/>
    <w:rsid w:val="00E30E47"/>
    <w:rsid w:val="00E30E9D"/>
    <w:rsid w:val="00E31784"/>
    <w:rsid w:val="00E3178D"/>
    <w:rsid w:val="00E318D5"/>
    <w:rsid w:val="00E31C94"/>
    <w:rsid w:val="00E32180"/>
    <w:rsid w:val="00E32365"/>
    <w:rsid w:val="00E32920"/>
    <w:rsid w:val="00E32A0D"/>
    <w:rsid w:val="00E32F6E"/>
    <w:rsid w:val="00E32F91"/>
    <w:rsid w:val="00E33179"/>
    <w:rsid w:val="00E3320B"/>
    <w:rsid w:val="00E33C2F"/>
    <w:rsid w:val="00E33EE3"/>
    <w:rsid w:val="00E34576"/>
    <w:rsid w:val="00E349C8"/>
    <w:rsid w:val="00E34AC7"/>
    <w:rsid w:val="00E34F06"/>
    <w:rsid w:val="00E34FCE"/>
    <w:rsid w:val="00E35042"/>
    <w:rsid w:val="00E3511A"/>
    <w:rsid w:val="00E35AC1"/>
    <w:rsid w:val="00E35EC9"/>
    <w:rsid w:val="00E35FDE"/>
    <w:rsid w:val="00E3600E"/>
    <w:rsid w:val="00E36561"/>
    <w:rsid w:val="00E36B57"/>
    <w:rsid w:val="00E376A4"/>
    <w:rsid w:val="00E3788C"/>
    <w:rsid w:val="00E40376"/>
    <w:rsid w:val="00E4041C"/>
    <w:rsid w:val="00E405BC"/>
    <w:rsid w:val="00E4063F"/>
    <w:rsid w:val="00E40737"/>
    <w:rsid w:val="00E40824"/>
    <w:rsid w:val="00E40A0E"/>
    <w:rsid w:val="00E40C4C"/>
    <w:rsid w:val="00E41080"/>
    <w:rsid w:val="00E411AC"/>
    <w:rsid w:val="00E4157D"/>
    <w:rsid w:val="00E4183C"/>
    <w:rsid w:val="00E419D0"/>
    <w:rsid w:val="00E41BD2"/>
    <w:rsid w:val="00E41C92"/>
    <w:rsid w:val="00E41CF6"/>
    <w:rsid w:val="00E423B9"/>
    <w:rsid w:val="00E42CD0"/>
    <w:rsid w:val="00E42DF0"/>
    <w:rsid w:val="00E42FEA"/>
    <w:rsid w:val="00E43E4C"/>
    <w:rsid w:val="00E43EA1"/>
    <w:rsid w:val="00E44525"/>
    <w:rsid w:val="00E4492F"/>
    <w:rsid w:val="00E44BD6"/>
    <w:rsid w:val="00E44C1A"/>
    <w:rsid w:val="00E456F6"/>
    <w:rsid w:val="00E457CB"/>
    <w:rsid w:val="00E45A70"/>
    <w:rsid w:val="00E45EDD"/>
    <w:rsid w:val="00E46AD1"/>
    <w:rsid w:val="00E46C1C"/>
    <w:rsid w:val="00E46D2B"/>
    <w:rsid w:val="00E46E9C"/>
    <w:rsid w:val="00E470E5"/>
    <w:rsid w:val="00E4756F"/>
    <w:rsid w:val="00E47660"/>
    <w:rsid w:val="00E47891"/>
    <w:rsid w:val="00E50266"/>
    <w:rsid w:val="00E507BF"/>
    <w:rsid w:val="00E50ACA"/>
    <w:rsid w:val="00E511FF"/>
    <w:rsid w:val="00E51585"/>
    <w:rsid w:val="00E515A0"/>
    <w:rsid w:val="00E51A3B"/>
    <w:rsid w:val="00E51A49"/>
    <w:rsid w:val="00E52149"/>
    <w:rsid w:val="00E52694"/>
    <w:rsid w:val="00E52874"/>
    <w:rsid w:val="00E52978"/>
    <w:rsid w:val="00E52DF0"/>
    <w:rsid w:val="00E52EA8"/>
    <w:rsid w:val="00E52FA2"/>
    <w:rsid w:val="00E530CF"/>
    <w:rsid w:val="00E536E9"/>
    <w:rsid w:val="00E53CB4"/>
    <w:rsid w:val="00E53EF2"/>
    <w:rsid w:val="00E54112"/>
    <w:rsid w:val="00E54208"/>
    <w:rsid w:val="00E5447D"/>
    <w:rsid w:val="00E54B81"/>
    <w:rsid w:val="00E550FA"/>
    <w:rsid w:val="00E553D8"/>
    <w:rsid w:val="00E55E1C"/>
    <w:rsid w:val="00E55E58"/>
    <w:rsid w:val="00E55FA6"/>
    <w:rsid w:val="00E56786"/>
    <w:rsid w:val="00E56A09"/>
    <w:rsid w:val="00E56ADF"/>
    <w:rsid w:val="00E56CA4"/>
    <w:rsid w:val="00E570BE"/>
    <w:rsid w:val="00E57223"/>
    <w:rsid w:val="00E5722A"/>
    <w:rsid w:val="00E5734C"/>
    <w:rsid w:val="00E57535"/>
    <w:rsid w:val="00E57969"/>
    <w:rsid w:val="00E57D46"/>
    <w:rsid w:val="00E57D93"/>
    <w:rsid w:val="00E57FF7"/>
    <w:rsid w:val="00E608AC"/>
    <w:rsid w:val="00E60CC8"/>
    <w:rsid w:val="00E60E25"/>
    <w:rsid w:val="00E60F07"/>
    <w:rsid w:val="00E61550"/>
    <w:rsid w:val="00E61584"/>
    <w:rsid w:val="00E61598"/>
    <w:rsid w:val="00E62252"/>
    <w:rsid w:val="00E6275C"/>
    <w:rsid w:val="00E627BA"/>
    <w:rsid w:val="00E632A8"/>
    <w:rsid w:val="00E63674"/>
    <w:rsid w:val="00E638E3"/>
    <w:rsid w:val="00E63A14"/>
    <w:rsid w:val="00E63B17"/>
    <w:rsid w:val="00E63B73"/>
    <w:rsid w:val="00E63F8E"/>
    <w:rsid w:val="00E64301"/>
    <w:rsid w:val="00E6575B"/>
    <w:rsid w:val="00E658A4"/>
    <w:rsid w:val="00E65C9B"/>
    <w:rsid w:val="00E66166"/>
    <w:rsid w:val="00E661C0"/>
    <w:rsid w:val="00E662E6"/>
    <w:rsid w:val="00E66516"/>
    <w:rsid w:val="00E66891"/>
    <w:rsid w:val="00E669A2"/>
    <w:rsid w:val="00E66BF5"/>
    <w:rsid w:val="00E67643"/>
    <w:rsid w:val="00E67671"/>
    <w:rsid w:val="00E676F4"/>
    <w:rsid w:val="00E67A56"/>
    <w:rsid w:val="00E67C7B"/>
    <w:rsid w:val="00E67DB2"/>
    <w:rsid w:val="00E67EBA"/>
    <w:rsid w:val="00E67F70"/>
    <w:rsid w:val="00E7016B"/>
    <w:rsid w:val="00E70232"/>
    <w:rsid w:val="00E704EF"/>
    <w:rsid w:val="00E70578"/>
    <w:rsid w:val="00E7078C"/>
    <w:rsid w:val="00E70C13"/>
    <w:rsid w:val="00E70E0D"/>
    <w:rsid w:val="00E71181"/>
    <w:rsid w:val="00E71437"/>
    <w:rsid w:val="00E71C1D"/>
    <w:rsid w:val="00E71F19"/>
    <w:rsid w:val="00E71FCC"/>
    <w:rsid w:val="00E72518"/>
    <w:rsid w:val="00E72786"/>
    <w:rsid w:val="00E727EB"/>
    <w:rsid w:val="00E72844"/>
    <w:rsid w:val="00E72CB1"/>
    <w:rsid w:val="00E73180"/>
    <w:rsid w:val="00E731DD"/>
    <w:rsid w:val="00E734AA"/>
    <w:rsid w:val="00E7361E"/>
    <w:rsid w:val="00E736B1"/>
    <w:rsid w:val="00E73D55"/>
    <w:rsid w:val="00E73DF7"/>
    <w:rsid w:val="00E73E11"/>
    <w:rsid w:val="00E74236"/>
    <w:rsid w:val="00E74A3F"/>
    <w:rsid w:val="00E7515D"/>
    <w:rsid w:val="00E75270"/>
    <w:rsid w:val="00E7556B"/>
    <w:rsid w:val="00E758A5"/>
    <w:rsid w:val="00E758C6"/>
    <w:rsid w:val="00E758E9"/>
    <w:rsid w:val="00E75D4E"/>
    <w:rsid w:val="00E76284"/>
    <w:rsid w:val="00E7687C"/>
    <w:rsid w:val="00E769AB"/>
    <w:rsid w:val="00E76E26"/>
    <w:rsid w:val="00E77157"/>
    <w:rsid w:val="00E77369"/>
    <w:rsid w:val="00E77B00"/>
    <w:rsid w:val="00E80048"/>
    <w:rsid w:val="00E80B98"/>
    <w:rsid w:val="00E80DDF"/>
    <w:rsid w:val="00E80DFC"/>
    <w:rsid w:val="00E80FA6"/>
    <w:rsid w:val="00E80FE7"/>
    <w:rsid w:val="00E811CC"/>
    <w:rsid w:val="00E81421"/>
    <w:rsid w:val="00E8145C"/>
    <w:rsid w:val="00E81836"/>
    <w:rsid w:val="00E81D21"/>
    <w:rsid w:val="00E8221C"/>
    <w:rsid w:val="00E824AF"/>
    <w:rsid w:val="00E82736"/>
    <w:rsid w:val="00E827A1"/>
    <w:rsid w:val="00E82A87"/>
    <w:rsid w:val="00E83789"/>
    <w:rsid w:val="00E83800"/>
    <w:rsid w:val="00E83A67"/>
    <w:rsid w:val="00E83C27"/>
    <w:rsid w:val="00E83F54"/>
    <w:rsid w:val="00E84121"/>
    <w:rsid w:val="00E84782"/>
    <w:rsid w:val="00E848F0"/>
    <w:rsid w:val="00E849F6"/>
    <w:rsid w:val="00E85041"/>
    <w:rsid w:val="00E85180"/>
    <w:rsid w:val="00E857F5"/>
    <w:rsid w:val="00E85991"/>
    <w:rsid w:val="00E859CF"/>
    <w:rsid w:val="00E85CC2"/>
    <w:rsid w:val="00E8650B"/>
    <w:rsid w:val="00E865A9"/>
    <w:rsid w:val="00E865E2"/>
    <w:rsid w:val="00E867BC"/>
    <w:rsid w:val="00E86C1E"/>
    <w:rsid w:val="00E86F4D"/>
    <w:rsid w:val="00E873EB"/>
    <w:rsid w:val="00E87999"/>
    <w:rsid w:val="00E87BA4"/>
    <w:rsid w:val="00E87E33"/>
    <w:rsid w:val="00E90341"/>
    <w:rsid w:val="00E90BFF"/>
    <w:rsid w:val="00E91575"/>
    <w:rsid w:val="00E91B8D"/>
    <w:rsid w:val="00E91F0B"/>
    <w:rsid w:val="00E924D8"/>
    <w:rsid w:val="00E9253D"/>
    <w:rsid w:val="00E9256A"/>
    <w:rsid w:val="00E926BC"/>
    <w:rsid w:val="00E92B40"/>
    <w:rsid w:val="00E92F73"/>
    <w:rsid w:val="00E93523"/>
    <w:rsid w:val="00E936A8"/>
    <w:rsid w:val="00E936C2"/>
    <w:rsid w:val="00E9388C"/>
    <w:rsid w:val="00E942F7"/>
    <w:rsid w:val="00E9456A"/>
    <w:rsid w:val="00E94689"/>
    <w:rsid w:val="00E94E92"/>
    <w:rsid w:val="00E95663"/>
    <w:rsid w:val="00E95666"/>
    <w:rsid w:val="00E959AF"/>
    <w:rsid w:val="00E95D89"/>
    <w:rsid w:val="00E95FDC"/>
    <w:rsid w:val="00E96470"/>
    <w:rsid w:val="00E9697B"/>
    <w:rsid w:val="00E969CF"/>
    <w:rsid w:val="00E97137"/>
    <w:rsid w:val="00E971FA"/>
    <w:rsid w:val="00E97592"/>
    <w:rsid w:val="00E975C4"/>
    <w:rsid w:val="00E9785B"/>
    <w:rsid w:val="00E97D63"/>
    <w:rsid w:val="00EA09FC"/>
    <w:rsid w:val="00EA0A7A"/>
    <w:rsid w:val="00EA0CC0"/>
    <w:rsid w:val="00EA0E37"/>
    <w:rsid w:val="00EA1019"/>
    <w:rsid w:val="00EA1165"/>
    <w:rsid w:val="00EA15EA"/>
    <w:rsid w:val="00EA1683"/>
    <w:rsid w:val="00EA1E18"/>
    <w:rsid w:val="00EA1E7D"/>
    <w:rsid w:val="00EA21D2"/>
    <w:rsid w:val="00EA2FFF"/>
    <w:rsid w:val="00EA3150"/>
    <w:rsid w:val="00EA3188"/>
    <w:rsid w:val="00EA31E7"/>
    <w:rsid w:val="00EA37D5"/>
    <w:rsid w:val="00EA3AA7"/>
    <w:rsid w:val="00EA3F09"/>
    <w:rsid w:val="00EA42D0"/>
    <w:rsid w:val="00EA47CE"/>
    <w:rsid w:val="00EA4ADC"/>
    <w:rsid w:val="00EA4B8C"/>
    <w:rsid w:val="00EA53D7"/>
    <w:rsid w:val="00EA57CE"/>
    <w:rsid w:val="00EA67D7"/>
    <w:rsid w:val="00EA6D98"/>
    <w:rsid w:val="00EA6F02"/>
    <w:rsid w:val="00EA7080"/>
    <w:rsid w:val="00EA74F0"/>
    <w:rsid w:val="00EA76B2"/>
    <w:rsid w:val="00EA772C"/>
    <w:rsid w:val="00EB0394"/>
    <w:rsid w:val="00EB03CB"/>
    <w:rsid w:val="00EB081A"/>
    <w:rsid w:val="00EB0A63"/>
    <w:rsid w:val="00EB1896"/>
    <w:rsid w:val="00EB1898"/>
    <w:rsid w:val="00EB1899"/>
    <w:rsid w:val="00EB20FD"/>
    <w:rsid w:val="00EB2291"/>
    <w:rsid w:val="00EB22AF"/>
    <w:rsid w:val="00EB2E73"/>
    <w:rsid w:val="00EB38EC"/>
    <w:rsid w:val="00EB39C4"/>
    <w:rsid w:val="00EB3C73"/>
    <w:rsid w:val="00EB401B"/>
    <w:rsid w:val="00EB405E"/>
    <w:rsid w:val="00EB43E3"/>
    <w:rsid w:val="00EB4840"/>
    <w:rsid w:val="00EB498A"/>
    <w:rsid w:val="00EB565F"/>
    <w:rsid w:val="00EB56B9"/>
    <w:rsid w:val="00EB5F84"/>
    <w:rsid w:val="00EB6469"/>
    <w:rsid w:val="00EB6C17"/>
    <w:rsid w:val="00EB7176"/>
    <w:rsid w:val="00EB7882"/>
    <w:rsid w:val="00EB7AA5"/>
    <w:rsid w:val="00EB7E9E"/>
    <w:rsid w:val="00EC01A6"/>
    <w:rsid w:val="00EC0B62"/>
    <w:rsid w:val="00EC0BE2"/>
    <w:rsid w:val="00EC0FF2"/>
    <w:rsid w:val="00EC149A"/>
    <w:rsid w:val="00EC14BC"/>
    <w:rsid w:val="00EC151E"/>
    <w:rsid w:val="00EC161A"/>
    <w:rsid w:val="00EC1F29"/>
    <w:rsid w:val="00EC2430"/>
    <w:rsid w:val="00EC2470"/>
    <w:rsid w:val="00EC261E"/>
    <w:rsid w:val="00EC2693"/>
    <w:rsid w:val="00EC287E"/>
    <w:rsid w:val="00EC291F"/>
    <w:rsid w:val="00EC2EEE"/>
    <w:rsid w:val="00EC31AA"/>
    <w:rsid w:val="00EC3338"/>
    <w:rsid w:val="00EC3830"/>
    <w:rsid w:val="00EC398F"/>
    <w:rsid w:val="00EC3DF0"/>
    <w:rsid w:val="00EC3F75"/>
    <w:rsid w:val="00EC46BA"/>
    <w:rsid w:val="00EC46DB"/>
    <w:rsid w:val="00EC4B0E"/>
    <w:rsid w:val="00EC5258"/>
    <w:rsid w:val="00EC5572"/>
    <w:rsid w:val="00EC567C"/>
    <w:rsid w:val="00EC63DA"/>
    <w:rsid w:val="00EC66CE"/>
    <w:rsid w:val="00EC6737"/>
    <w:rsid w:val="00EC678E"/>
    <w:rsid w:val="00EC6D98"/>
    <w:rsid w:val="00EC6FD7"/>
    <w:rsid w:val="00EC726D"/>
    <w:rsid w:val="00EC7AED"/>
    <w:rsid w:val="00EC7C83"/>
    <w:rsid w:val="00EC7CFC"/>
    <w:rsid w:val="00EC7D31"/>
    <w:rsid w:val="00EC7ED8"/>
    <w:rsid w:val="00ED028D"/>
    <w:rsid w:val="00ED052E"/>
    <w:rsid w:val="00ED06D8"/>
    <w:rsid w:val="00ED0BD6"/>
    <w:rsid w:val="00ED0D5A"/>
    <w:rsid w:val="00ED1749"/>
    <w:rsid w:val="00ED1AD9"/>
    <w:rsid w:val="00ED1FA2"/>
    <w:rsid w:val="00ED2161"/>
    <w:rsid w:val="00ED233A"/>
    <w:rsid w:val="00ED2398"/>
    <w:rsid w:val="00ED289A"/>
    <w:rsid w:val="00ED2B32"/>
    <w:rsid w:val="00ED2CF5"/>
    <w:rsid w:val="00ED306E"/>
    <w:rsid w:val="00ED3570"/>
    <w:rsid w:val="00ED3B0D"/>
    <w:rsid w:val="00ED3C70"/>
    <w:rsid w:val="00ED4357"/>
    <w:rsid w:val="00ED439E"/>
    <w:rsid w:val="00ED4885"/>
    <w:rsid w:val="00ED4E74"/>
    <w:rsid w:val="00ED57A5"/>
    <w:rsid w:val="00ED590E"/>
    <w:rsid w:val="00ED69A4"/>
    <w:rsid w:val="00ED6B82"/>
    <w:rsid w:val="00ED6D6D"/>
    <w:rsid w:val="00ED6F35"/>
    <w:rsid w:val="00ED7022"/>
    <w:rsid w:val="00ED70CC"/>
    <w:rsid w:val="00ED7392"/>
    <w:rsid w:val="00ED7486"/>
    <w:rsid w:val="00ED786A"/>
    <w:rsid w:val="00ED7D19"/>
    <w:rsid w:val="00ED7FCD"/>
    <w:rsid w:val="00EE09BE"/>
    <w:rsid w:val="00EE0D0C"/>
    <w:rsid w:val="00EE0F4F"/>
    <w:rsid w:val="00EE153D"/>
    <w:rsid w:val="00EE1A67"/>
    <w:rsid w:val="00EE2240"/>
    <w:rsid w:val="00EE24FC"/>
    <w:rsid w:val="00EE2A7B"/>
    <w:rsid w:val="00EE342E"/>
    <w:rsid w:val="00EE35A9"/>
    <w:rsid w:val="00EE3614"/>
    <w:rsid w:val="00EE37DF"/>
    <w:rsid w:val="00EE3E9A"/>
    <w:rsid w:val="00EE41D7"/>
    <w:rsid w:val="00EE436C"/>
    <w:rsid w:val="00EE47A6"/>
    <w:rsid w:val="00EE489D"/>
    <w:rsid w:val="00EE4C80"/>
    <w:rsid w:val="00EE5061"/>
    <w:rsid w:val="00EE5936"/>
    <w:rsid w:val="00EE6B4F"/>
    <w:rsid w:val="00EE6E11"/>
    <w:rsid w:val="00EE6F83"/>
    <w:rsid w:val="00EE7B07"/>
    <w:rsid w:val="00EF01CA"/>
    <w:rsid w:val="00EF0481"/>
    <w:rsid w:val="00EF0909"/>
    <w:rsid w:val="00EF09B4"/>
    <w:rsid w:val="00EF0B58"/>
    <w:rsid w:val="00EF0FDD"/>
    <w:rsid w:val="00EF14EA"/>
    <w:rsid w:val="00EF165B"/>
    <w:rsid w:val="00EF1B29"/>
    <w:rsid w:val="00EF1B38"/>
    <w:rsid w:val="00EF1C3B"/>
    <w:rsid w:val="00EF1FCE"/>
    <w:rsid w:val="00EF2900"/>
    <w:rsid w:val="00EF31B9"/>
    <w:rsid w:val="00EF3319"/>
    <w:rsid w:val="00EF3662"/>
    <w:rsid w:val="00EF4727"/>
    <w:rsid w:val="00EF47BB"/>
    <w:rsid w:val="00EF47C1"/>
    <w:rsid w:val="00EF4917"/>
    <w:rsid w:val="00EF49AC"/>
    <w:rsid w:val="00EF4DC4"/>
    <w:rsid w:val="00EF4F6D"/>
    <w:rsid w:val="00EF53BE"/>
    <w:rsid w:val="00EF5A10"/>
    <w:rsid w:val="00EF5ACE"/>
    <w:rsid w:val="00EF5DCA"/>
    <w:rsid w:val="00EF5F0C"/>
    <w:rsid w:val="00EF5F19"/>
    <w:rsid w:val="00EF615F"/>
    <w:rsid w:val="00EF6161"/>
    <w:rsid w:val="00EF6267"/>
    <w:rsid w:val="00EF6684"/>
    <w:rsid w:val="00EF71A7"/>
    <w:rsid w:val="00EF71DF"/>
    <w:rsid w:val="00F0015F"/>
    <w:rsid w:val="00F002BA"/>
    <w:rsid w:val="00F00973"/>
    <w:rsid w:val="00F00B09"/>
    <w:rsid w:val="00F00F44"/>
    <w:rsid w:val="00F01BB9"/>
    <w:rsid w:val="00F02714"/>
    <w:rsid w:val="00F0286C"/>
    <w:rsid w:val="00F02C4C"/>
    <w:rsid w:val="00F02C75"/>
    <w:rsid w:val="00F03438"/>
    <w:rsid w:val="00F0442E"/>
    <w:rsid w:val="00F059B1"/>
    <w:rsid w:val="00F05A00"/>
    <w:rsid w:val="00F05BDB"/>
    <w:rsid w:val="00F05D49"/>
    <w:rsid w:val="00F06480"/>
    <w:rsid w:val="00F067A6"/>
    <w:rsid w:val="00F06FA6"/>
    <w:rsid w:val="00F07170"/>
    <w:rsid w:val="00F074B3"/>
    <w:rsid w:val="00F07583"/>
    <w:rsid w:val="00F07759"/>
    <w:rsid w:val="00F07C3E"/>
    <w:rsid w:val="00F07DEC"/>
    <w:rsid w:val="00F07F81"/>
    <w:rsid w:val="00F101DE"/>
    <w:rsid w:val="00F10494"/>
    <w:rsid w:val="00F10632"/>
    <w:rsid w:val="00F10AEA"/>
    <w:rsid w:val="00F11019"/>
    <w:rsid w:val="00F110DD"/>
    <w:rsid w:val="00F1110D"/>
    <w:rsid w:val="00F11626"/>
    <w:rsid w:val="00F11701"/>
    <w:rsid w:val="00F11748"/>
    <w:rsid w:val="00F1237E"/>
    <w:rsid w:val="00F12907"/>
    <w:rsid w:val="00F12B96"/>
    <w:rsid w:val="00F12E7B"/>
    <w:rsid w:val="00F12F38"/>
    <w:rsid w:val="00F13136"/>
    <w:rsid w:val="00F13195"/>
    <w:rsid w:val="00F135C6"/>
    <w:rsid w:val="00F136DC"/>
    <w:rsid w:val="00F13D98"/>
    <w:rsid w:val="00F14A3D"/>
    <w:rsid w:val="00F14B75"/>
    <w:rsid w:val="00F14D1D"/>
    <w:rsid w:val="00F15019"/>
    <w:rsid w:val="00F150C0"/>
    <w:rsid w:val="00F1512B"/>
    <w:rsid w:val="00F15191"/>
    <w:rsid w:val="00F15715"/>
    <w:rsid w:val="00F157CC"/>
    <w:rsid w:val="00F1585A"/>
    <w:rsid w:val="00F15884"/>
    <w:rsid w:val="00F1605B"/>
    <w:rsid w:val="00F16084"/>
    <w:rsid w:val="00F16E07"/>
    <w:rsid w:val="00F1700D"/>
    <w:rsid w:val="00F1710F"/>
    <w:rsid w:val="00F1731E"/>
    <w:rsid w:val="00F175DB"/>
    <w:rsid w:val="00F178E4"/>
    <w:rsid w:val="00F207DC"/>
    <w:rsid w:val="00F208B5"/>
    <w:rsid w:val="00F20E54"/>
    <w:rsid w:val="00F20E7E"/>
    <w:rsid w:val="00F21199"/>
    <w:rsid w:val="00F2135E"/>
    <w:rsid w:val="00F2234C"/>
    <w:rsid w:val="00F2253A"/>
    <w:rsid w:val="00F225BB"/>
    <w:rsid w:val="00F22B4B"/>
    <w:rsid w:val="00F22C08"/>
    <w:rsid w:val="00F23266"/>
    <w:rsid w:val="00F23347"/>
    <w:rsid w:val="00F23409"/>
    <w:rsid w:val="00F23600"/>
    <w:rsid w:val="00F23702"/>
    <w:rsid w:val="00F23959"/>
    <w:rsid w:val="00F23E43"/>
    <w:rsid w:val="00F2400E"/>
    <w:rsid w:val="00F24111"/>
    <w:rsid w:val="00F2457B"/>
    <w:rsid w:val="00F24A01"/>
    <w:rsid w:val="00F24CE9"/>
    <w:rsid w:val="00F26101"/>
    <w:rsid w:val="00F2615F"/>
    <w:rsid w:val="00F2650B"/>
    <w:rsid w:val="00F26530"/>
    <w:rsid w:val="00F277D4"/>
    <w:rsid w:val="00F2789E"/>
    <w:rsid w:val="00F27A68"/>
    <w:rsid w:val="00F30541"/>
    <w:rsid w:val="00F306CC"/>
    <w:rsid w:val="00F306D3"/>
    <w:rsid w:val="00F306EE"/>
    <w:rsid w:val="00F30FFF"/>
    <w:rsid w:val="00F314AF"/>
    <w:rsid w:val="00F321F0"/>
    <w:rsid w:val="00F327F5"/>
    <w:rsid w:val="00F32C92"/>
    <w:rsid w:val="00F32DFB"/>
    <w:rsid w:val="00F3316E"/>
    <w:rsid w:val="00F331CC"/>
    <w:rsid w:val="00F3354B"/>
    <w:rsid w:val="00F33879"/>
    <w:rsid w:val="00F3388B"/>
    <w:rsid w:val="00F33CC2"/>
    <w:rsid w:val="00F3411C"/>
    <w:rsid w:val="00F34776"/>
    <w:rsid w:val="00F34903"/>
    <w:rsid w:val="00F35602"/>
    <w:rsid w:val="00F35651"/>
    <w:rsid w:val="00F35806"/>
    <w:rsid w:val="00F35815"/>
    <w:rsid w:val="00F35A90"/>
    <w:rsid w:val="00F35E22"/>
    <w:rsid w:val="00F362FA"/>
    <w:rsid w:val="00F36CE9"/>
    <w:rsid w:val="00F37025"/>
    <w:rsid w:val="00F37114"/>
    <w:rsid w:val="00F377F8"/>
    <w:rsid w:val="00F379A1"/>
    <w:rsid w:val="00F37E8F"/>
    <w:rsid w:val="00F4002C"/>
    <w:rsid w:val="00F4030F"/>
    <w:rsid w:val="00F4059E"/>
    <w:rsid w:val="00F406D2"/>
    <w:rsid w:val="00F411AF"/>
    <w:rsid w:val="00F4151D"/>
    <w:rsid w:val="00F41796"/>
    <w:rsid w:val="00F417E3"/>
    <w:rsid w:val="00F41853"/>
    <w:rsid w:val="00F41A0E"/>
    <w:rsid w:val="00F41D6A"/>
    <w:rsid w:val="00F420AA"/>
    <w:rsid w:val="00F430CE"/>
    <w:rsid w:val="00F431DE"/>
    <w:rsid w:val="00F43255"/>
    <w:rsid w:val="00F4364B"/>
    <w:rsid w:val="00F43BC9"/>
    <w:rsid w:val="00F43E39"/>
    <w:rsid w:val="00F43E4E"/>
    <w:rsid w:val="00F44856"/>
    <w:rsid w:val="00F44E2A"/>
    <w:rsid w:val="00F44EB6"/>
    <w:rsid w:val="00F44FAF"/>
    <w:rsid w:val="00F45197"/>
    <w:rsid w:val="00F455D8"/>
    <w:rsid w:val="00F4584E"/>
    <w:rsid w:val="00F458CD"/>
    <w:rsid w:val="00F45FA0"/>
    <w:rsid w:val="00F4632D"/>
    <w:rsid w:val="00F4669B"/>
    <w:rsid w:val="00F46732"/>
    <w:rsid w:val="00F4696A"/>
    <w:rsid w:val="00F46AD2"/>
    <w:rsid w:val="00F46C6B"/>
    <w:rsid w:val="00F46DA6"/>
    <w:rsid w:val="00F4768B"/>
    <w:rsid w:val="00F476CA"/>
    <w:rsid w:val="00F47A93"/>
    <w:rsid w:val="00F505FF"/>
    <w:rsid w:val="00F50642"/>
    <w:rsid w:val="00F507A1"/>
    <w:rsid w:val="00F51175"/>
    <w:rsid w:val="00F51523"/>
    <w:rsid w:val="00F51B5F"/>
    <w:rsid w:val="00F51D4F"/>
    <w:rsid w:val="00F5223E"/>
    <w:rsid w:val="00F52570"/>
    <w:rsid w:val="00F5297C"/>
    <w:rsid w:val="00F52C8A"/>
    <w:rsid w:val="00F52FA2"/>
    <w:rsid w:val="00F53353"/>
    <w:rsid w:val="00F53663"/>
    <w:rsid w:val="00F538DE"/>
    <w:rsid w:val="00F53E0C"/>
    <w:rsid w:val="00F540CB"/>
    <w:rsid w:val="00F544F8"/>
    <w:rsid w:val="00F54615"/>
    <w:rsid w:val="00F54A39"/>
    <w:rsid w:val="00F551B9"/>
    <w:rsid w:val="00F554CD"/>
    <w:rsid w:val="00F5683F"/>
    <w:rsid w:val="00F5698C"/>
    <w:rsid w:val="00F56AD7"/>
    <w:rsid w:val="00F56C24"/>
    <w:rsid w:val="00F56DEF"/>
    <w:rsid w:val="00F57485"/>
    <w:rsid w:val="00F5773A"/>
    <w:rsid w:val="00F578F1"/>
    <w:rsid w:val="00F57B07"/>
    <w:rsid w:val="00F57E94"/>
    <w:rsid w:val="00F6025D"/>
    <w:rsid w:val="00F60598"/>
    <w:rsid w:val="00F60998"/>
    <w:rsid w:val="00F60CB0"/>
    <w:rsid w:val="00F60DD6"/>
    <w:rsid w:val="00F60E62"/>
    <w:rsid w:val="00F611A1"/>
    <w:rsid w:val="00F6122C"/>
    <w:rsid w:val="00F61853"/>
    <w:rsid w:val="00F61A55"/>
    <w:rsid w:val="00F61DD1"/>
    <w:rsid w:val="00F62206"/>
    <w:rsid w:val="00F62293"/>
    <w:rsid w:val="00F6249A"/>
    <w:rsid w:val="00F62A24"/>
    <w:rsid w:val="00F62D9E"/>
    <w:rsid w:val="00F63158"/>
    <w:rsid w:val="00F634CD"/>
    <w:rsid w:val="00F6373C"/>
    <w:rsid w:val="00F63D0A"/>
    <w:rsid w:val="00F64263"/>
    <w:rsid w:val="00F64B52"/>
    <w:rsid w:val="00F64D33"/>
    <w:rsid w:val="00F651AB"/>
    <w:rsid w:val="00F65784"/>
    <w:rsid w:val="00F657CB"/>
    <w:rsid w:val="00F6595A"/>
    <w:rsid w:val="00F667E6"/>
    <w:rsid w:val="00F668B5"/>
    <w:rsid w:val="00F66D86"/>
    <w:rsid w:val="00F66E63"/>
    <w:rsid w:val="00F66EA8"/>
    <w:rsid w:val="00F677A0"/>
    <w:rsid w:val="00F67F60"/>
    <w:rsid w:val="00F7004E"/>
    <w:rsid w:val="00F7008A"/>
    <w:rsid w:val="00F706A1"/>
    <w:rsid w:val="00F709FD"/>
    <w:rsid w:val="00F70F2E"/>
    <w:rsid w:val="00F70F6D"/>
    <w:rsid w:val="00F714B0"/>
    <w:rsid w:val="00F718E1"/>
    <w:rsid w:val="00F71AD7"/>
    <w:rsid w:val="00F721E5"/>
    <w:rsid w:val="00F72F44"/>
    <w:rsid w:val="00F73090"/>
    <w:rsid w:val="00F73396"/>
    <w:rsid w:val="00F73CCF"/>
    <w:rsid w:val="00F74542"/>
    <w:rsid w:val="00F749F7"/>
    <w:rsid w:val="00F74BB3"/>
    <w:rsid w:val="00F74C3C"/>
    <w:rsid w:val="00F75153"/>
    <w:rsid w:val="00F75579"/>
    <w:rsid w:val="00F7571C"/>
    <w:rsid w:val="00F759B0"/>
    <w:rsid w:val="00F75ADC"/>
    <w:rsid w:val="00F76244"/>
    <w:rsid w:val="00F76714"/>
    <w:rsid w:val="00F77481"/>
    <w:rsid w:val="00F774BD"/>
    <w:rsid w:val="00F77963"/>
    <w:rsid w:val="00F80168"/>
    <w:rsid w:val="00F80200"/>
    <w:rsid w:val="00F80923"/>
    <w:rsid w:val="00F80E42"/>
    <w:rsid w:val="00F8179D"/>
    <w:rsid w:val="00F8181E"/>
    <w:rsid w:val="00F8207A"/>
    <w:rsid w:val="00F8229E"/>
    <w:rsid w:val="00F8287D"/>
    <w:rsid w:val="00F82925"/>
    <w:rsid w:val="00F82CFB"/>
    <w:rsid w:val="00F82DAA"/>
    <w:rsid w:val="00F82FE6"/>
    <w:rsid w:val="00F83043"/>
    <w:rsid w:val="00F83130"/>
    <w:rsid w:val="00F83481"/>
    <w:rsid w:val="00F834C0"/>
    <w:rsid w:val="00F8353B"/>
    <w:rsid w:val="00F8363D"/>
    <w:rsid w:val="00F839E0"/>
    <w:rsid w:val="00F84106"/>
    <w:rsid w:val="00F844CA"/>
    <w:rsid w:val="00F8475E"/>
    <w:rsid w:val="00F84B59"/>
    <w:rsid w:val="00F84C32"/>
    <w:rsid w:val="00F853B8"/>
    <w:rsid w:val="00F857E3"/>
    <w:rsid w:val="00F85EBC"/>
    <w:rsid w:val="00F85FA9"/>
    <w:rsid w:val="00F871CC"/>
    <w:rsid w:val="00F871DF"/>
    <w:rsid w:val="00F874B3"/>
    <w:rsid w:val="00F875E5"/>
    <w:rsid w:val="00F87CA0"/>
    <w:rsid w:val="00F90207"/>
    <w:rsid w:val="00F902C7"/>
    <w:rsid w:val="00F90667"/>
    <w:rsid w:val="00F9087F"/>
    <w:rsid w:val="00F90A84"/>
    <w:rsid w:val="00F90CF0"/>
    <w:rsid w:val="00F91202"/>
    <w:rsid w:val="00F91BD8"/>
    <w:rsid w:val="00F92867"/>
    <w:rsid w:val="00F93403"/>
    <w:rsid w:val="00F934EA"/>
    <w:rsid w:val="00F93517"/>
    <w:rsid w:val="00F935FF"/>
    <w:rsid w:val="00F93D3B"/>
    <w:rsid w:val="00F94687"/>
    <w:rsid w:val="00F946AE"/>
    <w:rsid w:val="00F9502A"/>
    <w:rsid w:val="00F950CD"/>
    <w:rsid w:val="00F950D3"/>
    <w:rsid w:val="00F95322"/>
    <w:rsid w:val="00F955C2"/>
    <w:rsid w:val="00F96930"/>
    <w:rsid w:val="00F96E3C"/>
    <w:rsid w:val="00F9725E"/>
    <w:rsid w:val="00F97387"/>
    <w:rsid w:val="00F974DD"/>
    <w:rsid w:val="00F976CB"/>
    <w:rsid w:val="00F97743"/>
    <w:rsid w:val="00F978D1"/>
    <w:rsid w:val="00F97E1D"/>
    <w:rsid w:val="00FA04EB"/>
    <w:rsid w:val="00FA05E6"/>
    <w:rsid w:val="00FA0BB9"/>
    <w:rsid w:val="00FA0EA8"/>
    <w:rsid w:val="00FA0F4A"/>
    <w:rsid w:val="00FA12AB"/>
    <w:rsid w:val="00FA138F"/>
    <w:rsid w:val="00FA1515"/>
    <w:rsid w:val="00FA18A4"/>
    <w:rsid w:val="00FA19E0"/>
    <w:rsid w:val="00FA25A6"/>
    <w:rsid w:val="00FA2605"/>
    <w:rsid w:val="00FA299F"/>
    <w:rsid w:val="00FA32E7"/>
    <w:rsid w:val="00FA34D5"/>
    <w:rsid w:val="00FA3C13"/>
    <w:rsid w:val="00FA430C"/>
    <w:rsid w:val="00FA462B"/>
    <w:rsid w:val="00FA4790"/>
    <w:rsid w:val="00FA5E20"/>
    <w:rsid w:val="00FA6293"/>
    <w:rsid w:val="00FA6A88"/>
    <w:rsid w:val="00FA6D44"/>
    <w:rsid w:val="00FA6E57"/>
    <w:rsid w:val="00FA710B"/>
    <w:rsid w:val="00FA7A19"/>
    <w:rsid w:val="00FB0B63"/>
    <w:rsid w:val="00FB0F58"/>
    <w:rsid w:val="00FB1477"/>
    <w:rsid w:val="00FB23DD"/>
    <w:rsid w:val="00FB2AE2"/>
    <w:rsid w:val="00FB2EBC"/>
    <w:rsid w:val="00FB306B"/>
    <w:rsid w:val="00FB3099"/>
    <w:rsid w:val="00FB39D7"/>
    <w:rsid w:val="00FB3D16"/>
    <w:rsid w:val="00FB4D98"/>
    <w:rsid w:val="00FB524A"/>
    <w:rsid w:val="00FB54A0"/>
    <w:rsid w:val="00FB54E0"/>
    <w:rsid w:val="00FB55F4"/>
    <w:rsid w:val="00FB58F4"/>
    <w:rsid w:val="00FB5911"/>
    <w:rsid w:val="00FB5F01"/>
    <w:rsid w:val="00FB6714"/>
    <w:rsid w:val="00FB69FB"/>
    <w:rsid w:val="00FB6ABD"/>
    <w:rsid w:val="00FB6E24"/>
    <w:rsid w:val="00FB7010"/>
    <w:rsid w:val="00FB71FC"/>
    <w:rsid w:val="00FB7516"/>
    <w:rsid w:val="00FB761A"/>
    <w:rsid w:val="00FB79F3"/>
    <w:rsid w:val="00FB7EF6"/>
    <w:rsid w:val="00FB7FCD"/>
    <w:rsid w:val="00FC0A3A"/>
    <w:rsid w:val="00FC0EE7"/>
    <w:rsid w:val="00FC115A"/>
    <w:rsid w:val="00FC1583"/>
    <w:rsid w:val="00FC16BF"/>
    <w:rsid w:val="00FC1972"/>
    <w:rsid w:val="00FC19BD"/>
    <w:rsid w:val="00FC1DB8"/>
    <w:rsid w:val="00FC1FEE"/>
    <w:rsid w:val="00FC24A8"/>
    <w:rsid w:val="00FC24D8"/>
    <w:rsid w:val="00FC2553"/>
    <w:rsid w:val="00FC296D"/>
    <w:rsid w:val="00FC2974"/>
    <w:rsid w:val="00FC305C"/>
    <w:rsid w:val="00FC32A4"/>
    <w:rsid w:val="00FC34AF"/>
    <w:rsid w:val="00FC402A"/>
    <w:rsid w:val="00FC42E2"/>
    <w:rsid w:val="00FC4E45"/>
    <w:rsid w:val="00FC57CB"/>
    <w:rsid w:val="00FC58A3"/>
    <w:rsid w:val="00FC5D4C"/>
    <w:rsid w:val="00FC6076"/>
    <w:rsid w:val="00FC6129"/>
    <w:rsid w:val="00FC61A1"/>
    <w:rsid w:val="00FC62EC"/>
    <w:rsid w:val="00FC66B5"/>
    <w:rsid w:val="00FC67FB"/>
    <w:rsid w:val="00FC6B18"/>
    <w:rsid w:val="00FC6BFD"/>
    <w:rsid w:val="00FC6D9E"/>
    <w:rsid w:val="00FC76E8"/>
    <w:rsid w:val="00FC789F"/>
    <w:rsid w:val="00FC78FA"/>
    <w:rsid w:val="00FC7E2F"/>
    <w:rsid w:val="00FC7E77"/>
    <w:rsid w:val="00FD0742"/>
    <w:rsid w:val="00FD0DE9"/>
    <w:rsid w:val="00FD107E"/>
    <w:rsid w:val="00FD10B2"/>
    <w:rsid w:val="00FD13A5"/>
    <w:rsid w:val="00FD1548"/>
    <w:rsid w:val="00FD1967"/>
    <w:rsid w:val="00FD275E"/>
    <w:rsid w:val="00FD2859"/>
    <w:rsid w:val="00FD2E41"/>
    <w:rsid w:val="00FD3270"/>
    <w:rsid w:val="00FD3369"/>
    <w:rsid w:val="00FD3776"/>
    <w:rsid w:val="00FD3A4C"/>
    <w:rsid w:val="00FD3B71"/>
    <w:rsid w:val="00FD40E0"/>
    <w:rsid w:val="00FD4375"/>
    <w:rsid w:val="00FD452C"/>
    <w:rsid w:val="00FD4575"/>
    <w:rsid w:val="00FD47BF"/>
    <w:rsid w:val="00FD4ABE"/>
    <w:rsid w:val="00FD4DF5"/>
    <w:rsid w:val="00FD5059"/>
    <w:rsid w:val="00FD661B"/>
    <w:rsid w:val="00FD66F1"/>
    <w:rsid w:val="00FD67A9"/>
    <w:rsid w:val="00FD6B5B"/>
    <w:rsid w:val="00FD6D69"/>
    <w:rsid w:val="00FD70C3"/>
    <w:rsid w:val="00FD755A"/>
    <w:rsid w:val="00FD7680"/>
    <w:rsid w:val="00FD7880"/>
    <w:rsid w:val="00FE0003"/>
    <w:rsid w:val="00FE016A"/>
    <w:rsid w:val="00FE0704"/>
    <w:rsid w:val="00FE0897"/>
    <w:rsid w:val="00FE0926"/>
    <w:rsid w:val="00FE123E"/>
    <w:rsid w:val="00FE142B"/>
    <w:rsid w:val="00FE1664"/>
    <w:rsid w:val="00FE17CF"/>
    <w:rsid w:val="00FE1EEF"/>
    <w:rsid w:val="00FE1FCD"/>
    <w:rsid w:val="00FE238F"/>
    <w:rsid w:val="00FE255A"/>
    <w:rsid w:val="00FE2625"/>
    <w:rsid w:val="00FE297E"/>
    <w:rsid w:val="00FE3473"/>
    <w:rsid w:val="00FE36CA"/>
    <w:rsid w:val="00FE380B"/>
    <w:rsid w:val="00FE3C5E"/>
    <w:rsid w:val="00FE3E99"/>
    <w:rsid w:val="00FE434C"/>
    <w:rsid w:val="00FE4489"/>
    <w:rsid w:val="00FE4546"/>
    <w:rsid w:val="00FE45EB"/>
    <w:rsid w:val="00FE472B"/>
    <w:rsid w:val="00FE4B52"/>
    <w:rsid w:val="00FE5BB6"/>
    <w:rsid w:val="00FE5F8D"/>
    <w:rsid w:val="00FE627A"/>
    <w:rsid w:val="00FE6B8F"/>
    <w:rsid w:val="00FE6FBB"/>
    <w:rsid w:val="00FE74DA"/>
    <w:rsid w:val="00FE7640"/>
    <w:rsid w:val="00FE7AD9"/>
    <w:rsid w:val="00FE7C95"/>
    <w:rsid w:val="00FE7E58"/>
    <w:rsid w:val="00FE7FB4"/>
    <w:rsid w:val="00FF08F1"/>
    <w:rsid w:val="00FF105F"/>
    <w:rsid w:val="00FF10EF"/>
    <w:rsid w:val="00FF1155"/>
    <w:rsid w:val="00FF12D9"/>
    <w:rsid w:val="00FF152F"/>
    <w:rsid w:val="00FF15AF"/>
    <w:rsid w:val="00FF1844"/>
    <w:rsid w:val="00FF1B55"/>
    <w:rsid w:val="00FF1CD3"/>
    <w:rsid w:val="00FF1D50"/>
    <w:rsid w:val="00FF2083"/>
    <w:rsid w:val="00FF25C2"/>
    <w:rsid w:val="00FF27B0"/>
    <w:rsid w:val="00FF2FC9"/>
    <w:rsid w:val="00FF3293"/>
    <w:rsid w:val="00FF38A2"/>
    <w:rsid w:val="00FF39DA"/>
    <w:rsid w:val="00FF3F6E"/>
    <w:rsid w:val="00FF4080"/>
    <w:rsid w:val="00FF40B2"/>
    <w:rsid w:val="00FF42C9"/>
    <w:rsid w:val="00FF472A"/>
    <w:rsid w:val="00FF4C05"/>
    <w:rsid w:val="00FF5255"/>
    <w:rsid w:val="00FF5741"/>
    <w:rsid w:val="00FF5773"/>
    <w:rsid w:val="00FF57E7"/>
    <w:rsid w:val="00FF5834"/>
    <w:rsid w:val="00FF59CC"/>
    <w:rsid w:val="00FF66A2"/>
    <w:rsid w:val="00FF66ED"/>
    <w:rsid w:val="00FF72A4"/>
    <w:rsid w:val="00FF72AB"/>
    <w:rsid w:val="00FF74DF"/>
    <w:rsid w:val="00FF7AB6"/>
    <w:rsid w:val="00FF7D81"/>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3A3D3"/>
  <w15:docId w15:val="{3F306E0D-F1CE-4534-8634-1EB61EA76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0"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FG Body Text"/>
    <w:rsid w:val="00933C76"/>
    <w:pPr>
      <w:spacing w:before="120" w:after="120"/>
    </w:pPr>
    <w:rPr>
      <w:rFonts w:ascii="Gill Sans MT" w:hAnsi="Gill Sans MT"/>
      <w:szCs w:val="22"/>
    </w:rPr>
  </w:style>
  <w:style w:type="paragraph" w:styleId="Heading1">
    <w:name w:val="heading 1"/>
    <w:basedOn w:val="Normal"/>
    <w:next w:val="Normal"/>
    <w:link w:val="Heading1Char"/>
    <w:qFormat/>
    <w:rsid w:val="009325C4"/>
    <w:pPr>
      <w:keepNext/>
      <w:keepLines/>
      <w:spacing w:before="0" w:after="840"/>
      <w:jc w:val="right"/>
      <w:outlineLvl w:val="0"/>
    </w:pPr>
    <w:rPr>
      <w:rFonts w:ascii="Gill Sans MT Condensed" w:eastAsia="Times New Roman" w:hAnsi="Gill Sans MT Condensed"/>
      <w:caps/>
      <w:color w:val="2B3990"/>
      <w:sz w:val="56"/>
      <w:szCs w:val="28"/>
    </w:rPr>
  </w:style>
  <w:style w:type="paragraph" w:styleId="Heading2">
    <w:name w:val="heading 2"/>
    <w:basedOn w:val="Annex2"/>
    <w:next w:val="Normal"/>
    <w:link w:val="Heading2Char"/>
    <w:uiPriority w:val="99"/>
    <w:qFormat/>
    <w:rsid w:val="00DF5652"/>
    <w:pPr>
      <w:shd w:val="clear" w:color="C0C0C0" w:fill="auto"/>
      <w:spacing w:after="0"/>
      <w:outlineLvl w:val="1"/>
    </w:pPr>
    <w:rPr>
      <w:snapToGrid w:val="0"/>
    </w:rPr>
  </w:style>
  <w:style w:type="paragraph" w:styleId="Heading3">
    <w:name w:val="heading 3"/>
    <w:basedOn w:val="Heading2"/>
    <w:next w:val="Normal"/>
    <w:link w:val="Heading3Char"/>
    <w:qFormat/>
    <w:rsid w:val="009B73F5"/>
    <w:pPr>
      <w:numPr>
        <w:ilvl w:val="2"/>
      </w:numPr>
      <w:shd w:val="clear" w:color="C0C0C0" w:fill="FFFFFF"/>
      <w:tabs>
        <w:tab w:val="left" w:pos="432"/>
      </w:tabs>
      <w:outlineLvl w:val="2"/>
    </w:pPr>
    <w:rPr>
      <w:color w:val="2B3990" w:themeColor="accent1"/>
      <w:sz w:val="32"/>
      <w:u w:color="808080"/>
    </w:rPr>
  </w:style>
  <w:style w:type="paragraph" w:styleId="Heading4">
    <w:name w:val="heading 4"/>
    <w:basedOn w:val="Normal"/>
    <w:next w:val="Normal"/>
    <w:link w:val="Heading4Char"/>
    <w:unhideWhenUsed/>
    <w:qFormat/>
    <w:rsid w:val="00E7515D"/>
    <w:pPr>
      <w:outlineLvl w:val="3"/>
    </w:pPr>
    <w:rPr>
      <w:b/>
      <w:i/>
      <w:noProof/>
      <w:sz w:val="24"/>
    </w:rPr>
  </w:style>
  <w:style w:type="paragraph" w:styleId="Heading5">
    <w:name w:val="heading 5"/>
    <w:basedOn w:val="Normal"/>
    <w:next w:val="Normal"/>
    <w:link w:val="Heading5Char"/>
    <w:unhideWhenUsed/>
    <w:qFormat/>
    <w:rsid w:val="008B65A1"/>
    <w:pPr>
      <w:keepNext/>
      <w:keepLines/>
      <w:outlineLvl w:val="4"/>
    </w:pPr>
    <w:rPr>
      <w:rFonts w:eastAsia="Times New Roman"/>
      <w:b/>
      <w:u w:val="single"/>
    </w:rPr>
  </w:style>
  <w:style w:type="paragraph" w:styleId="Heading6">
    <w:name w:val="heading 6"/>
    <w:basedOn w:val="Normal"/>
    <w:next w:val="Normal"/>
    <w:link w:val="Heading6Char"/>
    <w:uiPriority w:val="9"/>
    <w:unhideWhenUsed/>
    <w:qFormat/>
    <w:rsid w:val="002E0823"/>
    <w:pPr>
      <w:keepNext/>
      <w:keepLines/>
      <w:spacing w:before="200" w:after="0"/>
      <w:outlineLvl w:val="5"/>
    </w:pPr>
    <w:rPr>
      <w:rFonts w:ascii="Cambria" w:eastAsia="Times New Roman" w:hAnsi="Cambria"/>
      <w:i/>
      <w:iCs/>
      <w:color w:val="243F60"/>
    </w:rPr>
  </w:style>
  <w:style w:type="paragraph" w:styleId="Heading8">
    <w:name w:val="heading 8"/>
    <w:basedOn w:val="Normal"/>
    <w:next w:val="Normal"/>
    <w:link w:val="Heading8Char"/>
    <w:unhideWhenUsed/>
    <w:qFormat/>
    <w:rsid w:val="007051BF"/>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7051B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B5D5A"/>
    <w:pPr>
      <w:tabs>
        <w:tab w:val="center" w:pos="4680"/>
        <w:tab w:val="right" w:pos="9360"/>
      </w:tabs>
      <w:jc w:val="right"/>
    </w:pPr>
    <w:rPr>
      <w:rFonts w:ascii="Gill Sans MT Condensed" w:hAnsi="Gill Sans MT Condensed"/>
      <w:color w:val="2B3990"/>
      <w:sz w:val="56"/>
    </w:rPr>
  </w:style>
  <w:style w:type="character" w:customStyle="1" w:styleId="HeaderChar">
    <w:name w:val="Header Char"/>
    <w:basedOn w:val="DefaultParagraphFont"/>
    <w:link w:val="Header"/>
    <w:rsid w:val="005B5D5A"/>
    <w:rPr>
      <w:rFonts w:ascii="Gill Sans MT Condensed" w:hAnsi="Gill Sans MT Condensed"/>
      <w:color w:val="2B3990"/>
      <w:sz w:val="56"/>
      <w:szCs w:val="22"/>
    </w:rPr>
  </w:style>
  <w:style w:type="paragraph" w:styleId="Footer">
    <w:name w:val="footer"/>
    <w:basedOn w:val="Normal"/>
    <w:link w:val="FooterChar"/>
    <w:uiPriority w:val="99"/>
    <w:rsid w:val="00FC42E2"/>
    <w:pPr>
      <w:tabs>
        <w:tab w:val="right" w:pos="9360"/>
        <w:tab w:val="right" w:pos="9720"/>
      </w:tabs>
      <w:spacing w:before="0" w:after="0"/>
      <w:jc w:val="center"/>
    </w:pPr>
    <w:rPr>
      <w:rFonts w:eastAsia="Times New Roman"/>
      <w:b/>
      <w:color w:val="FFFFFF" w:themeColor="background1"/>
      <w:szCs w:val="20"/>
    </w:rPr>
  </w:style>
  <w:style w:type="character" w:customStyle="1" w:styleId="FooterChar">
    <w:name w:val="Footer Char"/>
    <w:basedOn w:val="DefaultParagraphFont"/>
    <w:link w:val="Footer"/>
    <w:uiPriority w:val="99"/>
    <w:rsid w:val="00FC42E2"/>
    <w:rPr>
      <w:rFonts w:ascii="Gill Sans MT" w:eastAsia="Times New Roman" w:hAnsi="Gill Sans MT"/>
      <w:b/>
      <w:color w:val="FFFFFF" w:themeColor="background1"/>
    </w:rPr>
  </w:style>
  <w:style w:type="paragraph" w:styleId="BalloonText">
    <w:name w:val="Balloon Text"/>
    <w:basedOn w:val="Normal"/>
    <w:link w:val="BalloonTextChar"/>
    <w:uiPriority w:val="99"/>
    <w:unhideWhenUsed/>
    <w:rsid w:val="003816EA"/>
    <w:rPr>
      <w:rFonts w:ascii="Tahoma" w:hAnsi="Tahoma" w:cs="Tahoma"/>
      <w:sz w:val="16"/>
      <w:szCs w:val="16"/>
    </w:rPr>
  </w:style>
  <w:style w:type="character" w:customStyle="1" w:styleId="BalloonTextChar">
    <w:name w:val="Balloon Text Char"/>
    <w:link w:val="BalloonText"/>
    <w:uiPriority w:val="99"/>
    <w:rsid w:val="003816EA"/>
    <w:rPr>
      <w:rFonts w:ascii="Tahoma" w:hAnsi="Tahoma" w:cs="Tahoma"/>
      <w:sz w:val="16"/>
      <w:szCs w:val="16"/>
    </w:rPr>
  </w:style>
  <w:style w:type="paragraph" w:styleId="NoSpacing">
    <w:name w:val="No Spacing"/>
    <w:link w:val="NoSpacingChar"/>
    <w:uiPriority w:val="1"/>
    <w:qFormat/>
    <w:rsid w:val="004F5112"/>
    <w:rPr>
      <w:sz w:val="22"/>
      <w:szCs w:val="22"/>
    </w:rPr>
  </w:style>
  <w:style w:type="paragraph" w:styleId="ListParagraph">
    <w:name w:val="List Paragraph"/>
    <w:aliases w:val="Bullets,bullets,Citation List,Resume Title,List Paragraph (numbered (a)),References,MC Paragraphe Liste,Paragraph,Paragraphe de liste PBLH,Normal bullet 2,Bullet list,Figure_name,Equipment,Numbered Indented Text,List Paragraph1,lp1,HEAD 3"/>
    <w:basedOn w:val="Normal"/>
    <w:link w:val="ListParagraphChar"/>
    <w:uiPriority w:val="34"/>
    <w:qFormat/>
    <w:rsid w:val="004F5112"/>
    <w:pPr>
      <w:ind w:left="720"/>
      <w:contextualSpacing/>
    </w:pPr>
  </w:style>
  <w:style w:type="character" w:customStyle="1" w:styleId="Heading1Char">
    <w:name w:val="Heading 1 Char"/>
    <w:link w:val="Heading1"/>
    <w:rsid w:val="009325C4"/>
    <w:rPr>
      <w:rFonts w:ascii="Gill Sans MT Condensed" w:eastAsia="Times New Roman" w:hAnsi="Gill Sans MT Condensed"/>
      <w:caps/>
      <w:color w:val="2B3990"/>
      <w:sz w:val="56"/>
      <w:szCs w:val="28"/>
    </w:rPr>
  </w:style>
  <w:style w:type="character" w:customStyle="1" w:styleId="Heading2Char">
    <w:name w:val="Heading 2 Char"/>
    <w:link w:val="Heading2"/>
    <w:uiPriority w:val="99"/>
    <w:rsid w:val="00DF5652"/>
    <w:rPr>
      <w:rFonts w:ascii="Gill Sans MT" w:eastAsia="Times New Roman" w:hAnsi="Gill Sans MT"/>
      <w:snapToGrid w:val="0"/>
      <w:color w:val="F78E1E" w:themeColor="accent2"/>
      <w:sz w:val="36"/>
      <w:shd w:val="clear" w:color="C0C0C0" w:fill="auto"/>
    </w:rPr>
  </w:style>
  <w:style w:type="character" w:customStyle="1" w:styleId="Heading3Char">
    <w:name w:val="Heading 3 Char"/>
    <w:link w:val="Heading3"/>
    <w:rsid w:val="009B73F5"/>
    <w:rPr>
      <w:rFonts w:ascii="Gill Sans MT" w:eastAsia="Times New Roman" w:hAnsi="Gill Sans MT"/>
      <w:snapToGrid w:val="0"/>
      <w:color w:val="2B3990" w:themeColor="accent1"/>
      <w:sz w:val="32"/>
      <w:u w:color="808080"/>
      <w:shd w:val="clear" w:color="C0C0C0" w:fill="FFFFFF"/>
    </w:rPr>
  </w:style>
  <w:style w:type="character" w:customStyle="1" w:styleId="Heading5Char">
    <w:name w:val="Heading 5 Char"/>
    <w:link w:val="Heading5"/>
    <w:rsid w:val="008B65A1"/>
    <w:rPr>
      <w:rFonts w:ascii="Arial" w:eastAsia="Times New Roman" w:hAnsi="Arial" w:cs="Times New Roman"/>
      <w:b/>
      <w:u w:val="single"/>
    </w:rPr>
  </w:style>
  <w:style w:type="paragraph" w:customStyle="1" w:styleId="1-DocText">
    <w:name w:val="1-DocText"/>
    <w:link w:val="1-DocTextChar"/>
    <w:rsid w:val="005B5D5A"/>
    <w:pPr>
      <w:spacing w:before="120" w:after="120"/>
    </w:pPr>
    <w:rPr>
      <w:rFonts w:ascii="Gill Sans MT" w:eastAsia="Times New Roman" w:hAnsi="Gill Sans MT"/>
      <w:sz w:val="22"/>
    </w:rPr>
  </w:style>
  <w:style w:type="paragraph" w:customStyle="1" w:styleId="TableSubtitles">
    <w:name w:val="Table Subtitles"/>
    <w:rsid w:val="00CE15B9"/>
    <w:pPr>
      <w:keepNext/>
      <w:keepLines/>
      <w:spacing w:before="80" w:after="40"/>
      <w:jc w:val="center"/>
    </w:pPr>
    <w:rPr>
      <w:rFonts w:ascii="Gill Sans MT" w:eastAsia="Times New Roman" w:hAnsi="Gill Sans MT"/>
      <w:noProof/>
    </w:rPr>
  </w:style>
  <w:style w:type="paragraph" w:customStyle="1" w:styleId="TableBody">
    <w:name w:val="Table Body"/>
    <w:rsid w:val="00CE15B9"/>
    <w:rPr>
      <w:rFonts w:ascii="Gill Sans MT" w:eastAsia="Times New Roman" w:hAnsi="Gill Sans MT" w:cs="Arial"/>
      <w:noProof/>
    </w:rPr>
  </w:style>
  <w:style w:type="paragraph" w:customStyle="1" w:styleId="TableNumbers">
    <w:name w:val="Table Numbers"/>
    <w:basedOn w:val="TableBody"/>
    <w:rsid w:val="000901A4"/>
    <w:pPr>
      <w:ind w:right="144"/>
      <w:jc w:val="right"/>
    </w:pPr>
    <w:rPr>
      <w:rFonts w:cs="Times New Roman"/>
      <w:color w:val="333333"/>
    </w:rPr>
  </w:style>
  <w:style w:type="character" w:customStyle="1" w:styleId="1-DocTextChar">
    <w:name w:val="1-DocText Char"/>
    <w:link w:val="1-DocText"/>
    <w:rsid w:val="005B5D5A"/>
    <w:rPr>
      <w:rFonts w:ascii="Gill Sans MT" w:eastAsia="Times New Roman" w:hAnsi="Gill Sans MT"/>
      <w:sz w:val="22"/>
    </w:rPr>
  </w:style>
  <w:style w:type="character" w:customStyle="1" w:styleId="Heading4Char">
    <w:name w:val="Heading 4 Char"/>
    <w:link w:val="Heading4"/>
    <w:rsid w:val="00E7515D"/>
    <w:rPr>
      <w:rFonts w:ascii="Gill Sans MT" w:hAnsi="Gill Sans MT"/>
      <w:b/>
      <w:i/>
      <w:noProof/>
      <w:sz w:val="24"/>
      <w:szCs w:val="22"/>
    </w:rPr>
  </w:style>
  <w:style w:type="paragraph" w:styleId="NormalWeb">
    <w:name w:val="Normal (Web)"/>
    <w:basedOn w:val="Normal"/>
    <w:uiPriority w:val="99"/>
    <w:unhideWhenUsed/>
    <w:rsid w:val="00CF45DE"/>
    <w:pPr>
      <w:spacing w:before="0" w:after="0"/>
    </w:pPr>
    <w:rPr>
      <w:lang w:val="en"/>
    </w:rPr>
  </w:style>
  <w:style w:type="paragraph" w:styleId="FootnoteText">
    <w:name w:val="footnote text"/>
    <w:basedOn w:val="Normal"/>
    <w:link w:val="FootnoteTextChar"/>
    <w:uiPriority w:val="99"/>
    <w:rsid w:val="000901A4"/>
    <w:pPr>
      <w:keepLines/>
      <w:spacing w:before="0" w:after="0" w:line="200" w:lineRule="atLeast"/>
      <w:ind w:left="432"/>
    </w:pPr>
    <w:rPr>
      <w:rFonts w:eastAsia="Times New Roman"/>
      <w:sz w:val="18"/>
      <w:szCs w:val="20"/>
      <w:lang w:val="en-GB"/>
    </w:rPr>
  </w:style>
  <w:style w:type="character" w:customStyle="1" w:styleId="FootnoteTextChar">
    <w:name w:val="Footnote Text Char"/>
    <w:link w:val="FootnoteText"/>
    <w:uiPriority w:val="99"/>
    <w:rsid w:val="009D5FC6"/>
    <w:rPr>
      <w:rFonts w:ascii="Gill Sans MT" w:eastAsia="Times New Roman" w:hAnsi="Gill Sans MT"/>
      <w:sz w:val="18"/>
      <w:lang w:val="en-GB"/>
    </w:rPr>
  </w:style>
  <w:style w:type="character" w:styleId="FootnoteReference">
    <w:name w:val="footnote reference"/>
    <w:uiPriority w:val="99"/>
    <w:rsid w:val="000901A4"/>
    <w:rPr>
      <w:rFonts w:ascii="Gill Sans MT" w:hAnsi="Gill Sans MT"/>
      <w:sz w:val="18"/>
      <w:szCs w:val="18"/>
      <w:vertAlign w:val="superscript"/>
    </w:rPr>
  </w:style>
  <w:style w:type="character" w:styleId="Hyperlink">
    <w:name w:val="Hyperlink"/>
    <w:uiPriority w:val="99"/>
    <w:unhideWhenUsed/>
    <w:rsid w:val="008858C4"/>
    <w:rPr>
      <w:color w:val="0000FF"/>
      <w:u w:val="single"/>
    </w:rPr>
  </w:style>
  <w:style w:type="paragraph" w:customStyle="1" w:styleId="Default">
    <w:name w:val="Default"/>
    <w:rsid w:val="004E0AAC"/>
    <w:pPr>
      <w:autoSpaceDE w:val="0"/>
      <w:autoSpaceDN w:val="0"/>
      <w:adjustRightInd w:val="0"/>
    </w:pPr>
    <w:rPr>
      <w:rFonts w:ascii="Arial" w:eastAsia="Times New Roman" w:hAnsi="Arial" w:cs="Arial"/>
      <w:color w:val="000000"/>
      <w:sz w:val="24"/>
      <w:szCs w:val="24"/>
    </w:rPr>
  </w:style>
  <w:style w:type="table" w:styleId="TableGrid">
    <w:name w:val="Table Grid"/>
    <w:basedOn w:val="TableNormal"/>
    <w:uiPriority w:val="39"/>
    <w:rsid w:val="00E7515D"/>
    <w:rPr>
      <w:rFonts w:ascii="Gill Sans MT" w:eastAsia="Times New Roman" w:hAnsi="Gill Sans MT"/>
    </w:rPr>
    <w:tblPr>
      <w:tblBorders>
        <w:top w:val="single" w:sz="8" w:space="0" w:color="2B3990" w:themeColor="accent1"/>
        <w:bottom w:val="single" w:sz="8" w:space="0" w:color="2B3990" w:themeColor="accent1"/>
        <w:insideH w:val="single" w:sz="8" w:space="0" w:color="2B3990" w:themeColor="accent1"/>
        <w:insideV w:val="single" w:sz="8" w:space="0" w:color="2B3990" w:themeColor="accent1"/>
      </w:tblBorders>
    </w:tblPr>
    <w:tblStylePr w:type="firstRow">
      <w:pPr>
        <w:jc w:val="center"/>
      </w:pPr>
      <w:rPr>
        <w:rFonts w:ascii="Gloucester MT Extra Condensed" w:hAnsi="Gloucester MT Extra Condensed"/>
        <w:b/>
        <w:sz w:val="20"/>
      </w:rPr>
      <w:tblPr/>
      <w:tcPr>
        <w:vAlign w:val="center"/>
      </w:tcPr>
    </w:tblStylePr>
  </w:style>
  <w:style w:type="paragraph" w:styleId="TOCHeading">
    <w:name w:val="TOC Heading"/>
    <w:basedOn w:val="Heading1"/>
    <w:next w:val="Normal"/>
    <w:uiPriority w:val="99"/>
    <w:unhideWhenUsed/>
    <w:qFormat/>
    <w:rsid w:val="00D6119A"/>
    <w:pPr>
      <w:spacing w:after="0" w:line="276" w:lineRule="auto"/>
      <w:outlineLvl w:val="9"/>
    </w:pPr>
    <w:rPr>
      <w:rFonts w:ascii="Cambria" w:hAnsi="Cambria"/>
      <w:color w:val="365F91"/>
      <w:lang w:eastAsia="ja-JP"/>
    </w:rPr>
  </w:style>
  <w:style w:type="paragraph" w:styleId="TOC1">
    <w:name w:val="toc 1"/>
    <w:basedOn w:val="Normal"/>
    <w:next w:val="Normal"/>
    <w:autoRedefine/>
    <w:uiPriority w:val="39"/>
    <w:rsid w:val="005755DE"/>
    <w:pPr>
      <w:tabs>
        <w:tab w:val="left" w:pos="0"/>
        <w:tab w:val="left" w:pos="3600"/>
        <w:tab w:val="right" w:leader="dot" w:pos="9350"/>
      </w:tabs>
      <w:spacing w:before="0" w:after="0"/>
      <w:ind w:left="2880"/>
    </w:pPr>
    <w:rPr>
      <w:rFonts w:asciiTheme="minorHAnsi" w:eastAsia="Times New Roman" w:hAnsiTheme="minorHAnsi" w:cstheme="minorHAnsi"/>
      <w:b/>
      <w:bCs/>
      <w:noProof/>
      <w:snapToGrid w:val="0"/>
      <w:sz w:val="18"/>
      <w:szCs w:val="48"/>
    </w:rPr>
  </w:style>
  <w:style w:type="paragraph" w:styleId="TOC2">
    <w:name w:val="toc 2"/>
    <w:basedOn w:val="Normal"/>
    <w:next w:val="Normal"/>
    <w:autoRedefine/>
    <w:uiPriority w:val="99"/>
    <w:rsid w:val="00AC2EC0"/>
    <w:pPr>
      <w:tabs>
        <w:tab w:val="left" w:pos="0"/>
        <w:tab w:val="left" w:pos="432"/>
        <w:tab w:val="left" w:pos="810"/>
        <w:tab w:val="left" w:pos="3931"/>
        <w:tab w:val="right" w:leader="dot" w:pos="9346"/>
      </w:tabs>
      <w:spacing w:before="0" w:after="12"/>
      <w:ind w:left="3600" w:hanging="360"/>
    </w:pPr>
    <w:rPr>
      <w:rFonts w:eastAsia="Times New Roman"/>
      <w:noProof/>
      <w:sz w:val="18"/>
      <w:szCs w:val="28"/>
    </w:rPr>
  </w:style>
  <w:style w:type="paragraph" w:styleId="TOC3">
    <w:name w:val="toc 3"/>
    <w:basedOn w:val="Normal"/>
    <w:next w:val="Normal"/>
    <w:autoRedefine/>
    <w:uiPriority w:val="99"/>
    <w:rsid w:val="000901A4"/>
    <w:pPr>
      <w:tabs>
        <w:tab w:val="left" w:pos="0"/>
        <w:tab w:val="left" w:pos="432"/>
        <w:tab w:val="left" w:pos="864"/>
        <w:tab w:val="left" w:pos="1260"/>
        <w:tab w:val="left" w:pos="1728"/>
        <w:tab w:val="left" w:pos="1904"/>
        <w:tab w:val="left" w:pos="2160"/>
        <w:tab w:val="right" w:leader="dot" w:pos="9346"/>
      </w:tabs>
      <w:spacing w:before="0" w:after="60"/>
      <w:ind w:left="3931" w:hanging="331"/>
    </w:pPr>
    <w:rPr>
      <w:rFonts w:eastAsia="Times New Roman"/>
      <w:noProof/>
      <w:sz w:val="18"/>
      <w:szCs w:val="18"/>
    </w:rPr>
  </w:style>
  <w:style w:type="character" w:styleId="CommentReference">
    <w:name w:val="annotation reference"/>
    <w:uiPriority w:val="99"/>
    <w:semiHidden/>
    <w:unhideWhenUsed/>
    <w:rsid w:val="00114AC0"/>
    <w:rPr>
      <w:sz w:val="16"/>
      <w:szCs w:val="16"/>
    </w:rPr>
  </w:style>
  <w:style w:type="paragraph" w:styleId="CommentText">
    <w:name w:val="annotation text"/>
    <w:basedOn w:val="Normal"/>
    <w:link w:val="CommentTextChar"/>
    <w:uiPriority w:val="99"/>
    <w:unhideWhenUsed/>
    <w:rsid w:val="00114AC0"/>
    <w:rPr>
      <w:szCs w:val="20"/>
    </w:rPr>
  </w:style>
  <w:style w:type="character" w:customStyle="1" w:styleId="CommentTextChar">
    <w:name w:val="Comment Text Char"/>
    <w:link w:val="CommentText"/>
    <w:uiPriority w:val="99"/>
    <w:rsid w:val="00114AC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14AC0"/>
    <w:rPr>
      <w:b/>
      <w:bCs/>
    </w:rPr>
  </w:style>
  <w:style w:type="character" w:customStyle="1" w:styleId="CommentSubjectChar">
    <w:name w:val="Comment Subject Char"/>
    <w:link w:val="CommentSubject"/>
    <w:uiPriority w:val="99"/>
    <w:semiHidden/>
    <w:rsid w:val="00114AC0"/>
    <w:rPr>
      <w:rFonts w:ascii="Arial" w:hAnsi="Arial"/>
      <w:b/>
      <w:bCs/>
      <w:sz w:val="20"/>
      <w:szCs w:val="20"/>
    </w:rPr>
  </w:style>
  <w:style w:type="character" w:customStyle="1" w:styleId="Heading6Char">
    <w:name w:val="Heading 6 Char"/>
    <w:link w:val="Heading6"/>
    <w:uiPriority w:val="9"/>
    <w:rsid w:val="002E0823"/>
    <w:rPr>
      <w:rFonts w:ascii="Cambria" w:eastAsia="Times New Roman" w:hAnsi="Cambria" w:cs="Times New Roman"/>
      <w:i/>
      <w:iCs/>
      <w:color w:val="243F60"/>
    </w:rPr>
  </w:style>
  <w:style w:type="paragraph" w:customStyle="1" w:styleId="1-Bullet">
    <w:name w:val="1-Bullet"/>
    <w:rsid w:val="000835A9"/>
    <w:pPr>
      <w:widowControl w:val="0"/>
      <w:numPr>
        <w:numId w:val="1"/>
      </w:num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pPr>
    <w:rPr>
      <w:rFonts w:ascii="Gill Sans MT" w:eastAsia="Times New Roman" w:hAnsi="Gill Sans MT"/>
      <w:snapToGrid w:val="0"/>
      <w:sz w:val="22"/>
    </w:rPr>
  </w:style>
  <w:style w:type="paragraph" w:customStyle="1" w:styleId="1-BulletItal">
    <w:name w:val="1-Bullet Ital"/>
    <w:basedOn w:val="Normal"/>
    <w:rsid w:val="000835A9"/>
    <w:pPr>
      <w:widowControl w:val="0"/>
      <w:numPr>
        <w:numId w:val="2"/>
      </w:num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pPr>
    <w:rPr>
      <w:rFonts w:eastAsia="Times New Roman"/>
      <w:i/>
      <w:snapToGrid w:val="0"/>
      <w:sz w:val="22"/>
      <w:szCs w:val="20"/>
    </w:rPr>
  </w:style>
  <w:style w:type="paragraph" w:customStyle="1" w:styleId="1-BulletNumbered">
    <w:name w:val="1-Bullet Numbered"/>
    <w:link w:val="1-BulletNumberedChar"/>
    <w:qFormat/>
    <w:rsid w:val="000901A4"/>
    <w:pPr>
      <w:numPr>
        <w:numId w:val="3"/>
      </w:numPr>
      <w:spacing w:before="120" w:after="120"/>
    </w:pPr>
    <w:rPr>
      <w:rFonts w:ascii="Gill Sans MT" w:eastAsia="Times New Roman" w:hAnsi="Gill Sans MT"/>
      <w:snapToGrid w:val="0"/>
      <w:sz w:val="22"/>
    </w:rPr>
  </w:style>
  <w:style w:type="character" w:customStyle="1" w:styleId="1-BulletNumberedChar">
    <w:name w:val="1-Bullet Numbered Char"/>
    <w:link w:val="1-BulletNumbered"/>
    <w:rsid w:val="000901A4"/>
    <w:rPr>
      <w:rFonts w:ascii="Gill Sans MT" w:eastAsia="Times New Roman" w:hAnsi="Gill Sans MT"/>
      <w:snapToGrid w:val="0"/>
      <w:sz w:val="22"/>
    </w:rPr>
  </w:style>
  <w:style w:type="paragraph" w:customStyle="1" w:styleId="1-Bullet2">
    <w:name w:val="1-Bullet2"/>
    <w:rsid w:val="00F75153"/>
    <w:pPr>
      <w:numPr>
        <w:numId w:val="4"/>
      </w:numPr>
      <w:tabs>
        <w:tab w:val="left" w:pos="720"/>
      </w:tabs>
      <w:spacing w:before="120" w:after="120"/>
    </w:pPr>
    <w:rPr>
      <w:rFonts w:ascii="Gill Sans MT" w:eastAsia="Times New Roman" w:hAnsi="Gill Sans MT"/>
      <w:noProof/>
      <w:sz w:val="22"/>
    </w:rPr>
  </w:style>
  <w:style w:type="paragraph" w:customStyle="1" w:styleId="1-DocTextBold">
    <w:name w:val="1-DocText Bold"/>
    <w:basedOn w:val="1-DocText"/>
    <w:rsid w:val="000901A4"/>
    <w:rPr>
      <w:b/>
      <w:lang w:val="en-GB"/>
    </w:rPr>
  </w:style>
  <w:style w:type="paragraph" w:customStyle="1" w:styleId="1-DocTextBoldItalic">
    <w:name w:val="1-DocText BoldItalic"/>
    <w:basedOn w:val="1-DocText"/>
    <w:rsid w:val="000901A4"/>
    <w:rPr>
      <w:b/>
      <w:i/>
      <w:lang w:val="en-GB"/>
    </w:rPr>
  </w:style>
  <w:style w:type="paragraph" w:customStyle="1" w:styleId="1-DocTextItalic">
    <w:name w:val="1-DocText Italic"/>
    <w:basedOn w:val="1-DocText"/>
    <w:rsid w:val="000901A4"/>
    <w:rPr>
      <w:i/>
      <w:lang w:val="en-GB"/>
    </w:rPr>
  </w:style>
  <w:style w:type="paragraph" w:customStyle="1" w:styleId="Acronyms">
    <w:name w:val="Acronyms"/>
    <w:rsid w:val="000901A4"/>
    <w:pPr>
      <w:keepNext/>
      <w:tabs>
        <w:tab w:val="left" w:pos="2160"/>
        <w:tab w:val="left" w:pos="2880"/>
      </w:tabs>
      <w:spacing w:after="120"/>
      <w:ind w:left="360"/>
    </w:pPr>
    <w:rPr>
      <w:rFonts w:ascii="Gill Sans MT" w:eastAsia="Times New Roman" w:hAnsi="Gill Sans MT"/>
      <w:snapToGrid w:val="0"/>
      <w:sz w:val="22"/>
    </w:rPr>
  </w:style>
  <w:style w:type="paragraph" w:customStyle="1" w:styleId="Annex3">
    <w:name w:val="Annex 3"/>
    <w:link w:val="Annex3Char"/>
    <w:qFormat/>
    <w:rsid w:val="009B73F5"/>
    <w:pPr>
      <w:spacing w:before="120" w:after="120"/>
    </w:pPr>
    <w:rPr>
      <w:rFonts w:ascii="Gill Sans MT" w:eastAsia="Times New Roman" w:hAnsi="Gill Sans MT"/>
      <w:color w:val="F78E1E" w:themeColor="accent2"/>
      <w:sz w:val="32"/>
    </w:rPr>
  </w:style>
  <w:style w:type="character" w:customStyle="1" w:styleId="Annex3Char">
    <w:name w:val="Annex 3 Char"/>
    <w:link w:val="Annex3"/>
    <w:rsid w:val="009B73F5"/>
    <w:rPr>
      <w:rFonts w:ascii="Gill Sans MT" w:eastAsia="Times New Roman" w:hAnsi="Gill Sans MT"/>
      <w:color w:val="F78E1E" w:themeColor="accent2"/>
      <w:sz w:val="32"/>
    </w:rPr>
  </w:style>
  <w:style w:type="paragraph" w:customStyle="1" w:styleId="Annex2">
    <w:name w:val="Annex2"/>
    <w:next w:val="1-DocText"/>
    <w:rsid w:val="009B73F5"/>
    <w:pPr>
      <w:keepNext/>
      <w:spacing w:before="240" w:after="120"/>
    </w:pPr>
    <w:rPr>
      <w:rFonts w:ascii="Gill Sans MT" w:eastAsia="Times New Roman" w:hAnsi="Gill Sans MT"/>
      <w:color w:val="F78E1E" w:themeColor="accent2"/>
      <w:sz w:val="36"/>
    </w:rPr>
  </w:style>
  <w:style w:type="paragraph" w:styleId="Bibliography">
    <w:name w:val="Bibliography"/>
    <w:basedOn w:val="1-DocText"/>
    <w:rsid w:val="000901A4"/>
    <w:pPr>
      <w:ind w:left="432" w:hanging="432"/>
    </w:pPr>
  </w:style>
  <w:style w:type="paragraph" w:customStyle="1" w:styleId="BoxText">
    <w:name w:val="Box Text"/>
    <w:basedOn w:val="1-DocText"/>
    <w:rsid w:val="000901A4"/>
    <w:pPr>
      <w:tabs>
        <w:tab w:val="left" w:pos="12060"/>
      </w:tabs>
      <w:spacing w:after="60"/>
    </w:pPr>
    <w:rPr>
      <w:sz w:val="20"/>
    </w:rPr>
  </w:style>
  <w:style w:type="paragraph" w:customStyle="1" w:styleId="BoxTitle">
    <w:name w:val="Box Title"/>
    <w:basedOn w:val="Normal"/>
    <w:rsid w:val="007B41C4"/>
    <w:pPr>
      <w:keepNext/>
      <w:keepLines/>
      <w:spacing w:before="80" w:after="360"/>
      <w:jc w:val="center"/>
    </w:pPr>
    <w:rPr>
      <w:rFonts w:eastAsia="Times New Roman"/>
      <w:b/>
      <w:noProof/>
      <w:szCs w:val="20"/>
    </w:rPr>
  </w:style>
  <w:style w:type="paragraph" w:styleId="Caption">
    <w:name w:val="caption"/>
    <w:basedOn w:val="Normal"/>
    <w:next w:val="Normal"/>
    <w:autoRedefine/>
    <w:uiPriority w:val="99"/>
    <w:qFormat/>
    <w:rsid w:val="000901A4"/>
    <w:pPr>
      <w:keepNext/>
      <w:keepLines/>
      <w:framePr w:w="9634" w:wrap="notBeside" w:vAnchor="page" w:hAnchor="page" w:x="1585" w:y="11089"/>
      <w:spacing w:before="0" w:after="0"/>
      <w:ind w:left="720"/>
    </w:pPr>
    <w:rPr>
      <w:rFonts w:ascii="Gill Sans MT Condensed" w:eastAsia="Times New Roman" w:hAnsi="Gill Sans MT Condensed"/>
      <w:sz w:val="24"/>
      <w:szCs w:val="20"/>
    </w:rPr>
  </w:style>
  <w:style w:type="paragraph" w:customStyle="1" w:styleId="FigureBody">
    <w:name w:val="Figure Body"/>
    <w:basedOn w:val="TableBody"/>
    <w:rsid w:val="000901A4"/>
    <w:pPr>
      <w:jc w:val="center"/>
    </w:pPr>
    <w:rPr>
      <w:rFonts w:cs="Times New Roman"/>
      <w:bCs/>
      <w:sz w:val="22"/>
    </w:rPr>
  </w:style>
  <w:style w:type="paragraph" w:customStyle="1" w:styleId="FigureHead">
    <w:name w:val="Figure Head"/>
    <w:basedOn w:val="TableSubtitles"/>
    <w:rsid w:val="000901A4"/>
  </w:style>
  <w:style w:type="paragraph" w:customStyle="1" w:styleId="FigureTitle">
    <w:name w:val="Figure Title"/>
    <w:basedOn w:val="Normal"/>
    <w:rsid w:val="00D26077"/>
    <w:pPr>
      <w:jc w:val="center"/>
    </w:pPr>
    <w:rPr>
      <w:rFonts w:eastAsia="Times New Roman"/>
      <w:b/>
      <w:bCs/>
      <w:noProof/>
      <w:color w:val="2B3990"/>
      <w:szCs w:val="20"/>
    </w:rPr>
  </w:style>
  <w:style w:type="paragraph" w:customStyle="1" w:styleId="Figurebullet">
    <w:name w:val="Figurebullet"/>
    <w:basedOn w:val="Normal"/>
    <w:rsid w:val="000901A4"/>
    <w:pPr>
      <w:numPr>
        <w:numId w:val="5"/>
      </w:numPr>
      <w:tabs>
        <w:tab w:val="left" w:pos="-720"/>
      </w:tabs>
      <w:spacing w:before="60" w:after="60"/>
    </w:pPr>
    <w:rPr>
      <w:rFonts w:eastAsia="Times New Roman"/>
      <w:spacing w:val="-2"/>
      <w:kern w:val="24"/>
      <w:sz w:val="18"/>
      <w:szCs w:val="20"/>
    </w:rPr>
  </w:style>
  <w:style w:type="paragraph" w:customStyle="1" w:styleId="figurebull2">
    <w:name w:val="figurebull2"/>
    <w:basedOn w:val="Figurebullet"/>
    <w:rsid w:val="000901A4"/>
    <w:pPr>
      <w:numPr>
        <w:numId w:val="0"/>
      </w:numPr>
    </w:pPr>
  </w:style>
  <w:style w:type="paragraph" w:customStyle="1" w:styleId="FootnoteBase">
    <w:name w:val="Footnote Base"/>
    <w:basedOn w:val="Normal"/>
    <w:rsid w:val="000901A4"/>
    <w:pPr>
      <w:keepLines/>
      <w:spacing w:before="0" w:after="0" w:line="200" w:lineRule="atLeast"/>
      <w:ind w:left="720"/>
    </w:pPr>
    <w:rPr>
      <w:rFonts w:eastAsia="Times New Roman"/>
      <w:spacing w:val="-5"/>
      <w:sz w:val="14"/>
      <w:szCs w:val="20"/>
    </w:rPr>
  </w:style>
  <w:style w:type="paragraph" w:customStyle="1" w:styleId="TechTitleTitlePage">
    <w:name w:val="Tech Title Title Page"/>
    <w:rsid w:val="00454D18"/>
    <w:pPr>
      <w:ind w:left="1440"/>
    </w:pPr>
    <w:rPr>
      <w:rFonts w:ascii="Gill Sans MT Condensed" w:eastAsia="Times New Roman" w:hAnsi="Gill Sans MT Condensed"/>
      <w:caps/>
      <w:noProof/>
      <w:color w:val="F78E1E" w:themeColor="accent2"/>
      <w:sz w:val="72"/>
    </w:rPr>
  </w:style>
  <w:style w:type="paragraph" w:customStyle="1" w:styleId="TechTitleFrontCover">
    <w:name w:val="Tech Title Front Cover"/>
    <w:basedOn w:val="TechTitleTitlePage"/>
    <w:rsid w:val="009D7952"/>
    <w:pPr>
      <w:ind w:left="0"/>
      <w:jc w:val="center"/>
    </w:pPr>
    <w:rPr>
      <w:color w:val="FFFFFF" w:themeColor="background1"/>
    </w:rPr>
  </w:style>
  <w:style w:type="paragraph" w:customStyle="1" w:styleId="TextBox">
    <w:name w:val="Text Box"/>
    <w:basedOn w:val="1-DocText"/>
    <w:rsid w:val="000901A4"/>
    <w:pPr>
      <w:tabs>
        <w:tab w:val="left" w:pos="12060"/>
      </w:tabs>
      <w:spacing w:after="60"/>
    </w:pPr>
  </w:style>
  <w:style w:type="paragraph" w:customStyle="1" w:styleId="TitleCover">
    <w:name w:val="Title Cover"/>
    <w:basedOn w:val="Normal"/>
    <w:next w:val="Normal"/>
    <w:rsid w:val="000901A4"/>
    <w:pPr>
      <w:keepNext/>
      <w:keepLines/>
      <w:tabs>
        <w:tab w:val="left" w:pos="0"/>
      </w:tabs>
      <w:spacing w:before="240" w:after="500" w:line="640" w:lineRule="exact"/>
      <w:ind w:left="-840" w:right="-840"/>
    </w:pPr>
    <w:rPr>
      <w:rFonts w:eastAsia="Times New Roman"/>
      <w:b/>
      <w:caps/>
      <w:spacing w:val="-48"/>
      <w:kern w:val="28"/>
      <w:sz w:val="48"/>
      <w:szCs w:val="20"/>
    </w:rPr>
  </w:style>
  <w:style w:type="paragraph" w:customStyle="1" w:styleId="TableTitle">
    <w:name w:val="Table Title"/>
    <w:rsid w:val="00D26077"/>
    <w:pPr>
      <w:spacing w:before="120" w:after="120"/>
      <w:jc w:val="center"/>
    </w:pPr>
    <w:rPr>
      <w:rFonts w:ascii="Gill Sans MT" w:eastAsia="Times New Roman" w:hAnsi="Gill Sans MT"/>
      <w:b/>
      <w:noProof/>
      <w:color w:val="2B3990"/>
    </w:rPr>
  </w:style>
  <w:style w:type="paragraph" w:styleId="TableofFigures">
    <w:name w:val="table of figures"/>
    <w:basedOn w:val="Normal"/>
    <w:next w:val="Normal"/>
    <w:autoRedefine/>
    <w:uiPriority w:val="99"/>
    <w:rsid w:val="000901A4"/>
    <w:pPr>
      <w:spacing w:before="0" w:after="0"/>
      <w:ind w:left="3283" w:hanging="403"/>
    </w:pPr>
    <w:rPr>
      <w:rFonts w:eastAsia="Times New Roman"/>
      <w:sz w:val="18"/>
      <w:szCs w:val="20"/>
    </w:rPr>
  </w:style>
  <w:style w:type="table" w:styleId="TableList3">
    <w:name w:val="Table List 3"/>
    <w:basedOn w:val="TableNormal"/>
    <w:rsid w:val="00D26077"/>
    <w:rPr>
      <w:rFonts w:ascii="Gill Sans MT" w:eastAsia="Times New Roman" w:hAnsi="Gill Sans MT"/>
    </w:rPr>
    <w:tblPr>
      <w:tblBorders>
        <w:top w:val="single" w:sz="8" w:space="0" w:color="F78E1E" w:themeColor="accent2"/>
        <w:bottom w:val="single" w:sz="8" w:space="0" w:color="F78E1E" w:themeColor="accent2"/>
        <w:insideH w:val="single" w:sz="8" w:space="0" w:color="F78E1E" w:themeColor="accent2"/>
        <w:insideV w:val="single" w:sz="8" w:space="0" w:color="F78E1E" w:themeColor="accent2"/>
      </w:tblBorders>
    </w:tblPr>
    <w:tcPr>
      <w:shd w:val="clear" w:color="auto" w:fill="auto"/>
    </w:tcPr>
    <w:tblStylePr w:type="firstRow">
      <w:pPr>
        <w:jc w:val="center"/>
      </w:pPr>
      <w:rPr>
        <w:rFonts w:ascii="Calibri" w:hAnsi="Calibri"/>
        <w:b/>
        <w:bCs/>
        <w:color w:val="auto"/>
        <w:sz w:val="20"/>
      </w:rPr>
      <w:tblPr/>
      <w:tcPr>
        <w:tcBorders>
          <w:top w:val="single" w:sz="8" w:space="0" w:color="7AC142"/>
          <w:bottom w:val="nil"/>
        </w:tcBorders>
        <w:shd w:val="clear" w:color="auto" w:fill="auto"/>
      </w:tcPr>
    </w:tblStylePr>
    <w:tblStylePr w:type="lastRow">
      <w:tblPr/>
      <w:tcPr>
        <w:tcBorders>
          <w:top w:val="nil"/>
          <w:bottom w:val="single" w:sz="8" w:space="0" w:color="7AC142"/>
        </w:tcBorders>
        <w:shd w:val="clear" w:color="auto" w:fill="auto"/>
      </w:tcPr>
    </w:tblStylePr>
    <w:tblStylePr w:type="swCell">
      <w:rPr>
        <w:i/>
        <w:iCs/>
        <w:color w:val="000080"/>
      </w:rPr>
      <w:tblPr/>
      <w:tcPr>
        <w:tcBorders>
          <w:tl2br w:val="none" w:sz="0" w:space="0" w:color="auto"/>
          <w:tr2bl w:val="none" w:sz="0" w:space="0" w:color="auto"/>
        </w:tcBorders>
      </w:tcPr>
    </w:tblStylePr>
  </w:style>
  <w:style w:type="paragraph" w:customStyle="1" w:styleId="MissionPagetext">
    <w:name w:val="Mission Page text"/>
    <w:basedOn w:val="1-DocText"/>
    <w:link w:val="MissionPagetextChar"/>
    <w:rsid w:val="000901A4"/>
    <w:pPr>
      <w:spacing w:before="0" w:after="0"/>
    </w:pPr>
    <w:rPr>
      <w:sz w:val="20"/>
    </w:rPr>
  </w:style>
  <w:style w:type="paragraph" w:customStyle="1" w:styleId="MissionPageTextBold">
    <w:name w:val="Mission Page Text Bold"/>
    <w:basedOn w:val="MissionPagetext"/>
    <w:link w:val="MissionPageTextBoldChar"/>
    <w:qFormat/>
    <w:rsid w:val="000901A4"/>
    <w:rPr>
      <w:b/>
    </w:rPr>
  </w:style>
  <w:style w:type="paragraph" w:customStyle="1" w:styleId="Address">
    <w:name w:val="Address"/>
    <w:basedOn w:val="MissionPagetext"/>
    <w:link w:val="AddressChar"/>
    <w:qFormat/>
    <w:rsid w:val="000901A4"/>
    <w:rPr>
      <w:sz w:val="18"/>
    </w:rPr>
  </w:style>
  <w:style w:type="character" w:customStyle="1" w:styleId="MissionPagetextChar">
    <w:name w:val="Mission Page text Char"/>
    <w:basedOn w:val="1-DocTextChar"/>
    <w:link w:val="MissionPagetext"/>
    <w:rsid w:val="000901A4"/>
    <w:rPr>
      <w:rFonts w:ascii="Gill Sans MT" w:eastAsia="Times New Roman" w:hAnsi="Gill Sans MT"/>
      <w:sz w:val="22"/>
    </w:rPr>
  </w:style>
  <w:style w:type="character" w:customStyle="1" w:styleId="MissionPageTextBoldChar">
    <w:name w:val="Mission Page Text Bold Char"/>
    <w:basedOn w:val="MissionPagetextChar"/>
    <w:link w:val="MissionPageTextBold"/>
    <w:rsid w:val="000901A4"/>
    <w:rPr>
      <w:rFonts w:ascii="Gill Sans MT" w:eastAsia="Times New Roman" w:hAnsi="Gill Sans MT"/>
      <w:b/>
      <w:sz w:val="22"/>
    </w:rPr>
  </w:style>
  <w:style w:type="paragraph" w:customStyle="1" w:styleId="Heading0">
    <w:name w:val="Heading 0"/>
    <w:basedOn w:val="Normal"/>
    <w:rsid w:val="00D207ED"/>
    <w:pPr>
      <w:keepNext/>
      <w:shd w:val="clear" w:color="000000" w:fill="auto"/>
      <w:spacing w:before="0" w:after="840"/>
      <w:jc w:val="right"/>
      <w:outlineLvl w:val="0"/>
    </w:pPr>
    <w:rPr>
      <w:rFonts w:ascii="Gill Sans MT Condensed" w:eastAsia="Times New Roman" w:hAnsi="Gill Sans MT Condensed"/>
      <w:caps/>
      <w:snapToGrid w:val="0"/>
      <w:color w:val="2B3990"/>
      <w:sz w:val="56"/>
      <w:szCs w:val="20"/>
    </w:rPr>
  </w:style>
  <w:style w:type="character" w:customStyle="1" w:styleId="AddressChar">
    <w:name w:val="Address Char"/>
    <w:basedOn w:val="MissionPagetextChar"/>
    <w:link w:val="Address"/>
    <w:rsid w:val="000901A4"/>
    <w:rPr>
      <w:rFonts w:ascii="Gill Sans MT" w:eastAsia="Times New Roman" w:hAnsi="Gill Sans MT"/>
      <w:sz w:val="18"/>
    </w:rPr>
  </w:style>
  <w:style w:type="table" w:customStyle="1" w:styleId="TableGrid1">
    <w:name w:val="Table Grid1"/>
    <w:basedOn w:val="TableNormal"/>
    <w:next w:val="TableGrid"/>
    <w:uiPriority w:val="99"/>
    <w:rsid w:val="00A5707F"/>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FGTable">
    <w:name w:val="HFG Table"/>
    <w:basedOn w:val="TableNormal"/>
    <w:uiPriority w:val="99"/>
    <w:rsid w:val="0030206D"/>
    <w:rPr>
      <w:rFonts w:ascii="Gill Sans MT" w:hAnsi="Gill Sans MT"/>
    </w:rPr>
    <w:tblPr>
      <w:tblBorders>
        <w:top w:val="single" w:sz="4" w:space="0" w:color="2B3990" w:themeColor="accent1"/>
        <w:bottom w:val="single" w:sz="4" w:space="0" w:color="2B3990" w:themeColor="accent1"/>
        <w:insideH w:val="single" w:sz="4" w:space="0" w:color="2B3990" w:themeColor="accent1"/>
        <w:insideV w:val="single" w:sz="4" w:space="0" w:color="2B3990" w:themeColor="accent1"/>
      </w:tblBorders>
    </w:tblPr>
    <w:tcPr>
      <w:shd w:val="clear" w:color="auto" w:fill="auto"/>
      <w:vAlign w:val="center"/>
    </w:tcPr>
    <w:tblStylePr w:type="firstRow">
      <w:pPr>
        <w:jc w:val="center"/>
      </w:pPr>
      <w:rPr>
        <w:rFonts w:ascii="Gloucester MT Extra Condensed" w:hAnsi="Gloucester MT Extra Condensed"/>
        <w:b/>
        <w:color w:val="FFFFFF" w:themeColor="background1"/>
        <w:sz w:val="20"/>
      </w:rPr>
      <w:tblPr/>
      <w:tcPr>
        <w:tcBorders>
          <w:insideH w:val="single" w:sz="4" w:space="0" w:color="FFFFFF" w:themeColor="background1"/>
          <w:insideV w:val="single" w:sz="4" w:space="0" w:color="FFFFFF" w:themeColor="background1"/>
        </w:tcBorders>
        <w:shd w:val="clear" w:color="auto" w:fill="2B3990" w:themeFill="accent1"/>
      </w:tcPr>
    </w:tblStylePr>
  </w:style>
  <w:style w:type="character" w:styleId="PageNumber">
    <w:name w:val="page number"/>
    <w:uiPriority w:val="99"/>
    <w:rsid w:val="00130AA3"/>
    <w:rPr>
      <w:rFonts w:ascii="Gill Sans" w:hAnsi="Gill Sans"/>
      <w:b/>
      <w:dstrike w:val="0"/>
      <w:sz w:val="20"/>
      <w:vertAlign w:val="baseline"/>
    </w:rPr>
  </w:style>
  <w:style w:type="character" w:customStyle="1" w:styleId="Heading8Char">
    <w:name w:val="Heading 8 Char"/>
    <w:basedOn w:val="DefaultParagraphFont"/>
    <w:link w:val="Heading8"/>
    <w:rsid w:val="007051B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7051BF"/>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99"/>
    <w:unhideWhenUsed/>
    <w:rsid w:val="007051BF"/>
    <w:pPr>
      <w:spacing w:after="100"/>
      <w:ind w:left="600"/>
    </w:pPr>
  </w:style>
  <w:style w:type="paragraph" w:customStyle="1" w:styleId="1-BulletLettersABC0">
    <w:name w:val="1-Bullet Letters A B C"/>
    <w:link w:val="1-BulletLettersABCChar"/>
    <w:qFormat/>
    <w:rsid w:val="007F4CE6"/>
    <w:pPr>
      <w:spacing w:before="120" w:after="120"/>
    </w:pPr>
    <w:rPr>
      <w:rFonts w:ascii="Gill Sans MT" w:eastAsia="Times New Roman" w:hAnsi="Gill Sans MT"/>
      <w:snapToGrid w:val="0"/>
      <w:sz w:val="22"/>
    </w:rPr>
  </w:style>
  <w:style w:type="character" w:customStyle="1" w:styleId="1-BulletLettersABCChar">
    <w:name w:val="1-Bullet Letters A B C Char"/>
    <w:basedOn w:val="DefaultParagraphFont"/>
    <w:link w:val="1-BulletLettersABC0"/>
    <w:rsid w:val="007F4CE6"/>
    <w:rPr>
      <w:rFonts w:ascii="Gill Sans MT" w:eastAsia="Times New Roman" w:hAnsi="Gill Sans MT"/>
      <w:snapToGrid w:val="0"/>
      <w:sz w:val="22"/>
    </w:rPr>
  </w:style>
  <w:style w:type="paragraph" w:customStyle="1" w:styleId="1-BulletLettersabc">
    <w:name w:val="1-Bullet Letters a b c"/>
    <w:link w:val="1-BulletLettersabcChar0"/>
    <w:qFormat/>
    <w:rsid w:val="007F4CE6"/>
    <w:pPr>
      <w:numPr>
        <w:numId w:val="6"/>
      </w:numPr>
      <w:spacing w:before="120" w:after="120"/>
    </w:pPr>
    <w:rPr>
      <w:rFonts w:ascii="Gill Sans MT" w:eastAsia="Times New Roman" w:hAnsi="Gill Sans MT"/>
      <w:snapToGrid w:val="0"/>
      <w:sz w:val="22"/>
    </w:rPr>
  </w:style>
  <w:style w:type="character" w:customStyle="1" w:styleId="1-BulletLettersabcChar0">
    <w:name w:val="1-Bullet Letters a b c Char"/>
    <w:basedOn w:val="DefaultParagraphFont"/>
    <w:link w:val="1-BulletLettersabc"/>
    <w:rsid w:val="007F4CE6"/>
    <w:rPr>
      <w:rFonts w:ascii="Gill Sans MT" w:eastAsia="Times New Roman" w:hAnsi="Gill Sans MT"/>
      <w:snapToGrid w:val="0"/>
      <w:sz w:val="22"/>
    </w:rPr>
  </w:style>
  <w:style w:type="paragraph" w:customStyle="1" w:styleId="1-BulletNumber123">
    <w:name w:val="1-Bullet Number 123"/>
    <w:link w:val="1-BulletNumber123Char"/>
    <w:qFormat/>
    <w:rsid w:val="007B41C4"/>
    <w:pPr>
      <w:numPr>
        <w:numId w:val="7"/>
      </w:numPr>
      <w:spacing w:before="120" w:after="120"/>
    </w:pPr>
    <w:rPr>
      <w:rFonts w:ascii="Gill Sans MT" w:eastAsia="Times New Roman" w:hAnsi="Gill Sans MT"/>
      <w:snapToGrid w:val="0"/>
      <w:sz w:val="22"/>
    </w:rPr>
  </w:style>
  <w:style w:type="character" w:customStyle="1" w:styleId="1-BulletNumber123Char">
    <w:name w:val="1-Bullet Number 123 Char"/>
    <w:basedOn w:val="DefaultParagraphFont"/>
    <w:link w:val="1-BulletNumber123"/>
    <w:rsid w:val="007B41C4"/>
    <w:rPr>
      <w:rFonts w:ascii="Gill Sans MT" w:eastAsia="Times New Roman" w:hAnsi="Gill Sans MT"/>
      <w:snapToGrid w:val="0"/>
      <w:sz w:val="22"/>
    </w:rPr>
  </w:style>
  <w:style w:type="paragraph" w:customStyle="1" w:styleId="1-BulletNumberiiiiii">
    <w:name w:val="1-Bullet Number i ii iii"/>
    <w:link w:val="1-BulletNumberiiiiiiChar"/>
    <w:qFormat/>
    <w:rsid w:val="007F4CE6"/>
    <w:pPr>
      <w:numPr>
        <w:numId w:val="8"/>
      </w:numPr>
      <w:spacing w:before="120" w:after="120"/>
    </w:pPr>
    <w:rPr>
      <w:rFonts w:ascii="Gill Sans MT" w:eastAsia="Times New Roman" w:hAnsi="Gill Sans MT"/>
      <w:snapToGrid w:val="0"/>
      <w:sz w:val="22"/>
    </w:rPr>
  </w:style>
  <w:style w:type="character" w:customStyle="1" w:styleId="1-BulletNumberiiiiiiChar">
    <w:name w:val="1-Bullet Number i ii iii Char"/>
    <w:basedOn w:val="DefaultParagraphFont"/>
    <w:link w:val="1-BulletNumberiiiiii"/>
    <w:rsid w:val="007F4CE6"/>
    <w:rPr>
      <w:rFonts w:ascii="Gill Sans MT" w:eastAsia="Times New Roman" w:hAnsi="Gill Sans MT"/>
      <w:snapToGrid w:val="0"/>
      <w:sz w:val="22"/>
    </w:rPr>
  </w:style>
  <w:style w:type="paragraph" w:customStyle="1" w:styleId="AcronymsItalic">
    <w:name w:val="Acronyms Italic"/>
    <w:link w:val="AcronymsItalicCharChar"/>
    <w:rsid w:val="00BC2DB3"/>
    <w:pPr>
      <w:spacing w:before="60" w:after="60"/>
    </w:pPr>
    <w:rPr>
      <w:rFonts w:ascii="Arial" w:eastAsia="Times New Roman" w:hAnsi="Arial"/>
      <w:i/>
      <w:iCs/>
      <w:snapToGrid w:val="0"/>
      <w:sz w:val="22"/>
    </w:rPr>
  </w:style>
  <w:style w:type="character" w:customStyle="1" w:styleId="AcronymsItalicCharChar">
    <w:name w:val="Acronyms Italic Char Char"/>
    <w:basedOn w:val="DefaultParagraphFont"/>
    <w:link w:val="AcronymsItalic"/>
    <w:rsid w:val="00BC2DB3"/>
    <w:rPr>
      <w:rFonts w:ascii="Arial" w:eastAsia="Times New Roman" w:hAnsi="Arial"/>
      <w:i/>
      <w:iCs/>
      <w:snapToGrid w:val="0"/>
      <w:sz w:val="22"/>
    </w:rPr>
  </w:style>
  <w:style w:type="paragraph" w:customStyle="1" w:styleId="Heading0TOC">
    <w:name w:val="Heading 0 TOC"/>
    <w:link w:val="Heading0TOCChar"/>
    <w:qFormat/>
    <w:rsid w:val="009325C4"/>
    <w:pPr>
      <w:spacing w:after="840"/>
      <w:jc w:val="right"/>
    </w:pPr>
    <w:rPr>
      <w:rFonts w:ascii="Gill Sans MT Condensed" w:eastAsia="Times New Roman" w:hAnsi="Gill Sans MT Condensed"/>
      <w:caps/>
      <w:snapToGrid w:val="0"/>
      <w:color w:val="2B3990" w:themeColor="accent1"/>
      <w:sz w:val="56"/>
    </w:rPr>
  </w:style>
  <w:style w:type="character" w:customStyle="1" w:styleId="Heading0TOCChar">
    <w:name w:val="Heading 0 TOC Char"/>
    <w:basedOn w:val="DefaultParagraphFont"/>
    <w:link w:val="Heading0TOC"/>
    <w:rsid w:val="009325C4"/>
    <w:rPr>
      <w:rFonts w:ascii="Gill Sans MT Condensed" w:eastAsia="Times New Roman" w:hAnsi="Gill Sans MT Condensed"/>
      <w:caps/>
      <w:snapToGrid w:val="0"/>
      <w:color w:val="2B3990" w:themeColor="accent1"/>
      <w:sz w:val="56"/>
    </w:rPr>
  </w:style>
  <w:style w:type="paragraph" w:customStyle="1" w:styleId="ListofTablesandFigures">
    <w:name w:val="List of Tables and Figures"/>
    <w:qFormat/>
    <w:rsid w:val="00BC2DB3"/>
    <w:pPr>
      <w:spacing w:before="120" w:after="120"/>
    </w:pPr>
    <w:rPr>
      <w:rFonts w:ascii="Arial" w:eastAsia="Times New Roman" w:hAnsi="Arial"/>
      <w:b/>
      <w:color w:val="000000" w:themeColor="text1"/>
      <w:sz w:val="28"/>
    </w:rPr>
  </w:style>
  <w:style w:type="character" w:customStyle="1" w:styleId="ListParagraphChar">
    <w:name w:val="List Paragraph Char"/>
    <w:aliases w:val="Bullets Char,bullets Char,Citation List Char,Resume Title Char,List Paragraph (numbered (a)) Char,References Char,MC Paragraphe Liste Char,Paragraph Char,Paragraphe de liste PBLH Char,Normal bullet 2 Char,Bullet list Char,lp1 Char"/>
    <w:link w:val="ListParagraph"/>
    <w:uiPriority w:val="34"/>
    <w:qFormat/>
    <w:locked/>
    <w:rsid w:val="00E7515D"/>
    <w:rPr>
      <w:rFonts w:ascii="Gill Sans MT" w:hAnsi="Gill Sans MT"/>
      <w:szCs w:val="22"/>
    </w:rPr>
  </w:style>
  <w:style w:type="paragraph" w:customStyle="1" w:styleId="1Bullet3">
    <w:name w:val="1 Bullet 3"/>
    <w:link w:val="1Bullet3Char"/>
    <w:qFormat/>
    <w:rsid w:val="00E7515D"/>
    <w:pPr>
      <w:spacing w:before="120" w:after="120"/>
      <w:ind w:left="1080" w:hanging="360"/>
    </w:pPr>
    <w:rPr>
      <w:rFonts w:ascii="Gill Sans MT" w:eastAsia="Times New Roman" w:hAnsi="Gill Sans MT"/>
      <w:noProof/>
      <w:sz w:val="22"/>
    </w:rPr>
  </w:style>
  <w:style w:type="character" w:customStyle="1" w:styleId="1Bullet3Char">
    <w:name w:val="1 Bullet 3 Char"/>
    <w:basedOn w:val="DefaultParagraphFont"/>
    <w:link w:val="1Bullet3"/>
    <w:rsid w:val="00E7515D"/>
    <w:rPr>
      <w:rFonts w:ascii="Gill Sans MT" w:eastAsia="Times New Roman" w:hAnsi="Gill Sans MT"/>
      <w:noProof/>
      <w:sz w:val="22"/>
    </w:rPr>
  </w:style>
  <w:style w:type="paragraph" w:customStyle="1" w:styleId="1-BulletNOBULLET">
    <w:name w:val="1-Bullet NO BULLET"/>
    <w:link w:val="1-BulletNOBULLETChar"/>
    <w:qFormat/>
    <w:rsid w:val="00E7515D"/>
    <w:pPr>
      <w:spacing w:before="120" w:after="120"/>
      <w:ind w:left="360"/>
    </w:pPr>
    <w:rPr>
      <w:rFonts w:ascii="Gill Sans MT" w:eastAsia="Times New Roman" w:hAnsi="Gill Sans MT"/>
      <w:snapToGrid w:val="0"/>
      <w:sz w:val="22"/>
    </w:rPr>
  </w:style>
  <w:style w:type="character" w:customStyle="1" w:styleId="1-BulletNOBULLETChar">
    <w:name w:val="1-Bullet NO BULLET Char"/>
    <w:basedOn w:val="DefaultParagraphFont"/>
    <w:link w:val="1-BulletNOBULLET"/>
    <w:rsid w:val="00E7515D"/>
    <w:rPr>
      <w:rFonts w:ascii="Gill Sans MT" w:eastAsia="Times New Roman" w:hAnsi="Gill Sans MT"/>
      <w:snapToGrid w:val="0"/>
      <w:sz w:val="22"/>
    </w:rPr>
  </w:style>
  <w:style w:type="paragraph" w:customStyle="1" w:styleId="1-BulletNOBullet0">
    <w:name w:val="1-Bullet NO Bullet"/>
    <w:link w:val="1-BulletNOBulletChar0"/>
    <w:qFormat/>
    <w:rsid w:val="00E7515D"/>
    <w:pPr>
      <w:spacing w:before="120" w:after="120"/>
      <w:ind w:left="360"/>
    </w:pPr>
    <w:rPr>
      <w:rFonts w:ascii="Gill Sans MT" w:eastAsia="Times New Roman" w:hAnsi="Gill Sans MT"/>
      <w:snapToGrid w:val="0"/>
      <w:sz w:val="22"/>
    </w:rPr>
  </w:style>
  <w:style w:type="character" w:customStyle="1" w:styleId="1-BulletNOBulletChar0">
    <w:name w:val="1-Bullet NO Bullet Char"/>
    <w:basedOn w:val="DefaultParagraphFont"/>
    <w:link w:val="1-BulletNOBullet0"/>
    <w:rsid w:val="00E7515D"/>
    <w:rPr>
      <w:rFonts w:ascii="Gill Sans MT" w:eastAsia="Times New Roman" w:hAnsi="Gill Sans MT"/>
      <w:snapToGrid w:val="0"/>
      <w:sz w:val="22"/>
    </w:rPr>
  </w:style>
  <w:style w:type="paragraph" w:customStyle="1" w:styleId="1-DocTextItalicUnderlined">
    <w:name w:val="1-DocText Italic Underlined"/>
    <w:link w:val="1-DocTextItalicUnderlinedChar"/>
    <w:qFormat/>
    <w:rsid w:val="00E7515D"/>
    <w:pPr>
      <w:spacing w:before="120" w:after="120"/>
    </w:pPr>
    <w:rPr>
      <w:rFonts w:ascii="Gill Sans MT" w:eastAsia="Times New Roman" w:hAnsi="Gill Sans MT"/>
      <w:i/>
      <w:sz w:val="22"/>
      <w:u w:val="single"/>
      <w:lang w:val="en-GB"/>
    </w:rPr>
  </w:style>
  <w:style w:type="character" w:customStyle="1" w:styleId="1-DocTextItalicUnderlinedChar">
    <w:name w:val="1-DocText Italic Underlined Char"/>
    <w:basedOn w:val="DefaultParagraphFont"/>
    <w:link w:val="1-DocTextItalicUnderlined"/>
    <w:rsid w:val="00E7515D"/>
    <w:rPr>
      <w:rFonts w:ascii="Gill Sans MT" w:eastAsia="Times New Roman" w:hAnsi="Gill Sans MT"/>
      <w:i/>
      <w:sz w:val="22"/>
      <w:u w:val="single"/>
      <w:lang w:val="en-GB"/>
    </w:rPr>
  </w:style>
  <w:style w:type="paragraph" w:customStyle="1" w:styleId="1-DocTextUnderline">
    <w:name w:val="1-DocText Underline"/>
    <w:link w:val="1-DocTextUnderlineChar"/>
    <w:qFormat/>
    <w:rsid w:val="00E7515D"/>
    <w:rPr>
      <w:rFonts w:ascii="Gill Sans MT" w:eastAsia="Times New Roman" w:hAnsi="Gill Sans MT"/>
      <w:sz w:val="22"/>
      <w:u w:val="single"/>
    </w:rPr>
  </w:style>
  <w:style w:type="character" w:customStyle="1" w:styleId="1-DocTextUnderlineChar">
    <w:name w:val="1-DocText Underline Char"/>
    <w:basedOn w:val="DefaultParagraphFont"/>
    <w:link w:val="1-DocTextUnderline"/>
    <w:rsid w:val="00E7515D"/>
    <w:rPr>
      <w:rFonts w:ascii="Gill Sans MT" w:eastAsia="Times New Roman" w:hAnsi="Gill Sans MT"/>
      <w:sz w:val="22"/>
      <w:u w:val="single"/>
    </w:rPr>
  </w:style>
  <w:style w:type="paragraph" w:customStyle="1" w:styleId="Heading2NoNumber">
    <w:name w:val="Heading 2 No Number"/>
    <w:link w:val="Heading2NoNumberChar"/>
    <w:qFormat/>
    <w:rsid w:val="009325C4"/>
    <w:pPr>
      <w:spacing w:before="240" w:after="120"/>
    </w:pPr>
    <w:rPr>
      <w:rFonts w:ascii="Gill Sans MT" w:eastAsia="Times New Roman" w:hAnsi="Gill Sans MT"/>
      <w:color w:val="F78E1E"/>
      <w:sz w:val="32"/>
    </w:rPr>
  </w:style>
  <w:style w:type="character" w:customStyle="1" w:styleId="Heading2NoNumberChar">
    <w:name w:val="Heading 2 No Number Char"/>
    <w:basedOn w:val="DefaultParagraphFont"/>
    <w:link w:val="Heading2NoNumber"/>
    <w:rsid w:val="009325C4"/>
    <w:rPr>
      <w:rFonts w:ascii="Gill Sans MT" w:eastAsia="Times New Roman" w:hAnsi="Gill Sans MT"/>
      <w:color w:val="F78E1E"/>
      <w:sz w:val="32"/>
    </w:rPr>
  </w:style>
  <w:style w:type="paragraph" w:customStyle="1" w:styleId="Heading3NoNumber">
    <w:name w:val="Heading 3 No Number"/>
    <w:link w:val="Heading3NoNumberChar"/>
    <w:qFormat/>
    <w:rsid w:val="00E7515D"/>
    <w:pPr>
      <w:spacing w:before="240"/>
    </w:pPr>
    <w:rPr>
      <w:rFonts w:ascii="Gill Sans MT" w:eastAsia="Times New Roman" w:hAnsi="Gill Sans MT"/>
      <w:bCs/>
      <w:color w:val="2B3990" w:themeColor="accent1"/>
      <w:sz w:val="28"/>
      <w:szCs w:val="22"/>
    </w:rPr>
  </w:style>
  <w:style w:type="character" w:customStyle="1" w:styleId="Heading3NoNumberChar">
    <w:name w:val="Heading 3 No Number Char"/>
    <w:basedOn w:val="DefaultParagraphFont"/>
    <w:link w:val="Heading3NoNumber"/>
    <w:rsid w:val="00E7515D"/>
    <w:rPr>
      <w:rFonts w:ascii="Gill Sans MT" w:eastAsia="Times New Roman" w:hAnsi="Gill Sans MT"/>
      <w:bCs/>
      <w:color w:val="2B3990" w:themeColor="accent1"/>
      <w:sz w:val="28"/>
      <w:szCs w:val="22"/>
    </w:rPr>
  </w:style>
  <w:style w:type="paragraph" w:customStyle="1" w:styleId="QuoteSignature">
    <w:name w:val="Quote Signature"/>
    <w:basedOn w:val="1-DocText"/>
    <w:link w:val="QuoteSignatureChar"/>
    <w:qFormat/>
    <w:rsid w:val="00E7515D"/>
    <w:pPr>
      <w:jc w:val="right"/>
    </w:pPr>
  </w:style>
  <w:style w:type="character" w:customStyle="1" w:styleId="QuoteSignatureChar">
    <w:name w:val="Quote Signature Char"/>
    <w:basedOn w:val="1-DocTextChar"/>
    <w:link w:val="QuoteSignature"/>
    <w:rsid w:val="00E7515D"/>
    <w:rPr>
      <w:rFonts w:ascii="Gill Sans MT" w:eastAsia="Times New Roman" w:hAnsi="Gill Sans MT"/>
      <w:sz w:val="22"/>
    </w:rPr>
  </w:style>
  <w:style w:type="paragraph" w:customStyle="1" w:styleId="TableBodyBold">
    <w:name w:val="Table Body Bold"/>
    <w:link w:val="TableBodyBoldChar"/>
    <w:qFormat/>
    <w:rsid w:val="00E7515D"/>
    <w:pPr>
      <w:spacing w:before="60" w:after="60"/>
    </w:pPr>
    <w:rPr>
      <w:rFonts w:ascii="Gill Sans MT" w:eastAsia="Times New Roman" w:hAnsi="Gill Sans MT" w:cs="Arial"/>
      <w:b/>
      <w:noProof/>
    </w:rPr>
  </w:style>
  <w:style w:type="character" w:customStyle="1" w:styleId="TableBodyBoldChar">
    <w:name w:val="Table Body Bold Char"/>
    <w:basedOn w:val="DefaultParagraphFont"/>
    <w:link w:val="TableBodyBold"/>
    <w:rsid w:val="00E7515D"/>
    <w:rPr>
      <w:rFonts w:ascii="Gill Sans MT" w:eastAsia="Times New Roman" w:hAnsi="Gill Sans MT" w:cs="Arial"/>
      <w:b/>
      <w:noProof/>
    </w:rPr>
  </w:style>
  <w:style w:type="paragraph" w:customStyle="1" w:styleId="TableBodyUnderlined">
    <w:name w:val="Table Body Underlined"/>
    <w:link w:val="TableBodyUnderlinedChar"/>
    <w:qFormat/>
    <w:rsid w:val="00E7515D"/>
    <w:pPr>
      <w:spacing w:before="20"/>
    </w:pPr>
    <w:rPr>
      <w:rFonts w:ascii="Gill Sans MT" w:eastAsia="Times New Roman" w:hAnsi="Gill Sans MT"/>
      <w:snapToGrid w:val="0"/>
      <w:u w:val="single"/>
    </w:rPr>
  </w:style>
  <w:style w:type="character" w:customStyle="1" w:styleId="TableBodyUnderlinedChar">
    <w:name w:val="Table Body Underlined Char"/>
    <w:basedOn w:val="DefaultParagraphFont"/>
    <w:link w:val="TableBodyUnderlined"/>
    <w:rsid w:val="00E7515D"/>
    <w:rPr>
      <w:rFonts w:ascii="Gill Sans MT" w:eastAsia="Times New Roman" w:hAnsi="Gill Sans MT"/>
      <w:snapToGrid w:val="0"/>
      <w:u w:val="single"/>
    </w:rPr>
  </w:style>
  <w:style w:type="paragraph" w:customStyle="1" w:styleId="TableBullet">
    <w:name w:val="Table Bullet"/>
    <w:link w:val="TableBulletChar"/>
    <w:qFormat/>
    <w:rsid w:val="00E7515D"/>
    <w:pPr>
      <w:numPr>
        <w:numId w:val="9"/>
      </w:numPr>
      <w:spacing w:before="20"/>
    </w:pPr>
    <w:rPr>
      <w:rFonts w:ascii="Gill Sans MT" w:eastAsia="Times New Roman" w:hAnsi="Gill Sans MT" w:cs="Arial"/>
      <w:color w:val="000000"/>
    </w:rPr>
  </w:style>
  <w:style w:type="character" w:customStyle="1" w:styleId="TableBulletChar">
    <w:name w:val="Table Bullet Char"/>
    <w:basedOn w:val="DefaultParagraphFont"/>
    <w:link w:val="TableBullet"/>
    <w:rsid w:val="00E7515D"/>
    <w:rPr>
      <w:rFonts w:ascii="Gill Sans MT" w:eastAsia="Times New Roman" w:hAnsi="Gill Sans MT" w:cs="Arial"/>
      <w:color w:val="000000"/>
    </w:rPr>
  </w:style>
  <w:style w:type="paragraph" w:customStyle="1" w:styleId="Tablebullet2">
    <w:name w:val="Table bullet 2"/>
    <w:link w:val="Tablebullet2Char"/>
    <w:qFormat/>
    <w:rsid w:val="00E7515D"/>
    <w:pPr>
      <w:numPr>
        <w:numId w:val="10"/>
      </w:numPr>
      <w:spacing w:before="40" w:after="40"/>
    </w:pPr>
    <w:rPr>
      <w:rFonts w:ascii="Gill Sans MT" w:eastAsia="Times New Roman" w:hAnsi="Gill Sans MT" w:cs="Arial"/>
    </w:rPr>
  </w:style>
  <w:style w:type="character" w:customStyle="1" w:styleId="Tablebullet2Char">
    <w:name w:val="Table bullet 2 Char"/>
    <w:basedOn w:val="DefaultParagraphFont"/>
    <w:link w:val="Tablebullet2"/>
    <w:rsid w:val="00E7515D"/>
    <w:rPr>
      <w:rFonts w:ascii="Gill Sans MT" w:eastAsia="Times New Roman" w:hAnsi="Gill Sans MT" w:cs="Arial"/>
    </w:rPr>
  </w:style>
  <w:style w:type="paragraph" w:customStyle="1" w:styleId="TableBullet3">
    <w:name w:val="Table Bullet 3"/>
    <w:link w:val="TableBullet3Char"/>
    <w:qFormat/>
    <w:rsid w:val="00E7515D"/>
    <w:pPr>
      <w:numPr>
        <w:numId w:val="11"/>
      </w:numPr>
      <w:spacing w:before="20"/>
    </w:pPr>
    <w:rPr>
      <w:rFonts w:ascii="Gill Sans MT" w:eastAsia="Times New Roman" w:hAnsi="Gill Sans MT" w:cs="Arial"/>
    </w:rPr>
  </w:style>
  <w:style w:type="character" w:customStyle="1" w:styleId="TableBullet3Char">
    <w:name w:val="Table Bullet 3 Char"/>
    <w:basedOn w:val="DefaultParagraphFont"/>
    <w:link w:val="TableBullet3"/>
    <w:rsid w:val="00E7515D"/>
    <w:rPr>
      <w:rFonts w:ascii="Gill Sans MT" w:eastAsia="Times New Roman" w:hAnsi="Gill Sans MT" w:cs="Arial"/>
    </w:rPr>
  </w:style>
  <w:style w:type="paragraph" w:customStyle="1" w:styleId="TableBullet4">
    <w:name w:val="Table Bullet 4"/>
    <w:link w:val="TableBullet4Char"/>
    <w:qFormat/>
    <w:rsid w:val="00E7515D"/>
    <w:pPr>
      <w:numPr>
        <w:numId w:val="12"/>
      </w:numPr>
      <w:spacing w:before="40" w:after="40"/>
    </w:pPr>
    <w:rPr>
      <w:rFonts w:ascii="Gill Sans MT" w:eastAsia="Times New Roman" w:hAnsi="Gill Sans MT" w:cs="Arial"/>
    </w:rPr>
  </w:style>
  <w:style w:type="character" w:customStyle="1" w:styleId="TableBullet4Char">
    <w:name w:val="Table Bullet 4 Char"/>
    <w:basedOn w:val="DefaultParagraphFont"/>
    <w:link w:val="TableBullet4"/>
    <w:rsid w:val="00E7515D"/>
    <w:rPr>
      <w:rFonts w:ascii="Gill Sans MT" w:eastAsia="Times New Roman" w:hAnsi="Gill Sans MT" w:cs="Arial"/>
    </w:rPr>
  </w:style>
  <w:style w:type="paragraph" w:customStyle="1" w:styleId="TableBulletABC">
    <w:name w:val="Table Bullet A B C"/>
    <w:link w:val="TableBulletABCChar"/>
    <w:qFormat/>
    <w:rsid w:val="00E7515D"/>
    <w:pPr>
      <w:numPr>
        <w:numId w:val="13"/>
      </w:numPr>
      <w:spacing w:before="40" w:after="40"/>
    </w:pPr>
    <w:rPr>
      <w:rFonts w:ascii="Gill Sans MT" w:eastAsia="Times New Roman" w:hAnsi="Gill Sans MT" w:cs="Arial"/>
    </w:rPr>
  </w:style>
  <w:style w:type="character" w:customStyle="1" w:styleId="TableBulletABCChar">
    <w:name w:val="Table Bullet A B C Char"/>
    <w:basedOn w:val="DefaultParagraphFont"/>
    <w:link w:val="TableBulletABC"/>
    <w:rsid w:val="00E7515D"/>
    <w:rPr>
      <w:rFonts w:ascii="Gill Sans MT" w:eastAsia="Times New Roman" w:hAnsi="Gill Sans MT" w:cs="Arial"/>
    </w:rPr>
  </w:style>
  <w:style w:type="paragraph" w:customStyle="1" w:styleId="TableBulleta">
    <w:name w:val="Table Bullet a"/>
    <w:aliases w:val="b,c"/>
    <w:link w:val="TableBulletaChar"/>
    <w:qFormat/>
    <w:rsid w:val="00E7515D"/>
    <w:pPr>
      <w:numPr>
        <w:numId w:val="14"/>
      </w:numPr>
      <w:spacing w:before="80" w:after="40"/>
    </w:pPr>
    <w:rPr>
      <w:rFonts w:ascii="Gill Sans MT" w:eastAsia="Times New Roman" w:hAnsi="Gill Sans MT" w:cs="Arial"/>
    </w:rPr>
  </w:style>
  <w:style w:type="character" w:customStyle="1" w:styleId="TableBulletaChar">
    <w:name w:val="Table Bullet a Char"/>
    <w:aliases w:val="b Char,c Char"/>
    <w:basedOn w:val="DefaultParagraphFont"/>
    <w:link w:val="TableBulleta"/>
    <w:rsid w:val="00E7515D"/>
    <w:rPr>
      <w:rFonts w:ascii="Gill Sans MT" w:eastAsia="Times New Roman" w:hAnsi="Gill Sans MT" w:cs="Arial"/>
    </w:rPr>
  </w:style>
  <w:style w:type="paragraph" w:customStyle="1" w:styleId="TableBulletNumber123">
    <w:name w:val="Table Bullet Number 1 2 3"/>
    <w:link w:val="TableBulletNumber123Char"/>
    <w:qFormat/>
    <w:rsid w:val="00E7515D"/>
    <w:pPr>
      <w:numPr>
        <w:numId w:val="15"/>
      </w:numPr>
      <w:spacing w:before="20"/>
    </w:pPr>
    <w:rPr>
      <w:rFonts w:ascii="Gill Sans MT" w:eastAsia="Times New Roman" w:hAnsi="Gill Sans MT" w:cs="Arial"/>
    </w:rPr>
  </w:style>
  <w:style w:type="character" w:customStyle="1" w:styleId="TableBulletNumber123Char">
    <w:name w:val="Table Bullet Number 1 2 3 Char"/>
    <w:basedOn w:val="DefaultParagraphFont"/>
    <w:link w:val="TableBulletNumber123"/>
    <w:rsid w:val="00E7515D"/>
    <w:rPr>
      <w:rFonts w:ascii="Gill Sans MT" w:eastAsia="Times New Roman" w:hAnsi="Gill Sans MT" w:cs="Arial"/>
    </w:rPr>
  </w:style>
  <w:style w:type="paragraph" w:customStyle="1" w:styleId="TAbleBulletNumnber">
    <w:name w:val="TAble Bullet Numnber"/>
    <w:link w:val="TAbleBulletNumnberChar"/>
    <w:qFormat/>
    <w:rsid w:val="00E7515D"/>
    <w:pPr>
      <w:numPr>
        <w:numId w:val="16"/>
      </w:numPr>
      <w:spacing w:before="80" w:after="40"/>
    </w:pPr>
    <w:rPr>
      <w:rFonts w:ascii="Gill Sans MT" w:eastAsia="Times New Roman" w:hAnsi="Gill Sans MT" w:cs="Arial"/>
    </w:rPr>
  </w:style>
  <w:style w:type="character" w:customStyle="1" w:styleId="TAbleBulletNumnberChar">
    <w:name w:val="TAble Bullet Numnber Char"/>
    <w:basedOn w:val="DefaultParagraphFont"/>
    <w:link w:val="TAbleBulletNumnber"/>
    <w:rsid w:val="00E7515D"/>
    <w:rPr>
      <w:rFonts w:ascii="Gill Sans MT" w:eastAsia="Times New Roman" w:hAnsi="Gill Sans MT" w:cs="Arial"/>
    </w:rPr>
  </w:style>
  <w:style w:type="paragraph" w:customStyle="1" w:styleId="TAbleSubtitlesBlack">
    <w:name w:val="TAble Subtitles Black"/>
    <w:basedOn w:val="TableSubtitles"/>
    <w:link w:val="TAbleSubtitlesBlackChar"/>
    <w:qFormat/>
    <w:rsid w:val="00E7515D"/>
    <w:rPr>
      <w:b/>
      <w:noProof w:val="0"/>
    </w:rPr>
  </w:style>
  <w:style w:type="character" w:customStyle="1" w:styleId="TAbleSubtitlesBlackChar">
    <w:name w:val="TAble Subtitles Black Char"/>
    <w:basedOn w:val="DefaultParagraphFont"/>
    <w:link w:val="TAbleSubtitlesBlack"/>
    <w:rsid w:val="00E7515D"/>
    <w:rPr>
      <w:rFonts w:ascii="Gill Sans MT" w:eastAsia="Times New Roman" w:hAnsi="Gill Sans MT"/>
      <w:b/>
    </w:rPr>
  </w:style>
  <w:style w:type="table" w:customStyle="1" w:styleId="GridTable5Dark-Accent51">
    <w:name w:val="Grid Table 5 Dark - Accent 51"/>
    <w:basedOn w:val="TableNormal"/>
    <w:uiPriority w:val="50"/>
    <w:rsid w:val="0030206D"/>
    <w:rPr>
      <w:rFonts w:asciiTheme="minorHAnsi" w:eastAsiaTheme="minorHAnsi" w:hAnsiTheme="minorHAnsi" w:cstheme="minorBidi"/>
      <w:sz w:val="22"/>
      <w:szCs w:val="22"/>
      <w:lang w:val="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F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B3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B3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B3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B3E2" w:themeFill="accent5"/>
      </w:tcPr>
    </w:tblStylePr>
    <w:tblStylePr w:type="band1Vert">
      <w:tblPr/>
      <w:tcPr>
        <w:shd w:val="clear" w:color="auto" w:fill="D1E0F3" w:themeFill="accent5" w:themeFillTint="66"/>
      </w:tcPr>
    </w:tblStylePr>
    <w:tblStylePr w:type="band1Horz">
      <w:tblPr/>
      <w:tcPr>
        <w:shd w:val="clear" w:color="auto" w:fill="D1E0F3" w:themeFill="accent5" w:themeFillTint="66"/>
      </w:tcPr>
    </w:tblStylePr>
  </w:style>
  <w:style w:type="paragraph" w:styleId="Revision">
    <w:name w:val="Revision"/>
    <w:hidden/>
    <w:uiPriority w:val="99"/>
    <w:semiHidden/>
    <w:rsid w:val="00F73090"/>
    <w:rPr>
      <w:rFonts w:ascii="Gill Sans MT" w:hAnsi="Gill Sans MT"/>
      <w:szCs w:val="22"/>
    </w:rPr>
  </w:style>
  <w:style w:type="character" w:customStyle="1" w:styleId="apple-converted-space">
    <w:name w:val="apple-converted-space"/>
    <w:basedOn w:val="DefaultParagraphFont"/>
    <w:uiPriority w:val="99"/>
    <w:rsid w:val="00893F57"/>
  </w:style>
  <w:style w:type="character" w:customStyle="1" w:styleId="nowrap">
    <w:name w:val="nowrap"/>
    <w:basedOn w:val="DefaultParagraphFont"/>
    <w:rsid w:val="00893F57"/>
  </w:style>
  <w:style w:type="character" w:customStyle="1" w:styleId="NoSpacingChar">
    <w:name w:val="No Spacing Char"/>
    <w:basedOn w:val="DefaultParagraphFont"/>
    <w:link w:val="NoSpacing"/>
    <w:uiPriority w:val="1"/>
    <w:rsid w:val="005946D7"/>
    <w:rPr>
      <w:sz w:val="22"/>
      <w:szCs w:val="22"/>
    </w:rPr>
  </w:style>
  <w:style w:type="paragraph" w:styleId="BodyTextIndent">
    <w:name w:val="Body Text Indent"/>
    <w:basedOn w:val="Normal"/>
    <w:link w:val="BodyTextIndentChar"/>
    <w:uiPriority w:val="99"/>
    <w:unhideWhenUsed/>
    <w:rsid w:val="00EC46BA"/>
    <w:pPr>
      <w:spacing w:before="0" w:after="0"/>
      <w:ind w:left="1980" w:hanging="540"/>
    </w:pPr>
    <w:rPr>
      <w:rFonts w:ascii="Times New Roman" w:eastAsia="Times New Roman" w:hAnsi="Times New Roman"/>
      <w:sz w:val="24"/>
      <w:szCs w:val="20"/>
      <w:lang w:eastAsia="en-IN"/>
    </w:rPr>
  </w:style>
  <w:style w:type="character" w:customStyle="1" w:styleId="BodyTextIndentChar">
    <w:name w:val="Body Text Indent Char"/>
    <w:basedOn w:val="DefaultParagraphFont"/>
    <w:link w:val="BodyTextIndent"/>
    <w:uiPriority w:val="99"/>
    <w:rsid w:val="00EC46BA"/>
    <w:rPr>
      <w:rFonts w:ascii="Times New Roman" w:eastAsia="Times New Roman" w:hAnsi="Times New Roman"/>
      <w:sz w:val="24"/>
      <w:lang w:eastAsia="en-IN"/>
    </w:rPr>
  </w:style>
  <w:style w:type="paragraph" w:customStyle="1" w:styleId="CM74">
    <w:name w:val="CM74"/>
    <w:basedOn w:val="Normal"/>
    <w:next w:val="Normal"/>
    <w:uiPriority w:val="99"/>
    <w:rsid w:val="00EC46BA"/>
    <w:pPr>
      <w:widowControl w:val="0"/>
      <w:autoSpaceDE w:val="0"/>
      <w:autoSpaceDN w:val="0"/>
      <w:adjustRightInd w:val="0"/>
      <w:spacing w:before="0" w:after="0"/>
    </w:pPr>
    <w:rPr>
      <w:rFonts w:ascii="Calibri" w:eastAsiaTheme="minorEastAsia" w:hAnsi="Calibri"/>
      <w:sz w:val="24"/>
      <w:szCs w:val="24"/>
      <w:lang w:val="en-GB" w:eastAsia="en-GB"/>
    </w:rPr>
  </w:style>
  <w:style w:type="character" w:customStyle="1" w:styleId="apple-style-span">
    <w:name w:val="apple-style-span"/>
    <w:basedOn w:val="DefaultParagraphFont"/>
    <w:uiPriority w:val="99"/>
    <w:rsid w:val="00EC46BA"/>
  </w:style>
  <w:style w:type="paragraph" w:customStyle="1" w:styleId="gmail-m5019588548360459223msolistparagraph">
    <w:name w:val="gmail-m_5019588548360459223msolistparagraph"/>
    <w:basedOn w:val="Normal"/>
    <w:rsid w:val="00EC46BA"/>
    <w:pPr>
      <w:spacing w:before="100" w:beforeAutospacing="1" w:after="100" w:afterAutospacing="1"/>
    </w:pPr>
    <w:rPr>
      <w:rFonts w:ascii="Times New Roman" w:eastAsiaTheme="minorHAnsi" w:hAnsi="Times New Roman"/>
      <w:sz w:val="24"/>
      <w:szCs w:val="24"/>
      <w:lang w:val="en-IN" w:eastAsia="en-IN"/>
    </w:rPr>
  </w:style>
  <w:style w:type="paragraph" w:styleId="PlainText">
    <w:name w:val="Plain Text"/>
    <w:basedOn w:val="Normal"/>
    <w:link w:val="PlainTextChar"/>
    <w:uiPriority w:val="99"/>
    <w:unhideWhenUsed/>
    <w:rsid w:val="00EC46BA"/>
    <w:pPr>
      <w:spacing w:before="0" w:after="0"/>
    </w:pPr>
    <w:rPr>
      <w:rFonts w:ascii="Consolas" w:eastAsiaTheme="minorHAnsi" w:hAnsi="Consolas" w:cs="Consolas"/>
      <w:sz w:val="21"/>
      <w:szCs w:val="21"/>
      <w:lang w:val="en-IN"/>
    </w:rPr>
  </w:style>
  <w:style w:type="character" w:customStyle="1" w:styleId="PlainTextChar">
    <w:name w:val="Plain Text Char"/>
    <w:basedOn w:val="DefaultParagraphFont"/>
    <w:link w:val="PlainText"/>
    <w:uiPriority w:val="99"/>
    <w:rsid w:val="00EC46BA"/>
    <w:rPr>
      <w:rFonts w:ascii="Consolas" w:eastAsiaTheme="minorHAnsi" w:hAnsi="Consolas" w:cs="Consolas"/>
      <w:sz w:val="21"/>
      <w:szCs w:val="21"/>
      <w:lang w:val="en-IN"/>
    </w:rPr>
  </w:style>
  <w:style w:type="paragraph" w:customStyle="1" w:styleId="gmail-msolistparagraph">
    <w:name w:val="gmail-msolistparagraph"/>
    <w:basedOn w:val="Normal"/>
    <w:rsid w:val="00906EF2"/>
    <w:pPr>
      <w:spacing w:before="100" w:beforeAutospacing="1" w:after="100" w:afterAutospacing="1"/>
    </w:pPr>
    <w:rPr>
      <w:rFonts w:ascii="Times New Roman" w:eastAsiaTheme="minorHAnsi" w:hAnsi="Times New Roman"/>
      <w:sz w:val="24"/>
      <w:szCs w:val="24"/>
      <w:lang w:val="en-IN" w:eastAsia="en-IN"/>
    </w:rPr>
  </w:style>
  <w:style w:type="table" w:customStyle="1" w:styleId="GridTable41">
    <w:name w:val="Grid Table 41"/>
    <w:basedOn w:val="TableNormal"/>
    <w:uiPriority w:val="49"/>
    <w:rsid w:val="00906EF2"/>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906EF2"/>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
    <w:name w:val="Table Grid2"/>
    <w:basedOn w:val="TableNormal"/>
    <w:next w:val="TableGrid"/>
    <w:uiPriority w:val="59"/>
    <w:rsid w:val="00AF5CF3"/>
    <w:rPr>
      <w:rFonts w:asciiTheme="minorHAnsi" w:eastAsia="Times New Roman" w:hAnsiTheme="minorHAnsi"/>
    </w:rPr>
    <w:tblPr>
      <w:tblBorders>
        <w:top w:val="single" w:sz="8" w:space="0" w:color="5B9BD5"/>
        <w:bottom w:val="single" w:sz="8" w:space="0" w:color="5B9BD5"/>
        <w:insideH w:val="single" w:sz="8" w:space="0" w:color="5B9BD5"/>
        <w:insideV w:val="single" w:sz="8" w:space="0" w:color="5B9BD5"/>
      </w:tblBorders>
    </w:tblPr>
    <w:tblStylePr w:type="firstRow">
      <w:pPr>
        <w:jc w:val="center"/>
      </w:pPr>
      <w:rPr>
        <w:rFonts w:ascii="Gloucester MT Extra Condensed" w:hAnsi="Gloucester MT Extra Condensed"/>
        <w:b/>
        <w:sz w:val="20"/>
      </w:rPr>
      <w:tblPr/>
      <w:tcPr>
        <w:vAlign w:val="center"/>
      </w:tcPr>
    </w:tblStylePr>
  </w:style>
  <w:style w:type="character" w:styleId="Emphasis">
    <w:name w:val="Emphasis"/>
    <w:basedOn w:val="DefaultParagraphFont"/>
    <w:uiPriority w:val="20"/>
    <w:qFormat/>
    <w:rsid w:val="00CD11A5"/>
    <w:rPr>
      <w:i/>
      <w:iCs/>
    </w:rPr>
  </w:style>
  <w:style w:type="table" w:customStyle="1" w:styleId="GridTable5Dark-Accent21">
    <w:name w:val="Grid Table 5 Dark - Accent 21"/>
    <w:basedOn w:val="TableNormal"/>
    <w:uiPriority w:val="50"/>
    <w:rsid w:val="002C63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8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8E1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8E1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8E1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8E1E" w:themeFill="accent2"/>
      </w:tcPr>
    </w:tblStylePr>
    <w:tblStylePr w:type="band1Vert">
      <w:tblPr/>
      <w:tcPr>
        <w:shd w:val="clear" w:color="auto" w:fill="FBD1A4" w:themeFill="accent2" w:themeFillTint="66"/>
      </w:tcPr>
    </w:tblStylePr>
    <w:tblStylePr w:type="band1Horz">
      <w:tblPr/>
      <w:tcPr>
        <w:shd w:val="clear" w:color="auto" w:fill="FBD1A4" w:themeFill="accent2" w:themeFillTint="66"/>
      </w:tcPr>
    </w:tblStylePr>
  </w:style>
  <w:style w:type="character" w:customStyle="1" w:styleId="skypec2ctextspan">
    <w:name w:val="skype_c2c_text_span"/>
    <w:basedOn w:val="DefaultParagraphFont"/>
    <w:rsid w:val="0031643F"/>
  </w:style>
  <w:style w:type="character" w:styleId="Strong">
    <w:name w:val="Strong"/>
    <w:basedOn w:val="DefaultParagraphFont"/>
    <w:uiPriority w:val="99"/>
    <w:qFormat/>
    <w:rsid w:val="0031643F"/>
    <w:rPr>
      <w:b/>
      <w:bCs/>
    </w:rPr>
  </w:style>
  <w:style w:type="character" w:customStyle="1" w:styleId="BalloonTextChar6">
    <w:name w:val="Balloon Text Char6"/>
    <w:uiPriority w:val="99"/>
    <w:semiHidden/>
    <w:rsid w:val="000B0B08"/>
    <w:rPr>
      <w:rFonts w:ascii="Lucida Grande" w:hAnsi="Lucida Grande"/>
      <w:sz w:val="18"/>
    </w:rPr>
  </w:style>
  <w:style w:type="character" w:customStyle="1" w:styleId="BalloonTextChar5">
    <w:name w:val="Balloon Text Char5"/>
    <w:uiPriority w:val="99"/>
    <w:semiHidden/>
    <w:rsid w:val="000B0B08"/>
    <w:rPr>
      <w:rFonts w:ascii="Lucida Grande" w:hAnsi="Lucida Grande"/>
      <w:sz w:val="18"/>
    </w:rPr>
  </w:style>
  <w:style w:type="character" w:customStyle="1" w:styleId="BalloonTextChar4">
    <w:name w:val="Balloon Text Char4"/>
    <w:uiPriority w:val="99"/>
    <w:semiHidden/>
    <w:rsid w:val="000B0B08"/>
    <w:rPr>
      <w:rFonts w:ascii="Lucida Grande" w:hAnsi="Lucida Grande"/>
      <w:sz w:val="18"/>
    </w:rPr>
  </w:style>
  <w:style w:type="character" w:customStyle="1" w:styleId="BalloonTextChar3">
    <w:name w:val="Balloon Text Char3"/>
    <w:uiPriority w:val="99"/>
    <w:semiHidden/>
    <w:rsid w:val="000B0B08"/>
    <w:rPr>
      <w:rFonts w:ascii="Lucida Grande" w:hAnsi="Lucida Grande"/>
      <w:sz w:val="18"/>
    </w:rPr>
  </w:style>
  <w:style w:type="character" w:customStyle="1" w:styleId="BalloonTextChar2">
    <w:name w:val="Balloon Text Char2"/>
    <w:locked/>
    <w:rsid w:val="000B0B08"/>
    <w:rPr>
      <w:rFonts w:ascii="Tahoma" w:eastAsia="Cambria" w:hAnsi="Tahoma" w:cs="Times New Roman"/>
      <w:sz w:val="16"/>
      <w:szCs w:val="20"/>
      <w:lang w:val="en-GB"/>
    </w:rPr>
  </w:style>
  <w:style w:type="paragraph" w:styleId="Title">
    <w:name w:val="Title"/>
    <w:basedOn w:val="Normal"/>
    <w:next w:val="Normal"/>
    <w:link w:val="TitleChar"/>
    <w:qFormat/>
    <w:rsid w:val="000B0B08"/>
    <w:pPr>
      <w:spacing w:before="0" w:after="0"/>
      <w:jc w:val="right"/>
    </w:pPr>
    <w:rPr>
      <w:rFonts w:ascii="Arial" w:eastAsia="Cambria" w:hAnsi="Arial"/>
      <w:b/>
      <w:sz w:val="40"/>
      <w:szCs w:val="20"/>
      <w:lang w:val="en-GB" w:eastAsia="ja-JP"/>
    </w:rPr>
  </w:style>
  <w:style w:type="character" w:customStyle="1" w:styleId="TitleChar">
    <w:name w:val="Title Char"/>
    <w:basedOn w:val="DefaultParagraphFont"/>
    <w:link w:val="Title"/>
    <w:rsid w:val="000B0B08"/>
    <w:rPr>
      <w:rFonts w:ascii="Arial" w:eastAsia="Cambria" w:hAnsi="Arial"/>
      <w:b/>
      <w:sz w:val="40"/>
      <w:lang w:val="en-GB" w:eastAsia="ja-JP"/>
    </w:rPr>
  </w:style>
  <w:style w:type="paragraph" w:styleId="BodyText">
    <w:name w:val="Body Text"/>
    <w:basedOn w:val="Normal"/>
    <w:link w:val="BodyTextChar"/>
    <w:rsid w:val="000B0B08"/>
    <w:pPr>
      <w:spacing w:before="0" w:line="276" w:lineRule="auto"/>
      <w:jc w:val="both"/>
    </w:pPr>
    <w:rPr>
      <w:rFonts w:ascii="Calibri" w:eastAsia="Cambria" w:hAnsi="Calibri"/>
      <w:sz w:val="22"/>
      <w:lang w:val="en-IN" w:eastAsia="ja-JP"/>
    </w:rPr>
  </w:style>
  <w:style w:type="character" w:customStyle="1" w:styleId="BodyTextChar">
    <w:name w:val="Body Text Char"/>
    <w:basedOn w:val="DefaultParagraphFont"/>
    <w:link w:val="BodyText"/>
    <w:rsid w:val="000B0B08"/>
    <w:rPr>
      <w:rFonts w:eastAsia="Cambria"/>
      <w:sz w:val="22"/>
      <w:szCs w:val="22"/>
      <w:lang w:val="en-IN" w:eastAsia="ja-JP"/>
    </w:rPr>
  </w:style>
  <w:style w:type="character" w:customStyle="1" w:styleId="BalloonTextChar1">
    <w:name w:val="Balloon Text Char1"/>
    <w:uiPriority w:val="99"/>
    <w:semiHidden/>
    <w:rsid w:val="000B0B08"/>
    <w:rPr>
      <w:rFonts w:ascii="Lucida Grande" w:hAnsi="Lucida Grande"/>
      <w:sz w:val="18"/>
      <w:lang w:val="en-GB" w:eastAsia="en-US"/>
    </w:rPr>
  </w:style>
  <w:style w:type="character" w:customStyle="1" w:styleId="FootnoteTextChar1">
    <w:name w:val="Footnote Text Char1"/>
    <w:uiPriority w:val="99"/>
    <w:semiHidden/>
    <w:locked/>
    <w:rsid w:val="000B0B08"/>
    <w:rPr>
      <w:rFonts w:ascii="Times New Roman" w:hAnsi="Times New Roman"/>
      <w:sz w:val="20"/>
      <w:lang w:eastAsia="en-US"/>
    </w:rPr>
  </w:style>
  <w:style w:type="paragraph" w:styleId="BodyText2">
    <w:name w:val="Body Text 2"/>
    <w:basedOn w:val="Normal"/>
    <w:link w:val="BodyText2Char"/>
    <w:rsid w:val="000B0B08"/>
    <w:pPr>
      <w:spacing w:before="0" w:line="480" w:lineRule="auto"/>
      <w:jc w:val="both"/>
    </w:pPr>
    <w:rPr>
      <w:rFonts w:ascii="Times New Roman" w:eastAsia="Cambria" w:hAnsi="Times New Roman"/>
      <w:szCs w:val="20"/>
      <w:lang w:val="en-IN" w:eastAsia="ja-JP"/>
    </w:rPr>
  </w:style>
  <w:style w:type="character" w:customStyle="1" w:styleId="BodyText2Char">
    <w:name w:val="Body Text 2 Char"/>
    <w:basedOn w:val="DefaultParagraphFont"/>
    <w:link w:val="BodyText2"/>
    <w:rsid w:val="000B0B08"/>
    <w:rPr>
      <w:rFonts w:ascii="Times New Roman" w:eastAsia="Cambria" w:hAnsi="Times New Roman"/>
      <w:lang w:val="en-IN" w:eastAsia="ja-JP"/>
    </w:rPr>
  </w:style>
  <w:style w:type="paragraph" w:styleId="TOC5">
    <w:name w:val="toc 5"/>
    <w:basedOn w:val="Normal"/>
    <w:next w:val="Normal"/>
    <w:autoRedefine/>
    <w:uiPriority w:val="99"/>
    <w:rsid w:val="000B0B08"/>
    <w:pPr>
      <w:spacing w:before="0" w:after="0"/>
      <w:ind w:left="960"/>
      <w:jc w:val="both"/>
    </w:pPr>
    <w:rPr>
      <w:rFonts w:ascii="Arial" w:eastAsia="Cambria" w:hAnsi="Arial"/>
      <w:szCs w:val="20"/>
      <w:lang w:val="en-GB"/>
    </w:rPr>
  </w:style>
  <w:style w:type="paragraph" w:styleId="TOC6">
    <w:name w:val="toc 6"/>
    <w:basedOn w:val="Normal"/>
    <w:next w:val="Normal"/>
    <w:autoRedefine/>
    <w:uiPriority w:val="99"/>
    <w:rsid w:val="000B0B08"/>
    <w:pPr>
      <w:spacing w:before="0" w:after="0"/>
      <w:ind w:left="1200"/>
      <w:jc w:val="both"/>
    </w:pPr>
    <w:rPr>
      <w:rFonts w:ascii="Arial" w:eastAsia="Cambria" w:hAnsi="Arial"/>
      <w:szCs w:val="20"/>
      <w:lang w:val="en-GB"/>
    </w:rPr>
  </w:style>
  <w:style w:type="paragraph" w:styleId="TOC7">
    <w:name w:val="toc 7"/>
    <w:basedOn w:val="Normal"/>
    <w:next w:val="Normal"/>
    <w:autoRedefine/>
    <w:uiPriority w:val="99"/>
    <w:rsid w:val="000B0B08"/>
    <w:pPr>
      <w:spacing w:before="0" w:after="0"/>
      <w:ind w:left="1440"/>
      <w:jc w:val="both"/>
    </w:pPr>
    <w:rPr>
      <w:rFonts w:ascii="Arial" w:eastAsia="Cambria" w:hAnsi="Arial"/>
      <w:szCs w:val="20"/>
      <w:lang w:val="en-GB"/>
    </w:rPr>
  </w:style>
  <w:style w:type="paragraph" w:styleId="TOC8">
    <w:name w:val="toc 8"/>
    <w:basedOn w:val="Normal"/>
    <w:next w:val="Normal"/>
    <w:autoRedefine/>
    <w:uiPriority w:val="99"/>
    <w:rsid w:val="000B0B08"/>
    <w:pPr>
      <w:spacing w:before="0" w:after="0"/>
      <w:ind w:left="1680"/>
      <w:jc w:val="both"/>
    </w:pPr>
    <w:rPr>
      <w:rFonts w:ascii="Arial" w:eastAsia="Cambria" w:hAnsi="Arial"/>
      <w:szCs w:val="20"/>
      <w:lang w:val="en-GB"/>
    </w:rPr>
  </w:style>
  <w:style w:type="paragraph" w:styleId="TOC9">
    <w:name w:val="toc 9"/>
    <w:basedOn w:val="Normal"/>
    <w:next w:val="Normal"/>
    <w:autoRedefine/>
    <w:uiPriority w:val="99"/>
    <w:rsid w:val="000B0B08"/>
    <w:pPr>
      <w:spacing w:before="0" w:after="0"/>
      <w:ind w:left="1920"/>
      <w:jc w:val="both"/>
    </w:pPr>
    <w:rPr>
      <w:rFonts w:ascii="Arial" w:eastAsia="Cambria" w:hAnsi="Arial"/>
      <w:szCs w:val="20"/>
      <w:lang w:val="en-GB"/>
    </w:rPr>
  </w:style>
  <w:style w:type="paragraph" w:styleId="List5">
    <w:name w:val="List 5"/>
    <w:basedOn w:val="List"/>
    <w:uiPriority w:val="99"/>
    <w:rsid w:val="000B0B08"/>
    <w:pPr>
      <w:spacing w:after="240" w:line="240" w:lineRule="atLeast"/>
      <w:ind w:left="1800" w:hanging="360"/>
      <w:contextualSpacing w:val="0"/>
    </w:pPr>
    <w:rPr>
      <w:rFonts w:ascii="Garamond" w:eastAsia="Times New Roman" w:hAnsi="Garamond"/>
      <w:szCs w:val="20"/>
    </w:rPr>
  </w:style>
  <w:style w:type="paragraph" w:styleId="List">
    <w:name w:val="List"/>
    <w:basedOn w:val="Normal"/>
    <w:uiPriority w:val="99"/>
    <w:rsid w:val="000B0B08"/>
    <w:pPr>
      <w:spacing w:before="0" w:after="0" w:line="276" w:lineRule="auto"/>
      <w:ind w:left="283" w:hanging="283"/>
      <w:contextualSpacing/>
      <w:jc w:val="both"/>
    </w:pPr>
    <w:rPr>
      <w:rFonts w:ascii="Arial" w:eastAsia="Cambria" w:hAnsi="Arial"/>
      <w:sz w:val="22"/>
    </w:rPr>
  </w:style>
  <w:style w:type="paragraph" w:customStyle="1" w:styleId="bodytextCharCharCharChar">
    <w:name w:val="bodytext Char Char Char Char"/>
    <w:basedOn w:val="Normal"/>
    <w:link w:val="bodytextCharCharCharCharChar"/>
    <w:uiPriority w:val="99"/>
    <w:rsid w:val="000B0B08"/>
    <w:pPr>
      <w:spacing w:before="0" w:after="240"/>
      <w:jc w:val="both"/>
    </w:pPr>
    <w:rPr>
      <w:rFonts w:ascii="Arial" w:eastAsia="SimSun" w:hAnsi="Arial"/>
      <w:szCs w:val="20"/>
      <w:lang w:val="en-GB"/>
    </w:rPr>
  </w:style>
  <w:style w:type="character" w:customStyle="1" w:styleId="bodytextCharCharCharCharChar">
    <w:name w:val="bodytext Char Char Char Char Char"/>
    <w:link w:val="bodytextCharCharCharChar"/>
    <w:uiPriority w:val="99"/>
    <w:locked/>
    <w:rsid w:val="000B0B08"/>
    <w:rPr>
      <w:rFonts w:ascii="Arial" w:eastAsia="SimSun" w:hAnsi="Arial"/>
      <w:lang w:val="en-GB"/>
    </w:rPr>
  </w:style>
  <w:style w:type="paragraph" w:customStyle="1" w:styleId="Bullet1">
    <w:name w:val="Bullet 1"/>
    <w:basedOn w:val="Normal"/>
    <w:uiPriority w:val="99"/>
    <w:rsid w:val="000B0B08"/>
    <w:pPr>
      <w:numPr>
        <w:numId w:val="17"/>
      </w:numPr>
      <w:spacing w:before="0" w:after="0"/>
      <w:jc w:val="both"/>
    </w:pPr>
    <w:rPr>
      <w:rFonts w:ascii="Times New Roman" w:eastAsia="Times New Roman" w:hAnsi="Times New Roman"/>
      <w:szCs w:val="20"/>
      <w:lang w:val="en-AU"/>
    </w:rPr>
  </w:style>
  <w:style w:type="table" w:styleId="MediumList1-Accent6">
    <w:name w:val="Medium List 1 Accent 6"/>
    <w:basedOn w:val="TableNormal"/>
    <w:uiPriority w:val="99"/>
    <w:rsid w:val="000B0B08"/>
    <w:rPr>
      <w:rFonts w:eastAsia="Times New Roman"/>
      <w:color w:val="000000"/>
    </w:rPr>
    <w:tblPr>
      <w:tblStyleRowBandSize w:val="1"/>
      <w:tblStyleColBandSize w:val="1"/>
      <w:tblBorders>
        <w:top w:val="single" w:sz="8" w:space="0" w:color="F79646"/>
        <w:bottom w:val="single" w:sz="8" w:space="0" w:color="F79646"/>
      </w:tblBorders>
    </w:tblPr>
    <w:tblStylePr w:type="firstRow">
      <w:rPr>
        <w:rFonts w:ascii="Gloucester MT Extra Condensed" w:eastAsia="Times New Roman" w:hAnsi="Gloucester MT Extra Condensed"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paragraph" w:styleId="Subtitle">
    <w:name w:val="Subtitle"/>
    <w:basedOn w:val="Normal"/>
    <w:link w:val="SubtitleChar"/>
    <w:qFormat/>
    <w:rsid w:val="000B0B08"/>
    <w:pPr>
      <w:spacing w:before="0" w:after="0"/>
      <w:jc w:val="center"/>
    </w:pPr>
    <w:rPr>
      <w:rFonts w:ascii="Times New Roman" w:eastAsia="Cambria" w:hAnsi="Times New Roman"/>
      <w:b/>
      <w:sz w:val="24"/>
      <w:szCs w:val="20"/>
      <w:lang w:val="en-AU" w:eastAsia="ja-JP"/>
    </w:rPr>
  </w:style>
  <w:style w:type="character" w:customStyle="1" w:styleId="SubtitleChar">
    <w:name w:val="Subtitle Char"/>
    <w:basedOn w:val="DefaultParagraphFont"/>
    <w:link w:val="Subtitle"/>
    <w:rsid w:val="000B0B08"/>
    <w:rPr>
      <w:rFonts w:ascii="Times New Roman" w:eastAsia="Cambria" w:hAnsi="Times New Roman"/>
      <w:b/>
      <w:sz w:val="24"/>
      <w:lang w:val="en-AU" w:eastAsia="ja-JP"/>
    </w:rPr>
  </w:style>
  <w:style w:type="character" w:customStyle="1" w:styleId="A0">
    <w:name w:val="A0"/>
    <w:uiPriority w:val="99"/>
    <w:rsid w:val="000B0B08"/>
    <w:rPr>
      <w:color w:val="000000"/>
      <w:sz w:val="22"/>
    </w:rPr>
  </w:style>
  <w:style w:type="paragraph" w:customStyle="1" w:styleId="Pa1">
    <w:name w:val="Pa1"/>
    <w:basedOn w:val="Normal"/>
    <w:next w:val="Normal"/>
    <w:uiPriority w:val="99"/>
    <w:rsid w:val="000B0B08"/>
    <w:pPr>
      <w:autoSpaceDE w:val="0"/>
      <w:autoSpaceDN w:val="0"/>
      <w:adjustRightInd w:val="0"/>
      <w:spacing w:before="0" w:after="0" w:line="241" w:lineRule="atLeast"/>
    </w:pPr>
    <w:rPr>
      <w:rFonts w:ascii="DAMSSV+HelveticaNeue-ThinItalic" w:eastAsia="Cambria" w:hAnsi="DAMSSV+HelveticaNeue-ThinItalic"/>
      <w:sz w:val="24"/>
      <w:szCs w:val="24"/>
      <w:lang w:eastAsia="en-IN"/>
    </w:rPr>
  </w:style>
  <w:style w:type="character" w:styleId="FollowedHyperlink">
    <w:name w:val="FollowedHyperlink"/>
    <w:basedOn w:val="DefaultParagraphFont"/>
    <w:uiPriority w:val="99"/>
    <w:semiHidden/>
    <w:unhideWhenUsed/>
    <w:rsid w:val="000B0B08"/>
    <w:rPr>
      <w:color w:val="800080"/>
      <w:u w:val="single"/>
    </w:rPr>
  </w:style>
  <w:style w:type="paragraph" w:customStyle="1" w:styleId="font5">
    <w:name w:val="font5"/>
    <w:basedOn w:val="Normal"/>
    <w:uiPriority w:val="99"/>
    <w:rsid w:val="000B0B08"/>
    <w:pPr>
      <w:spacing w:before="100" w:beforeAutospacing="1" w:after="100" w:afterAutospacing="1"/>
    </w:pPr>
    <w:rPr>
      <w:rFonts w:ascii="Tahoma" w:eastAsia="Times New Roman" w:hAnsi="Tahoma" w:cs="Tahoma"/>
      <w:b/>
      <w:bCs/>
      <w:color w:val="000000"/>
      <w:sz w:val="16"/>
      <w:szCs w:val="16"/>
    </w:rPr>
  </w:style>
  <w:style w:type="paragraph" w:customStyle="1" w:styleId="font6">
    <w:name w:val="font6"/>
    <w:basedOn w:val="Normal"/>
    <w:uiPriority w:val="99"/>
    <w:rsid w:val="000B0B08"/>
    <w:pPr>
      <w:spacing w:before="100" w:beforeAutospacing="1" w:after="100" w:afterAutospacing="1"/>
    </w:pPr>
    <w:rPr>
      <w:rFonts w:ascii="Tahoma" w:eastAsia="Times New Roman" w:hAnsi="Tahoma" w:cs="Tahoma"/>
      <w:color w:val="000000"/>
      <w:sz w:val="16"/>
      <w:szCs w:val="16"/>
    </w:rPr>
  </w:style>
  <w:style w:type="paragraph" w:customStyle="1" w:styleId="xl76">
    <w:name w:val="xl76"/>
    <w:basedOn w:val="Normal"/>
    <w:rsid w:val="000B0B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77">
    <w:name w:val="xl77"/>
    <w:basedOn w:val="Normal"/>
    <w:rsid w:val="000B0B08"/>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78">
    <w:name w:val="xl78"/>
    <w:basedOn w:val="Normal"/>
    <w:rsid w:val="000B0B08"/>
    <w:pPr>
      <w:spacing w:before="100" w:beforeAutospacing="1" w:after="100" w:afterAutospacing="1"/>
      <w:jc w:val="center"/>
    </w:pPr>
    <w:rPr>
      <w:rFonts w:ascii="Times New Roman" w:eastAsia="Times New Roman" w:hAnsi="Times New Roman"/>
      <w:sz w:val="24"/>
      <w:szCs w:val="24"/>
    </w:rPr>
  </w:style>
  <w:style w:type="paragraph" w:customStyle="1" w:styleId="xl79">
    <w:name w:val="xl79"/>
    <w:basedOn w:val="Normal"/>
    <w:rsid w:val="000B0B08"/>
    <w:pPr>
      <w:pBdr>
        <w:top w:val="single" w:sz="8"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80">
    <w:name w:val="xl80"/>
    <w:basedOn w:val="Normal"/>
    <w:rsid w:val="000B0B08"/>
    <w:pPr>
      <w:pBdr>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81">
    <w:name w:val="xl81"/>
    <w:basedOn w:val="Normal"/>
    <w:rsid w:val="000B0B08"/>
    <w:pPr>
      <w:pBdr>
        <w:top w:val="single" w:sz="4" w:space="0" w:color="auto"/>
        <w:left w:val="single" w:sz="4" w:space="0" w:color="auto"/>
        <w:right w:val="single" w:sz="8"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82">
    <w:name w:val="xl82"/>
    <w:basedOn w:val="Normal"/>
    <w:rsid w:val="000B0B08"/>
    <w:pPr>
      <w:pBdr>
        <w:top w:val="single" w:sz="4"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83">
    <w:name w:val="xl83"/>
    <w:basedOn w:val="Normal"/>
    <w:rsid w:val="000B0B08"/>
    <w:pPr>
      <w:pBdr>
        <w:bottom w:val="single" w:sz="4"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84">
    <w:name w:val="xl84"/>
    <w:basedOn w:val="Normal"/>
    <w:rsid w:val="000B0B08"/>
    <w:pPr>
      <w:pBdr>
        <w:left w:val="single" w:sz="4" w:space="0" w:color="auto"/>
        <w:bottom w:val="single" w:sz="4" w:space="0" w:color="auto"/>
        <w:right w:val="single" w:sz="8"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85">
    <w:name w:val="xl85"/>
    <w:basedOn w:val="Normal"/>
    <w:rsid w:val="000B0B08"/>
    <w:pP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86">
    <w:name w:val="xl86"/>
    <w:basedOn w:val="Normal"/>
    <w:rsid w:val="000B0B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87">
    <w:name w:val="xl87"/>
    <w:basedOn w:val="Normal"/>
    <w:rsid w:val="000B0B08"/>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88">
    <w:name w:val="xl88"/>
    <w:basedOn w:val="Normal"/>
    <w:rsid w:val="000B0B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89">
    <w:name w:val="xl89"/>
    <w:basedOn w:val="Normal"/>
    <w:rsid w:val="000B0B0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0">
    <w:name w:val="xl90"/>
    <w:basedOn w:val="Normal"/>
    <w:rsid w:val="000B0B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1">
    <w:name w:val="xl91"/>
    <w:basedOn w:val="Normal"/>
    <w:rsid w:val="000B0B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92">
    <w:name w:val="xl92"/>
    <w:basedOn w:val="Normal"/>
    <w:rsid w:val="000B0B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3">
    <w:name w:val="xl93"/>
    <w:basedOn w:val="Normal"/>
    <w:rsid w:val="000B0B08"/>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4">
    <w:name w:val="xl94"/>
    <w:basedOn w:val="Normal"/>
    <w:rsid w:val="000B0B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5">
    <w:name w:val="xl95"/>
    <w:basedOn w:val="Normal"/>
    <w:rsid w:val="000B0B08"/>
    <w:pPr>
      <w:pBdr>
        <w:top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6">
    <w:name w:val="xl96"/>
    <w:basedOn w:val="Normal"/>
    <w:rsid w:val="000B0B08"/>
    <w:pPr>
      <w:pBdr>
        <w:top w:val="single" w:sz="4" w:space="0" w:color="auto"/>
        <w:bottom w:val="single" w:sz="4" w:space="0" w:color="auto"/>
      </w:pBdr>
      <w:shd w:val="clear" w:color="000000" w:fill="FF0000"/>
      <w:spacing w:before="100" w:beforeAutospacing="1" w:after="100" w:afterAutospacing="1"/>
      <w:jc w:val="center"/>
    </w:pPr>
    <w:rPr>
      <w:rFonts w:ascii="Times New Roman" w:eastAsia="Times New Roman" w:hAnsi="Times New Roman"/>
      <w:sz w:val="24"/>
      <w:szCs w:val="24"/>
    </w:rPr>
  </w:style>
  <w:style w:type="paragraph" w:customStyle="1" w:styleId="xl97">
    <w:name w:val="xl97"/>
    <w:basedOn w:val="Normal"/>
    <w:rsid w:val="000B0B0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al"/>
    <w:rsid w:val="000B0B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9">
    <w:name w:val="xl99"/>
    <w:basedOn w:val="Normal"/>
    <w:rsid w:val="000B0B0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Times New Roman" w:eastAsia="Times New Roman" w:hAnsi="Times New Roman"/>
      <w:sz w:val="24"/>
      <w:szCs w:val="24"/>
    </w:rPr>
  </w:style>
  <w:style w:type="paragraph" w:customStyle="1" w:styleId="xl100">
    <w:name w:val="xl100"/>
    <w:basedOn w:val="Normal"/>
    <w:rsid w:val="000B0B08"/>
    <w:pPr>
      <w:pBdr>
        <w:top w:val="single" w:sz="4"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01">
    <w:name w:val="xl101"/>
    <w:basedOn w:val="Normal"/>
    <w:rsid w:val="000B0B08"/>
    <w:pPr>
      <w:pBdr>
        <w:top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02">
    <w:name w:val="xl102"/>
    <w:basedOn w:val="Normal"/>
    <w:rsid w:val="000B0B08"/>
    <w:pPr>
      <w:pBdr>
        <w:top w:val="single" w:sz="4" w:space="0" w:color="auto"/>
        <w:left w:val="single" w:sz="4" w:space="0" w:color="auto"/>
        <w:right w:val="single" w:sz="4" w:space="0" w:color="auto"/>
      </w:pBdr>
      <w:shd w:val="clear" w:color="000000" w:fill="CCFFCC"/>
      <w:spacing w:before="100" w:beforeAutospacing="1" w:after="100" w:afterAutospacing="1"/>
    </w:pPr>
    <w:rPr>
      <w:rFonts w:ascii="Times New Roman" w:eastAsia="Times New Roman" w:hAnsi="Times New Roman"/>
      <w:sz w:val="24"/>
      <w:szCs w:val="24"/>
    </w:rPr>
  </w:style>
  <w:style w:type="paragraph" w:customStyle="1" w:styleId="xl103">
    <w:name w:val="xl103"/>
    <w:basedOn w:val="Normal"/>
    <w:rsid w:val="000B0B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04">
    <w:name w:val="xl104"/>
    <w:basedOn w:val="Normal"/>
    <w:rsid w:val="000B0B08"/>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24"/>
      <w:szCs w:val="24"/>
    </w:rPr>
  </w:style>
  <w:style w:type="paragraph" w:customStyle="1" w:styleId="xl105">
    <w:name w:val="xl105"/>
    <w:basedOn w:val="Normal"/>
    <w:rsid w:val="000B0B08"/>
    <w:pPr>
      <w:pBdr>
        <w:top w:val="single" w:sz="4" w:space="0" w:color="auto"/>
        <w:left w:val="single" w:sz="4" w:space="0" w:color="auto"/>
        <w:right w:val="single" w:sz="8" w:space="0" w:color="auto"/>
      </w:pBdr>
      <w:spacing w:before="100" w:beforeAutospacing="1" w:after="100" w:afterAutospacing="1"/>
      <w:jc w:val="center"/>
    </w:pPr>
    <w:rPr>
      <w:rFonts w:ascii="Arial" w:eastAsia="Times New Roman" w:hAnsi="Arial" w:cs="Arial"/>
      <w:b/>
      <w:bCs/>
      <w:sz w:val="24"/>
      <w:szCs w:val="24"/>
    </w:rPr>
  </w:style>
  <w:style w:type="paragraph" w:customStyle="1" w:styleId="xl106">
    <w:name w:val="xl106"/>
    <w:basedOn w:val="Normal"/>
    <w:rsid w:val="000B0B08"/>
    <w:pPr>
      <w:spacing w:before="100" w:beforeAutospacing="1" w:after="100" w:afterAutospacing="1"/>
      <w:jc w:val="right"/>
    </w:pPr>
    <w:rPr>
      <w:rFonts w:ascii="Times New Roman" w:eastAsia="Times New Roman" w:hAnsi="Times New Roman"/>
      <w:sz w:val="24"/>
      <w:szCs w:val="24"/>
    </w:rPr>
  </w:style>
  <w:style w:type="paragraph" w:customStyle="1" w:styleId="xl107">
    <w:name w:val="xl107"/>
    <w:basedOn w:val="Normal"/>
    <w:rsid w:val="000B0B08"/>
    <w:pPr>
      <w:spacing w:before="100" w:beforeAutospacing="1" w:after="100" w:afterAutospacing="1"/>
    </w:pPr>
    <w:rPr>
      <w:rFonts w:ascii="Times New Roman" w:eastAsia="Times New Roman" w:hAnsi="Times New Roman"/>
      <w:sz w:val="24"/>
      <w:szCs w:val="24"/>
    </w:rPr>
  </w:style>
  <w:style w:type="paragraph" w:customStyle="1" w:styleId="xl108">
    <w:name w:val="xl108"/>
    <w:basedOn w:val="Normal"/>
    <w:rsid w:val="000B0B08"/>
    <w:pPr>
      <w:pBdr>
        <w:top w:val="single" w:sz="4" w:space="0" w:color="auto"/>
        <w:left w:val="single" w:sz="8" w:space="0" w:color="auto"/>
        <w:right w:val="single" w:sz="4" w:space="0" w:color="auto"/>
      </w:pBdr>
      <w:spacing w:before="100" w:beforeAutospacing="1" w:after="100" w:afterAutospacing="1"/>
      <w:jc w:val="center"/>
    </w:pPr>
    <w:rPr>
      <w:rFonts w:ascii="Arial" w:eastAsia="Times New Roman" w:hAnsi="Arial" w:cs="Arial"/>
      <w:b/>
      <w:bCs/>
      <w:sz w:val="24"/>
      <w:szCs w:val="24"/>
    </w:rPr>
  </w:style>
  <w:style w:type="paragraph" w:customStyle="1" w:styleId="xl109">
    <w:name w:val="xl109"/>
    <w:basedOn w:val="Normal"/>
    <w:rsid w:val="000B0B08"/>
    <w:pPr>
      <w:pBdr>
        <w:top w:val="single" w:sz="4" w:space="0" w:color="auto"/>
        <w:right w:val="single" w:sz="4" w:space="0" w:color="auto"/>
      </w:pBdr>
      <w:spacing w:before="100" w:beforeAutospacing="1" w:after="100" w:afterAutospacing="1"/>
      <w:jc w:val="center"/>
    </w:pPr>
    <w:rPr>
      <w:rFonts w:ascii="Arial" w:eastAsia="Times New Roman" w:hAnsi="Arial" w:cs="Arial"/>
      <w:b/>
      <w:bCs/>
      <w:sz w:val="24"/>
      <w:szCs w:val="24"/>
    </w:rPr>
  </w:style>
  <w:style w:type="paragraph" w:customStyle="1" w:styleId="xl110">
    <w:name w:val="xl110"/>
    <w:basedOn w:val="Normal"/>
    <w:rsid w:val="000B0B08"/>
    <w:pPr>
      <w:pBdr>
        <w:top w:val="single" w:sz="4" w:space="0" w:color="auto"/>
        <w:left w:val="single" w:sz="4" w:space="0" w:color="auto"/>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11">
    <w:name w:val="xl111"/>
    <w:basedOn w:val="Normal"/>
    <w:rsid w:val="000B0B08"/>
    <w:pPr>
      <w:pBdr>
        <w:top w:val="single" w:sz="4" w:space="0" w:color="auto"/>
        <w:left w:val="single" w:sz="4" w:space="0" w:color="auto"/>
        <w:right w:val="single" w:sz="8" w:space="0" w:color="auto"/>
      </w:pBdr>
      <w:spacing w:before="100" w:beforeAutospacing="1" w:after="100" w:afterAutospacing="1"/>
      <w:jc w:val="center"/>
    </w:pPr>
    <w:rPr>
      <w:rFonts w:ascii="Arial" w:eastAsia="Times New Roman" w:hAnsi="Arial" w:cs="Arial"/>
      <w:b/>
      <w:bCs/>
      <w:sz w:val="24"/>
      <w:szCs w:val="24"/>
    </w:rPr>
  </w:style>
  <w:style w:type="paragraph" w:customStyle="1" w:styleId="xl112">
    <w:name w:val="xl112"/>
    <w:basedOn w:val="Normal"/>
    <w:rsid w:val="000B0B08"/>
    <w:pPr>
      <w:spacing w:before="100" w:beforeAutospacing="1" w:after="100" w:afterAutospacing="1"/>
      <w:jc w:val="center"/>
    </w:pPr>
    <w:rPr>
      <w:rFonts w:ascii="Arial" w:eastAsia="Times New Roman" w:hAnsi="Arial" w:cs="Arial"/>
      <w:b/>
      <w:bCs/>
      <w:sz w:val="24"/>
      <w:szCs w:val="24"/>
    </w:rPr>
  </w:style>
  <w:style w:type="paragraph" w:customStyle="1" w:styleId="xl113">
    <w:name w:val="xl113"/>
    <w:basedOn w:val="Normal"/>
    <w:rsid w:val="000B0B08"/>
    <w:pPr>
      <w:shd w:val="clear" w:color="000000" w:fill="8DB4E3"/>
      <w:spacing w:before="100" w:beforeAutospacing="1" w:after="100" w:afterAutospacing="1"/>
      <w:jc w:val="center"/>
    </w:pPr>
    <w:rPr>
      <w:rFonts w:ascii="Times New Roman" w:eastAsia="Times New Roman" w:hAnsi="Times New Roman"/>
      <w:sz w:val="24"/>
      <w:szCs w:val="24"/>
    </w:rPr>
  </w:style>
  <w:style w:type="paragraph" w:customStyle="1" w:styleId="xl114">
    <w:name w:val="xl114"/>
    <w:basedOn w:val="Normal"/>
    <w:uiPriority w:val="99"/>
    <w:rsid w:val="000B0B08"/>
    <w:pPr>
      <w:pBdr>
        <w:top w:val="single" w:sz="4" w:space="0" w:color="auto"/>
        <w:left w:val="single" w:sz="4" w:space="0" w:color="auto"/>
        <w:right w:val="single" w:sz="4" w:space="0" w:color="auto"/>
      </w:pBdr>
      <w:shd w:val="clear" w:color="000000" w:fill="8DB4E3"/>
      <w:spacing w:before="100" w:beforeAutospacing="1" w:after="100" w:afterAutospacing="1"/>
      <w:jc w:val="center"/>
    </w:pPr>
    <w:rPr>
      <w:rFonts w:ascii="Arial" w:eastAsia="Times New Roman" w:hAnsi="Arial" w:cs="Arial"/>
      <w:b/>
      <w:bCs/>
      <w:sz w:val="24"/>
      <w:szCs w:val="24"/>
    </w:rPr>
  </w:style>
  <w:style w:type="paragraph" w:customStyle="1" w:styleId="xl115">
    <w:name w:val="xl115"/>
    <w:basedOn w:val="Normal"/>
    <w:uiPriority w:val="99"/>
    <w:rsid w:val="000B0B08"/>
    <w:pPr>
      <w:pBdr>
        <w:top w:val="single" w:sz="4" w:space="0" w:color="auto"/>
        <w:left w:val="single" w:sz="4" w:space="0" w:color="auto"/>
      </w:pBdr>
      <w:shd w:val="clear" w:color="000000" w:fill="8DB4E3"/>
      <w:spacing w:before="100" w:beforeAutospacing="1" w:after="100" w:afterAutospacing="1"/>
      <w:jc w:val="center"/>
    </w:pPr>
    <w:rPr>
      <w:rFonts w:ascii="Arial" w:eastAsia="Times New Roman" w:hAnsi="Arial" w:cs="Arial"/>
      <w:b/>
      <w:bCs/>
      <w:sz w:val="24"/>
      <w:szCs w:val="24"/>
    </w:rPr>
  </w:style>
  <w:style w:type="paragraph" w:customStyle="1" w:styleId="xl116">
    <w:name w:val="xl116"/>
    <w:basedOn w:val="Normal"/>
    <w:uiPriority w:val="99"/>
    <w:rsid w:val="000B0B0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jc w:val="center"/>
    </w:pPr>
    <w:rPr>
      <w:rFonts w:ascii="Times New Roman" w:eastAsia="Times New Roman" w:hAnsi="Times New Roman"/>
      <w:sz w:val="24"/>
      <w:szCs w:val="24"/>
    </w:rPr>
  </w:style>
  <w:style w:type="paragraph" w:customStyle="1" w:styleId="xl117">
    <w:name w:val="xl117"/>
    <w:basedOn w:val="Normal"/>
    <w:uiPriority w:val="99"/>
    <w:rsid w:val="000B0B08"/>
    <w:pPr>
      <w:pBdr>
        <w:top w:val="single" w:sz="4" w:space="0" w:color="auto"/>
        <w:bottom w:val="single" w:sz="4" w:space="0" w:color="auto"/>
        <w:right w:val="single" w:sz="4" w:space="0" w:color="auto"/>
      </w:pBdr>
      <w:shd w:val="clear" w:color="000000" w:fill="EEECE1"/>
      <w:spacing w:before="100" w:beforeAutospacing="1" w:after="100" w:afterAutospacing="1"/>
      <w:jc w:val="center"/>
    </w:pPr>
    <w:rPr>
      <w:rFonts w:ascii="Times New Roman" w:eastAsia="Times New Roman" w:hAnsi="Times New Roman"/>
      <w:sz w:val="24"/>
      <w:szCs w:val="24"/>
    </w:rPr>
  </w:style>
  <w:style w:type="paragraph" w:customStyle="1" w:styleId="xl118">
    <w:name w:val="xl118"/>
    <w:basedOn w:val="Normal"/>
    <w:uiPriority w:val="99"/>
    <w:rsid w:val="000B0B0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eastAsia="Times New Roman" w:hAnsi="Arial" w:cs="Arial"/>
      <w:sz w:val="24"/>
      <w:szCs w:val="24"/>
    </w:rPr>
  </w:style>
  <w:style w:type="paragraph" w:customStyle="1" w:styleId="xl119">
    <w:name w:val="xl119"/>
    <w:basedOn w:val="Normal"/>
    <w:uiPriority w:val="99"/>
    <w:rsid w:val="000B0B0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pPr>
    <w:rPr>
      <w:rFonts w:ascii="Arial" w:eastAsia="Times New Roman" w:hAnsi="Arial" w:cs="Arial"/>
      <w:sz w:val="24"/>
      <w:szCs w:val="24"/>
    </w:rPr>
  </w:style>
  <w:style w:type="paragraph" w:customStyle="1" w:styleId="xl120">
    <w:name w:val="xl120"/>
    <w:basedOn w:val="Normal"/>
    <w:uiPriority w:val="99"/>
    <w:rsid w:val="000B0B08"/>
    <w:pPr>
      <w:shd w:val="clear" w:color="000000" w:fill="EEECE1"/>
      <w:spacing w:before="100" w:beforeAutospacing="1" w:after="100" w:afterAutospacing="1"/>
      <w:jc w:val="center"/>
    </w:pPr>
    <w:rPr>
      <w:rFonts w:ascii="Times New Roman" w:eastAsia="Times New Roman" w:hAnsi="Times New Roman"/>
      <w:sz w:val="24"/>
      <w:szCs w:val="24"/>
    </w:rPr>
  </w:style>
  <w:style w:type="paragraph" w:customStyle="1" w:styleId="xl121">
    <w:name w:val="xl121"/>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22">
    <w:name w:val="xl122"/>
    <w:basedOn w:val="Normal"/>
    <w:uiPriority w:val="99"/>
    <w:rsid w:val="000B0B08"/>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23">
    <w:name w:val="xl123"/>
    <w:basedOn w:val="Normal"/>
    <w:uiPriority w:val="99"/>
    <w:rsid w:val="000B0B08"/>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24">
    <w:name w:val="xl124"/>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25">
    <w:name w:val="xl125"/>
    <w:basedOn w:val="Normal"/>
    <w:uiPriority w:val="99"/>
    <w:rsid w:val="000B0B08"/>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26">
    <w:name w:val="xl126"/>
    <w:basedOn w:val="Normal"/>
    <w:uiPriority w:val="99"/>
    <w:rsid w:val="000B0B08"/>
    <w:pPr>
      <w:pBdr>
        <w:top w:val="single" w:sz="4" w:space="0" w:color="auto"/>
        <w:lef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27">
    <w:name w:val="xl127"/>
    <w:basedOn w:val="Normal"/>
    <w:uiPriority w:val="99"/>
    <w:rsid w:val="000B0B08"/>
    <w:pPr>
      <w:pBdr>
        <w:top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28">
    <w:name w:val="xl128"/>
    <w:basedOn w:val="Normal"/>
    <w:uiPriority w:val="99"/>
    <w:rsid w:val="000B0B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29">
    <w:name w:val="xl129"/>
    <w:basedOn w:val="Normal"/>
    <w:uiPriority w:val="99"/>
    <w:rsid w:val="000B0B08"/>
    <w:pPr>
      <w:pBdr>
        <w:top w:val="single" w:sz="4" w:space="0" w:color="auto"/>
        <w:bottom w:val="single" w:sz="4" w:space="0" w:color="auto"/>
      </w:pBdr>
      <w:shd w:val="clear" w:color="000000" w:fill="D8D8D8"/>
      <w:spacing w:before="100" w:beforeAutospacing="1" w:after="100" w:afterAutospacing="1"/>
      <w:jc w:val="center"/>
    </w:pPr>
    <w:rPr>
      <w:rFonts w:ascii="Times New Roman" w:eastAsia="Times New Roman" w:hAnsi="Times New Roman"/>
      <w:sz w:val="24"/>
      <w:szCs w:val="24"/>
    </w:rPr>
  </w:style>
  <w:style w:type="paragraph" w:customStyle="1" w:styleId="xl130">
    <w:name w:val="xl130"/>
    <w:basedOn w:val="Normal"/>
    <w:uiPriority w:val="99"/>
    <w:rsid w:val="000B0B08"/>
    <w:pPr>
      <w:pBdr>
        <w:top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31">
    <w:name w:val="xl131"/>
    <w:basedOn w:val="Normal"/>
    <w:uiPriority w:val="99"/>
    <w:rsid w:val="000B0B08"/>
    <w:pPr>
      <w:pBdr>
        <w:top w:val="single" w:sz="4" w:space="0" w:color="auto"/>
      </w:pBdr>
      <w:shd w:val="clear" w:color="000000" w:fill="D8D8D8"/>
      <w:spacing w:before="100" w:beforeAutospacing="1" w:after="100" w:afterAutospacing="1"/>
      <w:jc w:val="center"/>
    </w:pPr>
    <w:rPr>
      <w:rFonts w:ascii="Times New Roman" w:eastAsia="Times New Roman" w:hAnsi="Times New Roman"/>
      <w:sz w:val="24"/>
      <w:szCs w:val="24"/>
    </w:rPr>
  </w:style>
  <w:style w:type="paragraph" w:customStyle="1" w:styleId="xl132">
    <w:name w:val="xl132"/>
    <w:basedOn w:val="Normal"/>
    <w:uiPriority w:val="99"/>
    <w:rsid w:val="000B0B0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33">
    <w:name w:val="xl133"/>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Times New Roman" w:hAnsi="Times New Roman"/>
      <w:sz w:val="24"/>
      <w:szCs w:val="24"/>
    </w:rPr>
  </w:style>
  <w:style w:type="paragraph" w:customStyle="1" w:styleId="xl134">
    <w:name w:val="xl134"/>
    <w:basedOn w:val="Normal"/>
    <w:uiPriority w:val="99"/>
    <w:rsid w:val="000B0B08"/>
    <w:pPr>
      <w:pBdr>
        <w:top w:val="single" w:sz="4" w:space="0" w:color="auto"/>
        <w:bottom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35">
    <w:name w:val="xl135"/>
    <w:basedOn w:val="Normal"/>
    <w:uiPriority w:val="99"/>
    <w:rsid w:val="000B0B0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36">
    <w:name w:val="xl136"/>
    <w:basedOn w:val="Normal"/>
    <w:uiPriority w:val="99"/>
    <w:rsid w:val="000B0B08"/>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37">
    <w:name w:val="xl137"/>
    <w:basedOn w:val="Normal"/>
    <w:uiPriority w:val="99"/>
    <w:rsid w:val="000B0B0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Times New Roman" w:eastAsia="Times New Roman" w:hAnsi="Times New Roman"/>
      <w:sz w:val="24"/>
      <w:szCs w:val="24"/>
    </w:rPr>
  </w:style>
  <w:style w:type="paragraph" w:customStyle="1" w:styleId="xl138">
    <w:name w:val="xl138"/>
    <w:basedOn w:val="Normal"/>
    <w:uiPriority w:val="99"/>
    <w:rsid w:val="000B0B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39">
    <w:name w:val="xl139"/>
    <w:basedOn w:val="Normal"/>
    <w:uiPriority w:val="99"/>
    <w:rsid w:val="000B0B08"/>
    <w:pPr>
      <w:pBdr>
        <w:top w:val="single" w:sz="4" w:space="0" w:color="auto"/>
        <w:bottom w:val="single" w:sz="4" w:space="0" w:color="auto"/>
      </w:pBdr>
      <w:shd w:val="clear" w:color="000000" w:fill="FF0000"/>
      <w:spacing w:before="100" w:beforeAutospacing="1" w:after="100" w:afterAutospacing="1"/>
      <w:jc w:val="center"/>
    </w:pPr>
    <w:rPr>
      <w:rFonts w:ascii="Times New Roman" w:eastAsia="Times New Roman" w:hAnsi="Times New Roman"/>
      <w:sz w:val="24"/>
      <w:szCs w:val="24"/>
    </w:rPr>
  </w:style>
  <w:style w:type="paragraph" w:customStyle="1" w:styleId="xl140">
    <w:name w:val="xl140"/>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eastAsia="Times New Roman" w:hAnsi="Arial" w:cs="Arial"/>
      <w:sz w:val="24"/>
      <w:szCs w:val="24"/>
    </w:rPr>
  </w:style>
  <w:style w:type="paragraph" w:customStyle="1" w:styleId="xl141">
    <w:name w:val="xl141"/>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Times New Roman" w:hAnsi="Times New Roman"/>
      <w:sz w:val="24"/>
      <w:szCs w:val="24"/>
    </w:rPr>
  </w:style>
  <w:style w:type="paragraph" w:customStyle="1" w:styleId="xl142">
    <w:name w:val="xl142"/>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eastAsia="Times New Roman" w:hAnsi="Arial" w:cs="Arial"/>
      <w:sz w:val="24"/>
      <w:szCs w:val="24"/>
    </w:rPr>
  </w:style>
  <w:style w:type="paragraph" w:customStyle="1" w:styleId="xl143">
    <w:name w:val="xl143"/>
    <w:basedOn w:val="Normal"/>
    <w:uiPriority w:val="99"/>
    <w:rsid w:val="000B0B08"/>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44">
    <w:name w:val="xl144"/>
    <w:basedOn w:val="Normal"/>
    <w:uiPriority w:val="99"/>
    <w:rsid w:val="000B0B08"/>
    <w:pPr>
      <w:pBdr>
        <w:top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45">
    <w:name w:val="xl145"/>
    <w:basedOn w:val="Normal"/>
    <w:uiPriority w:val="99"/>
    <w:rsid w:val="000B0B08"/>
    <w:pP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46">
    <w:name w:val="xl146"/>
    <w:basedOn w:val="Normal"/>
    <w:uiPriority w:val="99"/>
    <w:rsid w:val="000B0B0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47">
    <w:name w:val="xl147"/>
    <w:basedOn w:val="Normal"/>
    <w:uiPriority w:val="99"/>
    <w:rsid w:val="000B0B08"/>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48">
    <w:name w:val="xl148"/>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sz w:val="24"/>
      <w:szCs w:val="24"/>
    </w:rPr>
  </w:style>
  <w:style w:type="paragraph" w:customStyle="1" w:styleId="xl149">
    <w:name w:val="xl149"/>
    <w:basedOn w:val="Normal"/>
    <w:uiPriority w:val="99"/>
    <w:rsid w:val="000B0B0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50">
    <w:name w:val="xl150"/>
    <w:basedOn w:val="Normal"/>
    <w:uiPriority w:val="99"/>
    <w:rsid w:val="000B0B0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51">
    <w:name w:val="xl151"/>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Times New Roman" w:hAnsi="Times New Roman"/>
      <w:sz w:val="24"/>
      <w:szCs w:val="24"/>
    </w:rPr>
  </w:style>
  <w:style w:type="paragraph" w:customStyle="1" w:styleId="xl152">
    <w:name w:val="xl152"/>
    <w:basedOn w:val="Normal"/>
    <w:uiPriority w:val="99"/>
    <w:rsid w:val="000B0B08"/>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53">
    <w:name w:val="xl153"/>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54">
    <w:name w:val="xl154"/>
    <w:basedOn w:val="Normal"/>
    <w:uiPriority w:val="99"/>
    <w:rsid w:val="000B0B08"/>
    <w:pPr>
      <w:pBdr>
        <w:top w:val="single" w:sz="4" w:space="0" w:color="auto"/>
        <w:bottom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55">
    <w:name w:val="xl155"/>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sz w:val="24"/>
      <w:szCs w:val="24"/>
    </w:rPr>
  </w:style>
  <w:style w:type="paragraph" w:customStyle="1" w:styleId="xl156">
    <w:name w:val="xl156"/>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4"/>
      <w:szCs w:val="24"/>
    </w:rPr>
  </w:style>
  <w:style w:type="paragraph" w:customStyle="1" w:styleId="xl157">
    <w:name w:val="xl157"/>
    <w:basedOn w:val="Normal"/>
    <w:uiPriority w:val="99"/>
    <w:rsid w:val="000B0B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color w:val="FF0000"/>
      <w:sz w:val="24"/>
      <w:szCs w:val="24"/>
    </w:rPr>
  </w:style>
  <w:style w:type="paragraph" w:customStyle="1" w:styleId="xl158">
    <w:name w:val="xl158"/>
    <w:basedOn w:val="Normal"/>
    <w:uiPriority w:val="99"/>
    <w:rsid w:val="000B0B08"/>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59">
    <w:name w:val="xl159"/>
    <w:basedOn w:val="Normal"/>
    <w:uiPriority w:val="99"/>
    <w:rsid w:val="000B0B08"/>
    <w:pPr>
      <w:pBdr>
        <w:top w:val="single" w:sz="8" w:space="0" w:color="auto"/>
        <w:left w:val="single" w:sz="4" w:space="0" w:color="auto"/>
        <w:right w:val="single" w:sz="4" w:space="0" w:color="auto"/>
      </w:pBdr>
      <w:shd w:val="clear" w:color="000000" w:fill="99CCFF"/>
      <w:spacing w:before="100" w:beforeAutospacing="1" w:after="100" w:afterAutospacing="1"/>
      <w:textAlignment w:val="top"/>
    </w:pPr>
    <w:rPr>
      <w:rFonts w:ascii="Arial" w:eastAsia="Times New Roman" w:hAnsi="Arial" w:cs="Arial"/>
      <w:b/>
      <w:bCs/>
      <w:sz w:val="24"/>
      <w:szCs w:val="24"/>
    </w:rPr>
  </w:style>
  <w:style w:type="paragraph" w:customStyle="1" w:styleId="xl160">
    <w:name w:val="xl160"/>
    <w:basedOn w:val="Normal"/>
    <w:uiPriority w:val="99"/>
    <w:rsid w:val="000B0B08"/>
    <w:pPr>
      <w:pBdr>
        <w:left w:val="single" w:sz="4" w:space="0" w:color="auto"/>
        <w:right w:val="single" w:sz="4" w:space="0" w:color="auto"/>
      </w:pBdr>
      <w:shd w:val="clear" w:color="000000" w:fill="99CCFF"/>
      <w:spacing w:before="100" w:beforeAutospacing="1" w:after="100" w:afterAutospacing="1"/>
      <w:textAlignment w:val="top"/>
    </w:pPr>
    <w:rPr>
      <w:rFonts w:ascii="Arial" w:eastAsia="Times New Roman" w:hAnsi="Arial" w:cs="Arial"/>
      <w:b/>
      <w:bCs/>
      <w:sz w:val="24"/>
      <w:szCs w:val="24"/>
    </w:rPr>
  </w:style>
  <w:style w:type="paragraph" w:customStyle="1" w:styleId="xl161">
    <w:name w:val="xl161"/>
    <w:basedOn w:val="Normal"/>
    <w:uiPriority w:val="99"/>
    <w:rsid w:val="000B0B08"/>
    <w:pPr>
      <w:pBdr>
        <w:left w:val="single" w:sz="4" w:space="0" w:color="auto"/>
        <w:bottom w:val="single" w:sz="4" w:space="0" w:color="auto"/>
        <w:right w:val="single" w:sz="4" w:space="0" w:color="auto"/>
      </w:pBdr>
      <w:shd w:val="clear" w:color="000000" w:fill="99CCFF"/>
      <w:spacing w:before="100" w:beforeAutospacing="1" w:after="100" w:afterAutospacing="1"/>
      <w:textAlignment w:val="top"/>
    </w:pPr>
    <w:rPr>
      <w:rFonts w:ascii="Arial" w:eastAsia="Times New Roman" w:hAnsi="Arial" w:cs="Arial"/>
      <w:b/>
      <w:bCs/>
      <w:sz w:val="24"/>
      <w:szCs w:val="24"/>
    </w:rPr>
  </w:style>
  <w:style w:type="paragraph" w:customStyle="1" w:styleId="xl162">
    <w:name w:val="xl162"/>
    <w:basedOn w:val="Normal"/>
    <w:uiPriority w:val="99"/>
    <w:rsid w:val="000B0B08"/>
    <w:pPr>
      <w:pBdr>
        <w:top w:val="single" w:sz="8" w:space="0" w:color="auto"/>
        <w:left w:val="single" w:sz="4" w:space="0" w:color="auto"/>
        <w:right w:val="single" w:sz="8"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63">
    <w:name w:val="xl163"/>
    <w:basedOn w:val="Normal"/>
    <w:uiPriority w:val="99"/>
    <w:rsid w:val="000B0B08"/>
    <w:pPr>
      <w:pBdr>
        <w:left w:val="single" w:sz="4" w:space="0" w:color="auto"/>
        <w:right w:val="single" w:sz="8"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64">
    <w:name w:val="xl164"/>
    <w:basedOn w:val="Normal"/>
    <w:uiPriority w:val="99"/>
    <w:rsid w:val="000B0B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eastAsia="Times New Roman" w:hAnsi="Arial" w:cs="Arial"/>
      <w:b/>
      <w:bCs/>
      <w:sz w:val="24"/>
      <w:szCs w:val="24"/>
    </w:rPr>
  </w:style>
  <w:style w:type="paragraph" w:customStyle="1" w:styleId="xl165">
    <w:name w:val="xl165"/>
    <w:basedOn w:val="Normal"/>
    <w:uiPriority w:val="99"/>
    <w:rsid w:val="000B0B08"/>
    <w:pPr>
      <w:pBdr>
        <w:top w:val="single" w:sz="4" w:space="0" w:color="auto"/>
        <w:left w:val="single" w:sz="4" w:space="0" w:color="auto"/>
        <w:right w:val="single" w:sz="8" w:space="0" w:color="auto"/>
      </w:pBdr>
      <w:shd w:val="clear" w:color="000000" w:fill="D8D8D8"/>
      <w:spacing w:before="100" w:beforeAutospacing="1" w:after="100" w:afterAutospacing="1"/>
      <w:jc w:val="center"/>
      <w:textAlignment w:val="top"/>
    </w:pPr>
    <w:rPr>
      <w:rFonts w:ascii="Arial" w:eastAsia="Times New Roman" w:hAnsi="Arial" w:cs="Arial"/>
      <w:b/>
      <w:bCs/>
      <w:sz w:val="24"/>
      <w:szCs w:val="24"/>
    </w:rPr>
  </w:style>
  <w:style w:type="paragraph" w:customStyle="1" w:styleId="xl166">
    <w:name w:val="xl166"/>
    <w:basedOn w:val="Normal"/>
    <w:uiPriority w:val="99"/>
    <w:rsid w:val="000B0B08"/>
    <w:pPr>
      <w:pBdr>
        <w:left w:val="single" w:sz="4" w:space="0" w:color="auto"/>
        <w:right w:val="single" w:sz="8" w:space="0" w:color="auto"/>
      </w:pBdr>
      <w:shd w:val="clear" w:color="000000" w:fill="D8D8D8"/>
      <w:spacing w:before="100" w:beforeAutospacing="1" w:after="100" w:afterAutospacing="1"/>
      <w:jc w:val="center"/>
      <w:textAlignment w:val="top"/>
    </w:pPr>
    <w:rPr>
      <w:rFonts w:ascii="Arial" w:eastAsia="Times New Roman" w:hAnsi="Arial" w:cs="Arial"/>
      <w:b/>
      <w:bCs/>
      <w:sz w:val="24"/>
      <w:szCs w:val="24"/>
    </w:rPr>
  </w:style>
  <w:style w:type="paragraph" w:customStyle="1" w:styleId="xl167">
    <w:name w:val="xl167"/>
    <w:basedOn w:val="Normal"/>
    <w:uiPriority w:val="99"/>
    <w:rsid w:val="000B0B08"/>
    <w:pPr>
      <w:shd w:val="clear" w:color="000000" w:fill="FFC000"/>
      <w:spacing w:before="100" w:beforeAutospacing="1" w:after="100" w:afterAutospacing="1"/>
      <w:jc w:val="center"/>
    </w:pPr>
    <w:rPr>
      <w:rFonts w:ascii="Arial" w:eastAsia="Times New Roman" w:hAnsi="Arial" w:cs="Arial"/>
      <w:sz w:val="24"/>
      <w:szCs w:val="24"/>
    </w:rPr>
  </w:style>
  <w:style w:type="paragraph" w:customStyle="1" w:styleId="xl168">
    <w:name w:val="xl168"/>
    <w:basedOn w:val="Normal"/>
    <w:uiPriority w:val="99"/>
    <w:rsid w:val="000B0B08"/>
    <w:pPr>
      <w:shd w:val="clear" w:color="000000" w:fill="FFC000"/>
      <w:spacing w:before="100" w:beforeAutospacing="1" w:after="100" w:afterAutospacing="1"/>
      <w:jc w:val="center"/>
    </w:pPr>
    <w:rPr>
      <w:rFonts w:ascii="Times New Roman" w:eastAsia="Times New Roman" w:hAnsi="Times New Roman"/>
      <w:sz w:val="24"/>
      <w:szCs w:val="24"/>
    </w:rPr>
  </w:style>
  <w:style w:type="paragraph" w:customStyle="1" w:styleId="xl169">
    <w:name w:val="xl169"/>
    <w:basedOn w:val="Normal"/>
    <w:uiPriority w:val="99"/>
    <w:rsid w:val="000B0B0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rFonts w:ascii="Arial" w:eastAsia="Times New Roman" w:hAnsi="Arial" w:cs="Arial"/>
      <w:b/>
      <w:bCs/>
      <w:sz w:val="24"/>
      <w:szCs w:val="24"/>
    </w:rPr>
  </w:style>
  <w:style w:type="paragraph" w:customStyle="1" w:styleId="xl170">
    <w:name w:val="xl170"/>
    <w:basedOn w:val="Normal"/>
    <w:uiPriority w:val="99"/>
    <w:rsid w:val="000B0B08"/>
    <w:pPr>
      <w:pBdr>
        <w:left w:val="single" w:sz="4" w:space="0" w:color="auto"/>
        <w:right w:val="single" w:sz="4" w:space="0" w:color="auto"/>
      </w:pBdr>
      <w:shd w:val="clear" w:color="000000" w:fill="C5D9F1"/>
      <w:spacing w:before="100" w:beforeAutospacing="1" w:after="100" w:afterAutospacing="1"/>
      <w:jc w:val="center"/>
      <w:textAlignment w:val="top"/>
    </w:pPr>
    <w:rPr>
      <w:rFonts w:ascii="Arial" w:eastAsia="Times New Roman" w:hAnsi="Arial" w:cs="Arial"/>
      <w:b/>
      <w:bCs/>
      <w:sz w:val="24"/>
      <w:szCs w:val="24"/>
    </w:rPr>
  </w:style>
  <w:style w:type="paragraph" w:customStyle="1" w:styleId="xl171">
    <w:name w:val="xl171"/>
    <w:basedOn w:val="Normal"/>
    <w:uiPriority w:val="99"/>
    <w:rsid w:val="000B0B08"/>
    <w:pPr>
      <w:pBdr>
        <w:top w:val="single" w:sz="4" w:space="0" w:color="auto"/>
        <w:bottom w:val="single" w:sz="4"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72">
    <w:name w:val="xl172"/>
    <w:basedOn w:val="Normal"/>
    <w:uiPriority w:val="99"/>
    <w:rsid w:val="000B0B08"/>
    <w:pPr>
      <w:pBdr>
        <w:top w:val="single" w:sz="8" w:space="0" w:color="auto"/>
        <w:left w:val="single" w:sz="8" w:space="0" w:color="auto"/>
        <w:bottom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73">
    <w:name w:val="xl173"/>
    <w:basedOn w:val="Normal"/>
    <w:uiPriority w:val="99"/>
    <w:rsid w:val="000B0B08"/>
    <w:pPr>
      <w:pBdr>
        <w:top w:val="single" w:sz="8" w:space="0" w:color="auto"/>
        <w:bottom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74">
    <w:name w:val="xl174"/>
    <w:basedOn w:val="Normal"/>
    <w:uiPriority w:val="99"/>
    <w:rsid w:val="000B0B08"/>
    <w:pPr>
      <w:pBdr>
        <w:top w:val="single" w:sz="4" w:space="0" w:color="auto"/>
        <w:left w:val="single" w:sz="8"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75">
    <w:name w:val="xl175"/>
    <w:basedOn w:val="Normal"/>
    <w:uiPriority w:val="99"/>
    <w:rsid w:val="000B0B08"/>
    <w:pPr>
      <w:pBdr>
        <w:left w:val="single" w:sz="8" w:space="0" w:color="auto"/>
        <w:bottom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76">
    <w:name w:val="xl176"/>
    <w:basedOn w:val="Normal"/>
    <w:uiPriority w:val="99"/>
    <w:rsid w:val="000B0B08"/>
    <w:pPr>
      <w:pBdr>
        <w:top w:val="single" w:sz="4" w:space="0" w:color="auto"/>
        <w:left w:val="single" w:sz="4"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77">
    <w:name w:val="xl177"/>
    <w:basedOn w:val="Normal"/>
    <w:uiPriority w:val="99"/>
    <w:rsid w:val="000B0B08"/>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78">
    <w:name w:val="xl178"/>
    <w:basedOn w:val="Normal"/>
    <w:uiPriority w:val="99"/>
    <w:rsid w:val="000B0B08"/>
    <w:pPr>
      <w:pBdr>
        <w:top w:val="single" w:sz="4" w:space="0" w:color="auto"/>
        <w:left w:val="single" w:sz="4" w:space="0" w:color="auto"/>
      </w:pBdr>
      <w:shd w:val="clear" w:color="000000" w:fill="C5D9F1"/>
      <w:spacing w:before="100" w:beforeAutospacing="1" w:after="100" w:afterAutospacing="1"/>
      <w:jc w:val="center"/>
      <w:textAlignment w:val="top"/>
    </w:pPr>
    <w:rPr>
      <w:rFonts w:ascii="Arial" w:eastAsia="Times New Roman" w:hAnsi="Arial" w:cs="Arial"/>
      <w:b/>
      <w:bCs/>
      <w:sz w:val="24"/>
      <w:szCs w:val="24"/>
    </w:rPr>
  </w:style>
  <w:style w:type="paragraph" w:customStyle="1" w:styleId="xl179">
    <w:name w:val="xl179"/>
    <w:basedOn w:val="Normal"/>
    <w:uiPriority w:val="99"/>
    <w:rsid w:val="000B0B08"/>
    <w:pPr>
      <w:pBdr>
        <w:left w:val="single" w:sz="4" w:space="0" w:color="auto"/>
      </w:pBdr>
      <w:shd w:val="clear" w:color="000000" w:fill="C5D9F1"/>
      <w:spacing w:before="100" w:beforeAutospacing="1" w:after="100" w:afterAutospacing="1"/>
      <w:jc w:val="center"/>
      <w:textAlignment w:val="top"/>
    </w:pPr>
    <w:rPr>
      <w:rFonts w:ascii="Arial" w:eastAsia="Times New Roman" w:hAnsi="Arial" w:cs="Arial"/>
      <w:b/>
      <w:bCs/>
      <w:sz w:val="24"/>
      <w:szCs w:val="24"/>
    </w:rPr>
  </w:style>
  <w:style w:type="paragraph" w:customStyle="1" w:styleId="xl180">
    <w:name w:val="xl180"/>
    <w:basedOn w:val="Normal"/>
    <w:uiPriority w:val="99"/>
    <w:rsid w:val="000B0B08"/>
    <w:pPr>
      <w:pBdr>
        <w:top w:val="single" w:sz="8" w:space="0" w:color="auto"/>
        <w:bottom w:val="single" w:sz="4" w:space="0" w:color="auto"/>
        <w:right w:val="single" w:sz="8"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81">
    <w:name w:val="xl181"/>
    <w:basedOn w:val="Normal"/>
    <w:uiPriority w:val="99"/>
    <w:rsid w:val="000B0B08"/>
    <w:pPr>
      <w:pBdr>
        <w:top w:val="single" w:sz="4" w:space="0" w:color="auto"/>
        <w:left w:val="single" w:sz="8" w:space="0" w:color="auto"/>
        <w:right w:val="single" w:sz="4" w:space="0" w:color="auto"/>
      </w:pBdr>
      <w:shd w:val="clear" w:color="000000" w:fill="C5D9F1"/>
      <w:spacing w:before="100" w:beforeAutospacing="1" w:after="100" w:afterAutospacing="1"/>
      <w:jc w:val="center"/>
      <w:textAlignment w:val="top"/>
    </w:pPr>
    <w:rPr>
      <w:rFonts w:ascii="Arial" w:eastAsia="Times New Roman" w:hAnsi="Arial" w:cs="Arial"/>
      <w:b/>
      <w:bCs/>
      <w:sz w:val="24"/>
      <w:szCs w:val="24"/>
    </w:rPr>
  </w:style>
  <w:style w:type="paragraph" w:customStyle="1" w:styleId="xl182">
    <w:name w:val="xl182"/>
    <w:basedOn w:val="Normal"/>
    <w:uiPriority w:val="99"/>
    <w:rsid w:val="000B0B08"/>
    <w:pPr>
      <w:pBdr>
        <w:left w:val="single" w:sz="8" w:space="0" w:color="auto"/>
        <w:right w:val="single" w:sz="4" w:space="0" w:color="auto"/>
      </w:pBdr>
      <w:shd w:val="clear" w:color="000000" w:fill="C5D9F1"/>
      <w:spacing w:before="100" w:beforeAutospacing="1" w:after="100" w:afterAutospacing="1"/>
      <w:jc w:val="center"/>
      <w:textAlignment w:val="top"/>
    </w:pPr>
    <w:rPr>
      <w:rFonts w:ascii="Arial" w:eastAsia="Times New Roman" w:hAnsi="Arial" w:cs="Arial"/>
      <w:b/>
      <w:bCs/>
      <w:sz w:val="24"/>
      <w:szCs w:val="24"/>
    </w:rPr>
  </w:style>
  <w:style w:type="paragraph" w:customStyle="1" w:styleId="xl183">
    <w:name w:val="xl183"/>
    <w:basedOn w:val="Normal"/>
    <w:uiPriority w:val="99"/>
    <w:rsid w:val="000B0B08"/>
    <w:pPr>
      <w:pBdr>
        <w:top w:val="single" w:sz="8" w:space="0" w:color="auto"/>
        <w:left w:val="single" w:sz="8"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84">
    <w:name w:val="xl184"/>
    <w:basedOn w:val="Normal"/>
    <w:uiPriority w:val="99"/>
    <w:rsid w:val="000B0B08"/>
    <w:pPr>
      <w:pBdr>
        <w:left w:val="single" w:sz="8"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paragraph" w:customStyle="1" w:styleId="xl185">
    <w:name w:val="xl185"/>
    <w:basedOn w:val="Normal"/>
    <w:uiPriority w:val="99"/>
    <w:rsid w:val="000B0B08"/>
    <w:pPr>
      <w:pBdr>
        <w:left w:val="single" w:sz="8" w:space="0" w:color="auto"/>
        <w:bottom w:val="single" w:sz="4" w:space="0" w:color="auto"/>
        <w:right w:val="single" w:sz="4" w:space="0" w:color="auto"/>
      </w:pBdr>
      <w:shd w:val="clear" w:color="000000" w:fill="99CCFF"/>
      <w:spacing w:before="100" w:beforeAutospacing="1" w:after="100" w:afterAutospacing="1"/>
      <w:jc w:val="center"/>
      <w:textAlignment w:val="top"/>
    </w:pPr>
    <w:rPr>
      <w:rFonts w:ascii="Arial" w:eastAsia="Times New Roman" w:hAnsi="Arial" w:cs="Arial"/>
      <w:b/>
      <w:bCs/>
      <w:sz w:val="24"/>
      <w:szCs w:val="24"/>
    </w:rPr>
  </w:style>
  <w:style w:type="character" w:styleId="SubtleEmphasis">
    <w:name w:val="Subtle Emphasis"/>
    <w:basedOn w:val="DefaultParagraphFont"/>
    <w:uiPriority w:val="19"/>
    <w:qFormat/>
    <w:rsid w:val="000B0B08"/>
    <w:rPr>
      <w:i/>
      <w:iCs/>
      <w:color w:val="808080" w:themeColor="text1" w:themeTint="7F"/>
    </w:rPr>
  </w:style>
  <w:style w:type="character" w:styleId="IntenseEmphasis">
    <w:name w:val="Intense Emphasis"/>
    <w:basedOn w:val="DefaultParagraphFont"/>
    <w:uiPriority w:val="21"/>
    <w:qFormat/>
    <w:rsid w:val="000B0B08"/>
    <w:rPr>
      <w:b/>
      <w:bCs/>
      <w:i/>
      <w:iCs/>
      <w:color w:val="2B3990" w:themeColor="accent1"/>
    </w:rPr>
  </w:style>
  <w:style w:type="numbering" w:customStyle="1" w:styleId="NoList1">
    <w:name w:val="No List1"/>
    <w:next w:val="NoList"/>
    <w:uiPriority w:val="99"/>
    <w:semiHidden/>
    <w:unhideWhenUsed/>
    <w:rsid w:val="000B0B08"/>
  </w:style>
  <w:style w:type="table" w:customStyle="1" w:styleId="TableGrid11">
    <w:name w:val="Table Grid11"/>
    <w:uiPriority w:val="99"/>
    <w:rsid w:val="000B0B08"/>
    <w:rPr>
      <w:rFonts w:eastAsia="Times New Roman" w:cs="Tunga"/>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uiPriority w:val="99"/>
    <w:rsid w:val="000B0B08"/>
    <w:pPr>
      <w:spacing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61">
    <w:name w:val="Medium List 1 - Accent 61"/>
    <w:basedOn w:val="TableNormal"/>
    <w:next w:val="MediumList1-Accent6"/>
    <w:uiPriority w:val="99"/>
    <w:rsid w:val="000B0B08"/>
    <w:rPr>
      <w:rFonts w:eastAsia="Times New Roman"/>
      <w:color w:val="000000"/>
      <w:lang w:val="en-IN" w:eastAsia="en-IN"/>
    </w:rPr>
    <w:tblPr>
      <w:tblStyleRowBandSize w:val="1"/>
      <w:tblStyleColBandSize w:val="1"/>
      <w:tblBorders>
        <w:top w:val="single" w:sz="8" w:space="0" w:color="F79646"/>
        <w:bottom w:val="single" w:sz="8" w:space="0" w:color="F79646"/>
      </w:tblBorders>
    </w:tblPr>
    <w:tblStylePr w:type="firstRow">
      <w:rPr>
        <w:rFonts w:ascii="Gloucester MT Extra Condensed" w:eastAsia="Times New Roman" w:hAnsi="Gloucester MT Extra Condensed"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TableGrid21">
    <w:name w:val="Table Grid21"/>
    <w:uiPriority w:val="99"/>
    <w:rsid w:val="000B0B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B0B08"/>
  </w:style>
  <w:style w:type="table" w:customStyle="1" w:styleId="TableGrid3">
    <w:name w:val="Table Grid3"/>
    <w:basedOn w:val="TableNormal"/>
    <w:next w:val="TableGrid"/>
    <w:rsid w:val="000B0B08"/>
    <w:rPr>
      <w:rFonts w:ascii="Times New Roman" w:eastAsia="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rsid w:val="0087063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0">
    <w:name w:val="font0"/>
    <w:basedOn w:val="Normal"/>
    <w:rsid w:val="002855D3"/>
    <w:pPr>
      <w:spacing w:before="100" w:beforeAutospacing="1" w:after="100" w:afterAutospacing="1"/>
    </w:pPr>
    <w:rPr>
      <w:rFonts w:ascii="Calibri" w:eastAsia="Times New Roman" w:hAnsi="Calibri" w:cs="Calibri"/>
      <w:color w:val="000000"/>
      <w:sz w:val="22"/>
      <w:lang w:val="en-IN" w:eastAsia="en-IN"/>
    </w:rPr>
  </w:style>
  <w:style w:type="paragraph" w:customStyle="1" w:styleId="xl64">
    <w:name w:val="xl64"/>
    <w:basedOn w:val="Normal"/>
    <w:rsid w:val="002855D3"/>
    <w:pPr>
      <w:spacing w:before="100" w:beforeAutospacing="1" w:after="100" w:afterAutospacing="1"/>
      <w:textAlignment w:val="top"/>
    </w:pPr>
    <w:rPr>
      <w:rFonts w:ascii="Times New Roman" w:eastAsia="Times New Roman" w:hAnsi="Times New Roman"/>
      <w:sz w:val="24"/>
      <w:szCs w:val="24"/>
      <w:lang w:val="en-IN" w:eastAsia="en-IN"/>
    </w:rPr>
  </w:style>
  <w:style w:type="paragraph" w:customStyle="1" w:styleId="xl65">
    <w:name w:val="xl65"/>
    <w:basedOn w:val="Normal"/>
    <w:rsid w:val="002855D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rFonts w:ascii="Times New Roman" w:eastAsia="Times New Roman" w:hAnsi="Times New Roman"/>
      <w:color w:val="000000"/>
      <w:sz w:val="24"/>
      <w:szCs w:val="24"/>
      <w:lang w:val="en-IN" w:eastAsia="en-IN"/>
    </w:rPr>
  </w:style>
  <w:style w:type="paragraph" w:customStyle="1" w:styleId="xl66">
    <w:name w:val="xl66"/>
    <w:basedOn w:val="Normal"/>
    <w:rsid w:val="002855D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rFonts w:ascii="Times New Roman" w:eastAsia="Times New Roman" w:hAnsi="Times New Roman"/>
      <w:color w:val="000000"/>
      <w:sz w:val="24"/>
      <w:szCs w:val="24"/>
      <w:lang w:val="en-IN" w:eastAsia="en-IN"/>
    </w:rPr>
  </w:style>
  <w:style w:type="paragraph" w:customStyle="1" w:styleId="xl67">
    <w:name w:val="xl67"/>
    <w:basedOn w:val="Normal"/>
    <w:rsid w:val="002855D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rFonts w:ascii="Times New Roman" w:eastAsia="Times New Roman" w:hAnsi="Times New Roman"/>
      <w:color w:val="000000"/>
      <w:sz w:val="24"/>
      <w:szCs w:val="24"/>
      <w:lang w:val="en-IN" w:eastAsia="en-IN"/>
    </w:rPr>
  </w:style>
  <w:style w:type="paragraph" w:customStyle="1" w:styleId="xl68">
    <w:name w:val="xl68"/>
    <w:basedOn w:val="Normal"/>
    <w:rsid w:val="002855D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rFonts w:ascii="Times New Roman" w:eastAsia="Times New Roman" w:hAnsi="Times New Roman"/>
      <w:color w:val="000000"/>
      <w:sz w:val="24"/>
      <w:szCs w:val="24"/>
      <w:lang w:val="en-IN" w:eastAsia="en-IN"/>
    </w:rPr>
  </w:style>
  <w:style w:type="paragraph" w:customStyle="1" w:styleId="xl69">
    <w:name w:val="xl69"/>
    <w:basedOn w:val="Normal"/>
    <w:rsid w:val="002855D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rFonts w:ascii="Times New Roman" w:eastAsia="Times New Roman" w:hAnsi="Times New Roman"/>
      <w:sz w:val="24"/>
      <w:szCs w:val="24"/>
      <w:lang w:val="en-IN" w:eastAsia="en-IN"/>
    </w:rPr>
  </w:style>
  <w:style w:type="paragraph" w:customStyle="1" w:styleId="xl70">
    <w:name w:val="xl70"/>
    <w:basedOn w:val="Normal"/>
    <w:rsid w:val="002855D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rFonts w:ascii="Times New Roman" w:eastAsia="Times New Roman" w:hAnsi="Times New Roman"/>
      <w:sz w:val="24"/>
      <w:szCs w:val="24"/>
      <w:lang w:val="en-IN" w:eastAsia="en-IN"/>
    </w:rPr>
  </w:style>
  <w:style w:type="paragraph" w:customStyle="1" w:styleId="xl71">
    <w:name w:val="xl71"/>
    <w:basedOn w:val="Normal"/>
    <w:rsid w:val="002855D3"/>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textAlignment w:val="top"/>
    </w:pPr>
    <w:rPr>
      <w:rFonts w:ascii="Times New Roman" w:eastAsia="Times New Roman" w:hAnsi="Times New Roman"/>
      <w:color w:val="000000"/>
      <w:sz w:val="24"/>
      <w:szCs w:val="24"/>
      <w:lang w:val="en-IN" w:eastAsia="en-IN"/>
    </w:rPr>
  </w:style>
  <w:style w:type="paragraph" w:customStyle="1" w:styleId="xl72">
    <w:name w:val="xl72"/>
    <w:basedOn w:val="Normal"/>
    <w:rsid w:val="002855D3"/>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textAlignment w:val="top"/>
    </w:pPr>
    <w:rPr>
      <w:rFonts w:ascii="Times New Roman" w:eastAsia="Times New Roman" w:hAnsi="Times New Roman"/>
      <w:color w:val="000000"/>
      <w:sz w:val="24"/>
      <w:szCs w:val="24"/>
      <w:lang w:val="en-IN" w:eastAsia="en-IN"/>
    </w:rPr>
  </w:style>
  <w:style w:type="paragraph" w:customStyle="1" w:styleId="xl73">
    <w:name w:val="xl73"/>
    <w:basedOn w:val="Normal"/>
    <w:rsid w:val="002855D3"/>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textAlignment w:val="top"/>
    </w:pPr>
    <w:rPr>
      <w:rFonts w:ascii="Times New Roman" w:eastAsia="Times New Roman" w:hAnsi="Times New Roman"/>
      <w:color w:val="000000"/>
      <w:sz w:val="24"/>
      <w:szCs w:val="24"/>
      <w:lang w:val="en-IN" w:eastAsia="en-IN"/>
    </w:rPr>
  </w:style>
  <w:style w:type="paragraph" w:customStyle="1" w:styleId="xl74">
    <w:name w:val="xl74"/>
    <w:basedOn w:val="Normal"/>
    <w:rsid w:val="002855D3"/>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textAlignment w:val="top"/>
    </w:pPr>
    <w:rPr>
      <w:rFonts w:ascii="Times New Roman" w:eastAsia="Times New Roman" w:hAnsi="Times New Roman"/>
      <w:color w:val="008000"/>
      <w:sz w:val="24"/>
      <w:szCs w:val="24"/>
      <w:lang w:val="en-IN" w:eastAsia="en-IN"/>
    </w:rPr>
  </w:style>
  <w:style w:type="paragraph" w:customStyle="1" w:styleId="xl75">
    <w:name w:val="xl75"/>
    <w:basedOn w:val="Normal"/>
    <w:rsid w:val="002855D3"/>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textAlignment w:val="top"/>
    </w:pPr>
    <w:rPr>
      <w:rFonts w:ascii="Times New Roman" w:eastAsia="Times New Roman" w:hAnsi="Times New Roman"/>
      <w:color w:val="008000"/>
      <w:sz w:val="24"/>
      <w:szCs w:val="24"/>
      <w:lang w:val="en-IN" w:eastAsia="en-IN"/>
    </w:rPr>
  </w:style>
  <w:style w:type="table" w:customStyle="1" w:styleId="TableGrid4">
    <w:name w:val="Table Grid4"/>
    <w:basedOn w:val="TableNormal"/>
    <w:next w:val="TableGrid"/>
    <w:uiPriority w:val="99"/>
    <w:rsid w:val="00B17D91"/>
    <w:rPr>
      <w:rFonts w:ascii="Gill Sans MT" w:eastAsia="Times New Roman" w:hAnsi="Gill Sans MT"/>
    </w:rPr>
    <w:tblPr>
      <w:tblBorders>
        <w:top w:val="single" w:sz="8" w:space="0" w:color="2B3990" w:themeColor="accent1"/>
        <w:bottom w:val="single" w:sz="8" w:space="0" w:color="2B3990" w:themeColor="accent1"/>
        <w:insideH w:val="single" w:sz="8" w:space="0" w:color="2B3990" w:themeColor="accent1"/>
        <w:insideV w:val="single" w:sz="8" w:space="0" w:color="2B3990" w:themeColor="accent1"/>
      </w:tblBorders>
    </w:tblPr>
    <w:tblStylePr w:type="firstRow">
      <w:pPr>
        <w:jc w:val="center"/>
      </w:pPr>
      <w:rPr>
        <w:rFonts w:ascii="Bauhaus 93" w:hAnsi="Bauhaus 93"/>
        <w:b/>
        <w:sz w:val="20"/>
      </w:rPr>
      <w:tblPr/>
      <w:tcPr>
        <w:vAlign w:val="center"/>
      </w:tcPr>
    </w:tblStylePr>
  </w:style>
  <w:style w:type="paragraph" w:customStyle="1" w:styleId="TableParagraph">
    <w:name w:val="Table Paragraph"/>
    <w:basedOn w:val="Normal"/>
    <w:uiPriority w:val="1"/>
    <w:qFormat/>
    <w:rsid w:val="00EF01CA"/>
    <w:pPr>
      <w:widowControl w:val="0"/>
      <w:autoSpaceDE w:val="0"/>
      <w:autoSpaceDN w:val="0"/>
      <w:spacing w:before="0" w:after="0"/>
    </w:pPr>
    <w:rPr>
      <w:rFonts w:ascii="Calibri" w:hAnsi="Calibri" w:cs="Calibri"/>
      <w:sz w:val="22"/>
      <w:lang w:bidi="en-US"/>
    </w:rPr>
  </w:style>
  <w:style w:type="paragraph" w:customStyle="1" w:styleId="m-7769361439298232180m-7252191122409359175gmail-msolistparagraph">
    <w:name w:val="m_-7769361439298232180m-7252191122409359175gmail-msolistparagraph"/>
    <w:basedOn w:val="Normal"/>
    <w:rsid w:val="00E9388C"/>
    <w:pPr>
      <w:spacing w:before="100" w:beforeAutospacing="1" w:after="100" w:afterAutospacing="1"/>
    </w:pPr>
    <w:rPr>
      <w:rFonts w:ascii="Times New Roman" w:eastAsia="Times New Roman" w:hAnsi="Times New Roman"/>
      <w:sz w:val="24"/>
      <w:szCs w:val="24"/>
      <w:lang w:val="en-IN" w:eastAsia="en-IN"/>
    </w:rPr>
  </w:style>
  <w:style w:type="paragraph" w:customStyle="1" w:styleId="m-6291147108277701661gmail-m-7769361439298232180m-7252191122409359175gmail-msolistparagraph">
    <w:name w:val="m_-6291147108277701661gmail-m-7769361439298232180m-7252191122409359175gmail-msolistparagraph"/>
    <w:basedOn w:val="Normal"/>
    <w:rsid w:val="00A75913"/>
    <w:pPr>
      <w:spacing w:before="100" w:beforeAutospacing="1" w:after="100" w:afterAutospacing="1"/>
    </w:pPr>
    <w:rPr>
      <w:rFonts w:ascii="Times New Roman" w:eastAsia="Times New Roman" w:hAnsi="Times New Roman"/>
      <w:sz w:val="24"/>
      <w:szCs w:val="24"/>
      <w:lang w:val="en-IN" w:eastAsia="en-IN"/>
    </w:rPr>
  </w:style>
  <w:style w:type="paragraph" w:styleId="EndnoteText">
    <w:name w:val="endnote text"/>
    <w:basedOn w:val="Normal"/>
    <w:link w:val="EndnoteTextChar"/>
    <w:uiPriority w:val="99"/>
    <w:semiHidden/>
    <w:unhideWhenUsed/>
    <w:rsid w:val="00F551B9"/>
    <w:pPr>
      <w:spacing w:before="0" w:after="0"/>
    </w:pPr>
    <w:rPr>
      <w:szCs w:val="20"/>
    </w:rPr>
  </w:style>
  <w:style w:type="character" w:customStyle="1" w:styleId="EndnoteTextChar">
    <w:name w:val="Endnote Text Char"/>
    <w:basedOn w:val="DefaultParagraphFont"/>
    <w:link w:val="EndnoteText"/>
    <w:uiPriority w:val="99"/>
    <w:semiHidden/>
    <w:rsid w:val="00F551B9"/>
    <w:rPr>
      <w:rFonts w:ascii="Gill Sans MT" w:hAnsi="Gill Sans MT"/>
    </w:rPr>
  </w:style>
  <w:style w:type="character" w:styleId="EndnoteReference">
    <w:name w:val="endnote reference"/>
    <w:basedOn w:val="DefaultParagraphFont"/>
    <w:uiPriority w:val="99"/>
    <w:semiHidden/>
    <w:unhideWhenUsed/>
    <w:rsid w:val="00F551B9"/>
    <w:rPr>
      <w:vertAlign w:val="superscript"/>
    </w:rPr>
  </w:style>
  <w:style w:type="character" w:customStyle="1" w:styleId="ref-journal">
    <w:name w:val="ref-journal"/>
    <w:basedOn w:val="DefaultParagraphFont"/>
    <w:rsid w:val="00AD45E1"/>
  </w:style>
  <w:style w:type="character" w:customStyle="1" w:styleId="ref-vol">
    <w:name w:val="ref-vol"/>
    <w:basedOn w:val="DefaultParagraphFont"/>
    <w:rsid w:val="00AD45E1"/>
  </w:style>
  <w:style w:type="table" w:styleId="GridTable4-Accent6">
    <w:name w:val="Grid Table 4 Accent 6"/>
    <w:basedOn w:val="TableNormal"/>
    <w:uiPriority w:val="49"/>
    <w:rsid w:val="002E1A6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9624">
      <w:bodyDiv w:val="1"/>
      <w:marLeft w:val="0"/>
      <w:marRight w:val="0"/>
      <w:marTop w:val="0"/>
      <w:marBottom w:val="0"/>
      <w:divBdr>
        <w:top w:val="none" w:sz="0" w:space="0" w:color="auto"/>
        <w:left w:val="none" w:sz="0" w:space="0" w:color="auto"/>
        <w:bottom w:val="none" w:sz="0" w:space="0" w:color="auto"/>
        <w:right w:val="none" w:sz="0" w:space="0" w:color="auto"/>
      </w:divBdr>
      <w:divsChild>
        <w:div w:id="744452670">
          <w:marLeft w:val="446"/>
          <w:marRight w:val="0"/>
          <w:marTop w:val="0"/>
          <w:marBottom w:val="0"/>
          <w:divBdr>
            <w:top w:val="none" w:sz="0" w:space="0" w:color="auto"/>
            <w:left w:val="none" w:sz="0" w:space="0" w:color="auto"/>
            <w:bottom w:val="none" w:sz="0" w:space="0" w:color="auto"/>
            <w:right w:val="none" w:sz="0" w:space="0" w:color="auto"/>
          </w:divBdr>
        </w:div>
        <w:div w:id="802234784">
          <w:marLeft w:val="446"/>
          <w:marRight w:val="0"/>
          <w:marTop w:val="0"/>
          <w:marBottom w:val="0"/>
          <w:divBdr>
            <w:top w:val="none" w:sz="0" w:space="0" w:color="auto"/>
            <w:left w:val="none" w:sz="0" w:space="0" w:color="auto"/>
            <w:bottom w:val="none" w:sz="0" w:space="0" w:color="auto"/>
            <w:right w:val="none" w:sz="0" w:space="0" w:color="auto"/>
          </w:divBdr>
        </w:div>
        <w:div w:id="1653439409">
          <w:marLeft w:val="446"/>
          <w:marRight w:val="0"/>
          <w:marTop w:val="0"/>
          <w:marBottom w:val="0"/>
          <w:divBdr>
            <w:top w:val="none" w:sz="0" w:space="0" w:color="auto"/>
            <w:left w:val="none" w:sz="0" w:space="0" w:color="auto"/>
            <w:bottom w:val="none" w:sz="0" w:space="0" w:color="auto"/>
            <w:right w:val="none" w:sz="0" w:space="0" w:color="auto"/>
          </w:divBdr>
        </w:div>
        <w:div w:id="1675645462">
          <w:marLeft w:val="446"/>
          <w:marRight w:val="0"/>
          <w:marTop w:val="0"/>
          <w:marBottom w:val="0"/>
          <w:divBdr>
            <w:top w:val="none" w:sz="0" w:space="0" w:color="auto"/>
            <w:left w:val="none" w:sz="0" w:space="0" w:color="auto"/>
            <w:bottom w:val="none" w:sz="0" w:space="0" w:color="auto"/>
            <w:right w:val="none" w:sz="0" w:space="0" w:color="auto"/>
          </w:divBdr>
        </w:div>
        <w:div w:id="1713535122">
          <w:marLeft w:val="446"/>
          <w:marRight w:val="0"/>
          <w:marTop w:val="0"/>
          <w:marBottom w:val="0"/>
          <w:divBdr>
            <w:top w:val="none" w:sz="0" w:space="0" w:color="auto"/>
            <w:left w:val="none" w:sz="0" w:space="0" w:color="auto"/>
            <w:bottom w:val="none" w:sz="0" w:space="0" w:color="auto"/>
            <w:right w:val="none" w:sz="0" w:space="0" w:color="auto"/>
          </w:divBdr>
        </w:div>
        <w:div w:id="1903715780">
          <w:marLeft w:val="446"/>
          <w:marRight w:val="0"/>
          <w:marTop w:val="0"/>
          <w:marBottom w:val="0"/>
          <w:divBdr>
            <w:top w:val="none" w:sz="0" w:space="0" w:color="auto"/>
            <w:left w:val="none" w:sz="0" w:space="0" w:color="auto"/>
            <w:bottom w:val="none" w:sz="0" w:space="0" w:color="auto"/>
            <w:right w:val="none" w:sz="0" w:space="0" w:color="auto"/>
          </w:divBdr>
        </w:div>
      </w:divsChild>
    </w:div>
    <w:div w:id="50350004">
      <w:bodyDiv w:val="1"/>
      <w:marLeft w:val="0"/>
      <w:marRight w:val="0"/>
      <w:marTop w:val="0"/>
      <w:marBottom w:val="0"/>
      <w:divBdr>
        <w:top w:val="none" w:sz="0" w:space="0" w:color="auto"/>
        <w:left w:val="none" w:sz="0" w:space="0" w:color="auto"/>
        <w:bottom w:val="none" w:sz="0" w:space="0" w:color="auto"/>
        <w:right w:val="none" w:sz="0" w:space="0" w:color="auto"/>
      </w:divBdr>
    </w:div>
    <w:div w:id="69159294">
      <w:bodyDiv w:val="1"/>
      <w:marLeft w:val="0"/>
      <w:marRight w:val="0"/>
      <w:marTop w:val="0"/>
      <w:marBottom w:val="0"/>
      <w:divBdr>
        <w:top w:val="none" w:sz="0" w:space="0" w:color="auto"/>
        <w:left w:val="none" w:sz="0" w:space="0" w:color="auto"/>
        <w:bottom w:val="none" w:sz="0" w:space="0" w:color="auto"/>
        <w:right w:val="none" w:sz="0" w:space="0" w:color="auto"/>
      </w:divBdr>
      <w:divsChild>
        <w:div w:id="1909850217">
          <w:marLeft w:val="0"/>
          <w:marRight w:val="0"/>
          <w:marTop w:val="0"/>
          <w:marBottom w:val="0"/>
          <w:divBdr>
            <w:top w:val="none" w:sz="0" w:space="0" w:color="auto"/>
            <w:left w:val="none" w:sz="0" w:space="0" w:color="auto"/>
            <w:bottom w:val="none" w:sz="0" w:space="0" w:color="auto"/>
            <w:right w:val="none" w:sz="0" w:space="0" w:color="auto"/>
          </w:divBdr>
          <w:divsChild>
            <w:div w:id="12387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8171">
      <w:bodyDiv w:val="1"/>
      <w:marLeft w:val="0"/>
      <w:marRight w:val="0"/>
      <w:marTop w:val="0"/>
      <w:marBottom w:val="0"/>
      <w:divBdr>
        <w:top w:val="none" w:sz="0" w:space="0" w:color="auto"/>
        <w:left w:val="none" w:sz="0" w:space="0" w:color="auto"/>
        <w:bottom w:val="none" w:sz="0" w:space="0" w:color="auto"/>
        <w:right w:val="none" w:sz="0" w:space="0" w:color="auto"/>
      </w:divBdr>
      <w:divsChild>
        <w:div w:id="1026834573">
          <w:marLeft w:val="547"/>
          <w:marRight w:val="0"/>
          <w:marTop w:val="154"/>
          <w:marBottom w:val="0"/>
          <w:divBdr>
            <w:top w:val="none" w:sz="0" w:space="0" w:color="auto"/>
            <w:left w:val="none" w:sz="0" w:space="0" w:color="auto"/>
            <w:bottom w:val="none" w:sz="0" w:space="0" w:color="auto"/>
            <w:right w:val="none" w:sz="0" w:space="0" w:color="auto"/>
          </w:divBdr>
        </w:div>
      </w:divsChild>
    </w:div>
    <w:div w:id="94594946">
      <w:bodyDiv w:val="1"/>
      <w:marLeft w:val="0"/>
      <w:marRight w:val="0"/>
      <w:marTop w:val="0"/>
      <w:marBottom w:val="0"/>
      <w:divBdr>
        <w:top w:val="none" w:sz="0" w:space="0" w:color="auto"/>
        <w:left w:val="none" w:sz="0" w:space="0" w:color="auto"/>
        <w:bottom w:val="none" w:sz="0" w:space="0" w:color="auto"/>
        <w:right w:val="none" w:sz="0" w:space="0" w:color="auto"/>
      </w:divBdr>
    </w:div>
    <w:div w:id="104816807">
      <w:bodyDiv w:val="1"/>
      <w:marLeft w:val="0"/>
      <w:marRight w:val="0"/>
      <w:marTop w:val="0"/>
      <w:marBottom w:val="0"/>
      <w:divBdr>
        <w:top w:val="none" w:sz="0" w:space="0" w:color="auto"/>
        <w:left w:val="none" w:sz="0" w:space="0" w:color="auto"/>
        <w:bottom w:val="none" w:sz="0" w:space="0" w:color="auto"/>
        <w:right w:val="none" w:sz="0" w:space="0" w:color="auto"/>
      </w:divBdr>
    </w:div>
    <w:div w:id="137110245">
      <w:bodyDiv w:val="1"/>
      <w:marLeft w:val="0"/>
      <w:marRight w:val="0"/>
      <w:marTop w:val="0"/>
      <w:marBottom w:val="0"/>
      <w:divBdr>
        <w:top w:val="none" w:sz="0" w:space="0" w:color="auto"/>
        <w:left w:val="none" w:sz="0" w:space="0" w:color="auto"/>
        <w:bottom w:val="none" w:sz="0" w:space="0" w:color="auto"/>
        <w:right w:val="none" w:sz="0" w:space="0" w:color="auto"/>
      </w:divBdr>
    </w:div>
    <w:div w:id="138812875">
      <w:bodyDiv w:val="1"/>
      <w:marLeft w:val="0"/>
      <w:marRight w:val="0"/>
      <w:marTop w:val="0"/>
      <w:marBottom w:val="0"/>
      <w:divBdr>
        <w:top w:val="none" w:sz="0" w:space="0" w:color="auto"/>
        <w:left w:val="none" w:sz="0" w:space="0" w:color="auto"/>
        <w:bottom w:val="none" w:sz="0" w:space="0" w:color="auto"/>
        <w:right w:val="none" w:sz="0" w:space="0" w:color="auto"/>
      </w:divBdr>
    </w:div>
    <w:div w:id="144395372">
      <w:bodyDiv w:val="1"/>
      <w:marLeft w:val="0"/>
      <w:marRight w:val="0"/>
      <w:marTop w:val="0"/>
      <w:marBottom w:val="0"/>
      <w:divBdr>
        <w:top w:val="none" w:sz="0" w:space="0" w:color="auto"/>
        <w:left w:val="none" w:sz="0" w:space="0" w:color="auto"/>
        <w:bottom w:val="none" w:sz="0" w:space="0" w:color="auto"/>
        <w:right w:val="none" w:sz="0" w:space="0" w:color="auto"/>
      </w:divBdr>
      <w:divsChild>
        <w:div w:id="73019342">
          <w:marLeft w:val="360"/>
          <w:marRight w:val="0"/>
          <w:marTop w:val="200"/>
          <w:marBottom w:val="0"/>
          <w:divBdr>
            <w:top w:val="none" w:sz="0" w:space="0" w:color="auto"/>
            <w:left w:val="none" w:sz="0" w:space="0" w:color="auto"/>
            <w:bottom w:val="none" w:sz="0" w:space="0" w:color="auto"/>
            <w:right w:val="none" w:sz="0" w:space="0" w:color="auto"/>
          </w:divBdr>
        </w:div>
        <w:div w:id="642197555">
          <w:marLeft w:val="360"/>
          <w:marRight w:val="0"/>
          <w:marTop w:val="200"/>
          <w:marBottom w:val="0"/>
          <w:divBdr>
            <w:top w:val="none" w:sz="0" w:space="0" w:color="auto"/>
            <w:left w:val="none" w:sz="0" w:space="0" w:color="auto"/>
            <w:bottom w:val="none" w:sz="0" w:space="0" w:color="auto"/>
            <w:right w:val="none" w:sz="0" w:space="0" w:color="auto"/>
          </w:divBdr>
        </w:div>
        <w:div w:id="1021904970">
          <w:marLeft w:val="360"/>
          <w:marRight w:val="0"/>
          <w:marTop w:val="200"/>
          <w:marBottom w:val="0"/>
          <w:divBdr>
            <w:top w:val="none" w:sz="0" w:space="0" w:color="auto"/>
            <w:left w:val="none" w:sz="0" w:space="0" w:color="auto"/>
            <w:bottom w:val="none" w:sz="0" w:space="0" w:color="auto"/>
            <w:right w:val="none" w:sz="0" w:space="0" w:color="auto"/>
          </w:divBdr>
        </w:div>
        <w:div w:id="2129542398">
          <w:marLeft w:val="360"/>
          <w:marRight w:val="0"/>
          <w:marTop w:val="200"/>
          <w:marBottom w:val="0"/>
          <w:divBdr>
            <w:top w:val="none" w:sz="0" w:space="0" w:color="auto"/>
            <w:left w:val="none" w:sz="0" w:space="0" w:color="auto"/>
            <w:bottom w:val="none" w:sz="0" w:space="0" w:color="auto"/>
            <w:right w:val="none" w:sz="0" w:space="0" w:color="auto"/>
          </w:divBdr>
        </w:div>
      </w:divsChild>
    </w:div>
    <w:div w:id="155583063">
      <w:bodyDiv w:val="1"/>
      <w:marLeft w:val="0"/>
      <w:marRight w:val="0"/>
      <w:marTop w:val="0"/>
      <w:marBottom w:val="0"/>
      <w:divBdr>
        <w:top w:val="none" w:sz="0" w:space="0" w:color="auto"/>
        <w:left w:val="none" w:sz="0" w:space="0" w:color="auto"/>
        <w:bottom w:val="none" w:sz="0" w:space="0" w:color="auto"/>
        <w:right w:val="none" w:sz="0" w:space="0" w:color="auto"/>
      </w:divBdr>
    </w:div>
    <w:div w:id="157890637">
      <w:bodyDiv w:val="1"/>
      <w:marLeft w:val="0"/>
      <w:marRight w:val="0"/>
      <w:marTop w:val="0"/>
      <w:marBottom w:val="0"/>
      <w:divBdr>
        <w:top w:val="none" w:sz="0" w:space="0" w:color="auto"/>
        <w:left w:val="none" w:sz="0" w:space="0" w:color="auto"/>
        <w:bottom w:val="none" w:sz="0" w:space="0" w:color="auto"/>
        <w:right w:val="none" w:sz="0" w:space="0" w:color="auto"/>
      </w:divBdr>
      <w:divsChild>
        <w:div w:id="240064697">
          <w:marLeft w:val="360"/>
          <w:marRight w:val="0"/>
          <w:marTop w:val="200"/>
          <w:marBottom w:val="0"/>
          <w:divBdr>
            <w:top w:val="none" w:sz="0" w:space="0" w:color="auto"/>
            <w:left w:val="none" w:sz="0" w:space="0" w:color="auto"/>
            <w:bottom w:val="none" w:sz="0" w:space="0" w:color="auto"/>
            <w:right w:val="none" w:sz="0" w:space="0" w:color="auto"/>
          </w:divBdr>
        </w:div>
        <w:div w:id="304821585">
          <w:marLeft w:val="360"/>
          <w:marRight w:val="0"/>
          <w:marTop w:val="200"/>
          <w:marBottom w:val="0"/>
          <w:divBdr>
            <w:top w:val="none" w:sz="0" w:space="0" w:color="auto"/>
            <w:left w:val="none" w:sz="0" w:space="0" w:color="auto"/>
            <w:bottom w:val="none" w:sz="0" w:space="0" w:color="auto"/>
            <w:right w:val="none" w:sz="0" w:space="0" w:color="auto"/>
          </w:divBdr>
        </w:div>
        <w:div w:id="1298604489">
          <w:marLeft w:val="360"/>
          <w:marRight w:val="0"/>
          <w:marTop w:val="200"/>
          <w:marBottom w:val="0"/>
          <w:divBdr>
            <w:top w:val="none" w:sz="0" w:space="0" w:color="auto"/>
            <w:left w:val="none" w:sz="0" w:space="0" w:color="auto"/>
            <w:bottom w:val="none" w:sz="0" w:space="0" w:color="auto"/>
            <w:right w:val="none" w:sz="0" w:space="0" w:color="auto"/>
          </w:divBdr>
        </w:div>
        <w:div w:id="1495366919">
          <w:marLeft w:val="360"/>
          <w:marRight w:val="0"/>
          <w:marTop w:val="200"/>
          <w:marBottom w:val="0"/>
          <w:divBdr>
            <w:top w:val="none" w:sz="0" w:space="0" w:color="auto"/>
            <w:left w:val="none" w:sz="0" w:space="0" w:color="auto"/>
            <w:bottom w:val="none" w:sz="0" w:space="0" w:color="auto"/>
            <w:right w:val="none" w:sz="0" w:space="0" w:color="auto"/>
          </w:divBdr>
        </w:div>
        <w:div w:id="1537354721">
          <w:marLeft w:val="360"/>
          <w:marRight w:val="0"/>
          <w:marTop w:val="200"/>
          <w:marBottom w:val="0"/>
          <w:divBdr>
            <w:top w:val="none" w:sz="0" w:space="0" w:color="auto"/>
            <w:left w:val="none" w:sz="0" w:space="0" w:color="auto"/>
            <w:bottom w:val="none" w:sz="0" w:space="0" w:color="auto"/>
            <w:right w:val="none" w:sz="0" w:space="0" w:color="auto"/>
          </w:divBdr>
        </w:div>
      </w:divsChild>
    </w:div>
    <w:div w:id="159583529">
      <w:bodyDiv w:val="1"/>
      <w:marLeft w:val="0"/>
      <w:marRight w:val="0"/>
      <w:marTop w:val="0"/>
      <w:marBottom w:val="0"/>
      <w:divBdr>
        <w:top w:val="none" w:sz="0" w:space="0" w:color="auto"/>
        <w:left w:val="none" w:sz="0" w:space="0" w:color="auto"/>
        <w:bottom w:val="none" w:sz="0" w:space="0" w:color="auto"/>
        <w:right w:val="none" w:sz="0" w:space="0" w:color="auto"/>
      </w:divBdr>
      <w:divsChild>
        <w:div w:id="227303871">
          <w:marLeft w:val="360"/>
          <w:marRight w:val="0"/>
          <w:marTop w:val="200"/>
          <w:marBottom w:val="0"/>
          <w:divBdr>
            <w:top w:val="none" w:sz="0" w:space="0" w:color="auto"/>
            <w:left w:val="none" w:sz="0" w:space="0" w:color="auto"/>
            <w:bottom w:val="none" w:sz="0" w:space="0" w:color="auto"/>
            <w:right w:val="none" w:sz="0" w:space="0" w:color="auto"/>
          </w:divBdr>
        </w:div>
        <w:div w:id="240141580">
          <w:marLeft w:val="360"/>
          <w:marRight w:val="0"/>
          <w:marTop w:val="200"/>
          <w:marBottom w:val="0"/>
          <w:divBdr>
            <w:top w:val="none" w:sz="0" w:space="0" w:color="auto"/>
            <w:left w:val="none" w:sz="0" w:space="0" w:color="auto"/>
            <w:bottom w:val="none" w:sz="0" w:space="0" w:color="auto"/>
            <w:right w:val="none" w:sz="0" w:space="0" w:color="auto"/>
          </w:divBdr>
        </w:div>
        <w:div w:id="915210935">
          <w:marLeft w:val="360"/>
          <w:marRight w:val="0"/>
          <w:marTop w:val="200"/>
          <w:marBottom w:val="0"/>
          <w:divBdr>
            <w:top w:val="none" w:sz="0" w:space="0" w:color="auto"/>
            <w:left w:val="none" w:sz="0" w:space="0" w:color="auto"/>
            <w:bottom w:val="none" w:sz="0" w:space="0" w:color="auto"/>
            <w:right w:val="none" w:sz="0" w:space="0" w:color="auto"/>
          </w:divBdr>
        </w:div>
        <w:div w:id="1382824931">
          <w:marLeft w:val="360"/>
          <w:marRight w:val="0"/>
          <w:marTop w:val="200"/>
          <w:marBottom w:val="0"/>
          <w:divBdr>
            <w:top w:val="none" w:sz="0" w:space="0" w:color="auto"/>
            <w:left w:val="none" w:sz="0" w:space="0" w:color="auto"/>
            <w:bottom w:val="none" w:sz="0" w:space="0" w:color="auto"/>
            <w:right w:val="none" w:sz="0" w:space="0" w:color="auto"/>
          </w:divBdr>
        </w:div>
      </w:divsChild>
    </w:div>
    <w:div w:id="181626282">
      <w:bodyDiv w:val="1"/>
      <w:marLeft w:val="0"/>
      <w:marRight w:val="0"/>
      <w:marTop w:val="0"/>
      <w:marBottom w:val="0"/>
      <w:divBdr>
        <w:top w:val="none" w:sz="0" w:space="0" w:color="auto"/>
        <w:left w:val="none" w:sz="0" w:space="0" w:color="auto"/>
        <w:bottom w:val="none" w:sz="0" w:space="0" w:color="auto"/>
        <w:right w:val="none" w:sz="0" w:space="0" w:color="auto"/>
      </w:divBdr>
      <w:divsChild>
        <w:div w:id="23210581">
          <w:marLeft w:val="360"/>
          <w:marRight w:val="0"/>
          <w:marTop w:val="200"/>
          <w:marBottom w:val="0"/>
          <w:divBdr>
            <w:top w:val="none" w:sz="0" w:space="0" w:color="auto"/>
            <w:left w:val="none" w:sz="0" w:space="0" w:color="auto"/>
            <w:bottom w:val="none" w:sz="0" w:space="0" w:color="auto"/>
            <w:right w:val="none" w:sz="0" w:space="0" w:color="auto"/>
          </w:divBdr>
        </w:div>
        <w:div w:id="164364922">
          <w:marLeft w:val="360"/>
          <w:marRight w:val="0"/>
          <w:marTop w:val="200"/>
          <w:marBottom w:val="0"/>
          <w:divBdr>
            <w:top w:val="none" w:sz="0" w:space="0" w:color="auto"/>
            <w:left w:val="none" w:sz="0" w:space="0" w:color="auto"/>
            <w:bottom w:val="none" w:sz="0" w:space="0" w:color="auto"/>
            <w:right w:val="none" w:sz="0" w:space="0" w:color="auto"/>
          </w:divBdr>
        </w:div>
        <w:div w:id="619385317">
          <w:marLeft w:val="1080"/>
          <w:marRight w:val="0"/>
          <w:marTop w:val="100"/>
          <w:marBottom w:val="0"/>
          <w:divBdr>
            <w:top w:val="none" w:sz="0" w:space="0" w:color="auto"/>
            <w:left w:val="none" w:sz="0" w:space="0" w:color="auto"/>
            <w:bottom w:val="none" w:sz="0" w:space="0" w:color="auto"/>
            <w:right w:val="none" w:sz="0" w:space="0" w:color="auto"/>
          </w:divBdr>
        </w:div>
        <w:div w:id="1706523886">
          <w:marLeft w:val="360"/>
          <w:marRight w:val="0"/>
          <w:marTop w:val="200"/>
          <w:marBottom w:val="0"/>
          <w:divBdr>
            <w:top w:val="none" w:sz="0" w:space="0" w:color="auto"/>
            <w:left w:val="none" w:sz="0" w:space="0" w:color="auto"/>
            <w:bottom w:val="none" w:sz="0" w:space="0" w:color="auto"/>
            <w:right w:val="none" w:sz="0" w:space="0" w:color="auto"/>
          </w:divBdr>
        </w:div>
      </w:divsChild>
    </w:div>
    <w:div w:id="187840116">
      <w:bodyDiv w:val="1"/>
      <w:marLeft w:val="0"/>
      <w:marRight w:val="0"/>
      <w:marTop w:val="0"/>
      <w:marBottom w:val="0"/>
      <w:divBdr>
        <w:top w:val="none" w:sz="0" w:space="0" w:color="auto"/>
        <w:left w:val="none" w:sz="0" w:space="0" w:color="auto"/>
        <w:bottom w:val="none" w:sz="0" w:space="0" w:color="auto"/>
        <w:right w:val="none" w:sz="0" w:space="0" w:color="auto"/>
      </w:divBdr>
      <w:divsChild>
        <w:div w:id="54936360">
          <w:marLeft w:val="1080"/>
          <w:marRight w:val="0"/>
          <w:marTop w:val="50"/>
          <w:marBottom w:val="50"/>
          <w:divBdr>
            <w:top w:val="none" w:sz="0" w:space="0" w:color="auto"/>
            <w:left w:val="none" w:sz="0" w:space="0" w:color="auto"/>
            <w:bottom w:val="none" w:sz="0" w:space="0" w:color="auto"/>
            <w:right w:val="none" w:sz="0" w:space="0" w:color="auto"/>
          </w:divBdr>
        </w:div>
        <w:div w:id="69348659">
          <w:marLeft w:val="1080"/>
          <w:marRight w:val="0"/>
          <w:marTop w:val="50"/>
          <w:marBottom w:val="50"/>
          <w:divBdr>
            <w:top w:val="none" w:sz="0" w:space="0" w:color="auto"/>
            <w:left w:val="none" w:sz="0" w:space="0" w:color="auto"/>
            <w:bottom w:val="none" w:sz="0" w:space="0" w:color="auto"/>
            <w:right w:val="none" w:sz="0" w:space="0" w:color="auto"/>
          </w:divBdr>
        </w:div>
        <w:div w:id="537006866">
          <w:marLeft w:val="1080"/>
          <w:marRight w:val="0"/>
          <w:marTop w:val="50"/>
          <w:marBottom w:val="50"/>
          <w:divBdr>
            <w:top w:val="none" w:sz="0" w:space="0" w:color="auto"/>
            <w:left w:val="none" w:sz="0" w:space="0" w:color="auto"/>
            <w:bottom w:val="none" w:sz="0" w:space="0" w:color="auto"/>
            <w:right w:val="none" w:sz="0" w:space="0" w:color="auto"/>
          </w:divBdr>
        </w:div>
        <w:div w:id="658310169">
          <w:marLeft w:val="288"/>
          <w:marRight w:val="0"/>
          <w:marTop w:val="240"/>
          <w:marBottom w:val="0"/>
          <w:divBdr>
            <w:top w:val="none" w:sz="0" w:space="0" w:color="auto"/>
            <w:left w:val="none" w:sz="0" w:space="0" w:color="auto"/>
            <w:bottom w:val="none" w:sz="0" w:space="0" w:color="auto"/>
            <w:right w:val="none" w:sz="0" w:space="0" w:color="auto"/>
          </w:divBdr>
        </w:div>
        <w:div w:id="1117211134">
          <w:marLeft w:val="288"/>
          <w:marRight w:val="0"/>
          <w:marTop w:val="240"/>
          <w:marBottom w:val="0"/>
          <w:divBdr>
            <w:top w:val="none" w:sz="0" w:space="0" w:color="auto"/>
            <w:left w:val="none" w:sz="0" w:space="0" w:color="auto"/>
            <w:bottom w:val="none" w:sz="0" w:space="0" w:color="auto"/>
            <w:right w:val="none" w:sz="0" w:space="0" w:color="auto"/>
          </w:divBdr>
        </w:div>
        <w:div w:id="1499036270">
          <w:marLeft w:val="1080"/>
          <w:marRight w:val="0"/>
          <w:marTop w:val="50"/>
          <w:marBottom w:val="50"/>
          <w:divBdr>
            <w:top w:val="none" w:sz="0" w:space="0" w:color="auto"/>
            <w:left w:val="none" w:sz="0" w:space="0" w:color="auto"/>
            <w:bottom w:val="none" w:sz="0" w:space="0" w:color="auto"/>
            <w:right w:val="none" w:sz="0" w:space="0" w:color="auto"/>
          </w:divBdr>
        </w:div>
      </w:divsChild>
    </w:div>
    <w:div w:id="199972875">
      <w:bodyDiv w:val="1"/>
      <w:marLeft w:val="0"/>
      <w:marRight w:val="0"/>
      <w:marTop w:val="0"/>
      <w:marBottom w:val="0"/>
      <w:divBdr>
        <w:top w:val="none" w:sz="0" w:space="0" w:color="auto"/>
        <w:left w:val="none" w:sz="0" w:space="0" w:color="auto"/>
        <w:bottom w:val="none" w:sz="0" w:space="0" w:color="auto"/>
        <w:right w:val="none" w:sz="0" w:space="0" w:color="auto"/>
      </w:divBdr>
    </w:div>
    <w:div w:id="231425872">
      <w:bodyDiv w:val="1"/>
      <w:marLeft w:val="0"/>
      <w:marRight w:val="0"/>
      <w:marTop w:val="0"/>
      <w:marBottom w:val="0"/>
      <w:divBdr>
        <w:top w:val="none" w:sz="0" w:space="0" w:color="auto"/>
        <w:left w:val="none" w:sz="0" w:space="0" w:color="auto"/>
        <w:bottom w:val="none" w:sz="0" w:space="0" w:color="auto"/>
        <w:right w:val="none" w:sz="0" w:space="0" w:color="auto"/>
      </w:divBdr>
    </w:div>
    <w:div w:id="237371976">
      <w:bodyDiv w:val="1"/>
      <w:marLeft w:val="0"/>
      <w:marRight w:val="0"/>
      <w:marTop w:val="0"/>
      <w:marBottom w:val="0"/>
      <w:divBdr>
        <w:top w:val="none" w:sz="0" w:space="0" w:color="auto"/>
        <w:left w:val="none" w:sz="0" w:space="0" w:color="auto"/>
        <w:bottom w:val="none" w:sz="0" w:space="0" w:color="auto"/>
        <w:right w:val="none" w:sz="0" w:space="0" w:color="auto"/>
      </w:divBdr>
      <w:divsChild>
        <w:div w:id="495649552">
          <w:marLeft w:val="360"/>
          <w:marRight w:val="0"/>
          <w:marTop w:val="200"/>
          <w:marBottom w:val="0"/>
          <w:divBdr>
            <w:top w:val="none" w:sz="0" w:space="0" w:color="auto"/>
            <w:left w:val="none" w:sz="0" w:space="0" w:color="auto"/>
            <w:bottom w:val="none" w:sz="0" w:space="0" w:color="auto"/>
            <w:right w:val="none" w:sz="0" w:space="0" w:color="auto"/>
          </w:divBdr>
        </w:div>
        <w:div w:id="1991670742">
          <w:marLeft w:val="360"/>
          <w:marRight w:val="0"/>
          <w:marTop w:val="200"/>
          <w:marBottom w:val="0"/>
          <w:divBdr>
            <w:top w:val="none" w:sz="0" w:space="0" w:color="auto"/>
            <w:left w:val="none" w:sz="0" w:space="0" w:color="auto"/>
            <w:bottom w:val="none" w:sz="0" w:space="0" w:color="auto"/>
            <w:right w:val="none" w:sz="0" w:space="0" w:color="auto"/>
          </w:divBdr>
        </w:div>
        <w:div w:id="2027099641">
          <w:marLeft w:val="360"/>
          <w:marRight w:val="0"/>
          <w:marTop w:val="200"/>
          <w:marBottom w:val="0"/>
          <w:divBdr>
            <w:top w:val="none" w:sz="0" w:space="0" w:color="auto"/>
            <w:left w:val="none" w:sz="0" w:space="0" w:color="auto"/>
            <w:bottom w:val="none" w:sz="0" w:space="0" w:color="auto"/>
            <w:right w:val="none" w:sz="0" w:space="0" w:color="auto"/>
          </w:divBdr>
        </w:div>
      </w:divsChild>
    </w:div>
    <w:div w:id="259799188">
      <w:bodyDiv w:val="1"/>
      <w:marLeft w:val="0"/>
      <w:marRight w:val="0"/>
      <w:marTop w:val="0"/>
      <w:marBottom w:val="0"/>
      <w:divBdr>
        <w:top w:val="none" w:sz="0" w:space="0" w:color="auto"/>
        <w:left w:val="none" w:sz="0" w:space="0" w:color="auto"/>
        <w:bottom w:val="none" w:sz="0" w:space="0" w:color="auto"/>
        <w:right w:val="none" w:sz="0" w:space="0" w:color="auto"/>
      </w:divBdr>
    </w:div>
    <w:div w:id="272982950">
      <w:bodyDiv w:val="1"/>
      <w:marLeft w:val="0"/>
      <w:marRight w:val="0"/>
      <w:marTop w:val="0"/>
      <w:marBottom w:val="0"/>
      <w:divBdr>
        <w:top w:val="none" w:sz="0" w:space="0" w:color="auto"/>
        <w:left w:val="none" w:sz="0" w:space="0" w:color="auto"/>
        <w:bottom w:val="none" w:sz="0" w:space="0" w:color="auto"/>
        <w:right w:val="none" w:sz="0" w:space="0" w:color="auto"/>
      </w:divBdr>
    </w:div>
    <w:div w:id="282005985">
      <w:bodyDiv w:val="1"/>
      <w:marLeft w:val="0"/>
      <w:marRight w:val="0"/>
      <w:marTop w:val="0"/>
      <w:marBottom w:val="0"/>
      <w:divBdr>
        <w:top w:val="none" w:sz="0" w:space="0" w:color="auto"/>
        <w:left w:val="none" w:sz="0" w:space="0" w:color="auto"/>
        <w:bottom w:val="none" w:sz="0" w:space="0" w:color="auto"/>
        <w:right w:val="none" w:sz="0" w:space="0" w:color="auto"/>
      </w:divBdr>
      <w:divsChild>
        <w:div w:id="923301293">
          <w:marLeft w:val="360"/>
          <w:marRight w:val="0"/>
          <w:marTop w:val="0"/>
          <w:marBottom w:val="0"/>
          <w:divBdr>
            <w:top w:val="none" w:sz="0" w:space="0" w:color="auto"/>
            <w:left w:val="none" w:sz="0" w:space="0" w:color="auto"/>
            <w:bottom w:val="none" w:sz="0" w:space="0" w:color="auto"/>
            <w:right w:val="none" w:sz="0" w:space="0" w:color="auto"/>
          </w:divBdr>
        </w:div>
        <w:div w:id="957643484">
          <w:marLeft w:val="360"/>
          <w:marRight w:val="0"/>
          <w:marTop w:val="0"/>
          <w:marBottom w:val="0"/>
          <w:divBdr>
            <w:top w:val="none" w:sz="0" w:space="0" w:color="auto"/>
            <w:left w:val="none" w:sz="0" w:space="0" w:color="auto"/>
            <w:bottom w:val="none" w:sz="0" w:space="0" w:color="auto"/>
            <w:right w:val="none" w:sz="0" w:space="0" w:color="auto"/>
          </w:divBdr>
        </w:div>
        <w:div w:id="1217007205">
          <w:marLeft w:val="360"/>
          <w:marRight w:val="0"/>
          <w:marTop w:val="0"/>
          <w:marBottom w:val="0"/>
          <w:divBdr>
            <w:top w:val="none" w:sz="0" w:space="0" w:color="auto"/>
            <w:left w:val="none" w:sz="0" w:space="0" w:color="auto"/>
            <w:bottom w:val="none" w:sz="0" w:space="0" w:color="auto"/>
            <w:right w:val="none" w:sz="0" w:space="0" w:color="auto"/>
          </w:divBdr>
        </w:div>
        <w:div w:id="1302885551">
          <w:marLeft w:val="360"/>
          <w:marRight w:val="0"/>
          <w:marTop w:val="0"/>
          <w:marBottom w:val="0"/>
          <w:divBdr>
            <w:top w:val="none" w:sz="0" w:space="0" w:color="auto"/>
            <w:left w:val="none" w:sz="0" w:space="0" w:color="auto"/>
            <w:bottom w:val="none" w:sz="0" w:space="0" w:color="auto"/>
            <w:right w:val="none" w:sz="0" w:space="0" w:color="auto"/>
          </w:divBdr>
        </w:div>
        <w:div w:id="1412191655">
          <w:marLeft w:val="360"/>
          <w:marRight w:val="0"/>
          <w:marTop w:val="0"/>
          <w:marBottom w:val="0"/>
          <w:divBdr>
            <w:top w:val="none" w:sz="0" w:space="0" w:color="auto"/>
            <w:left w:val="none" w:sz="0" w:space="0" w:color="auto"/>
            <w:bottom w:val="none" w:sz="0" w:space="0" w:color="auto"/>
            <w:right w:val="none" w:sz="0" w:space="0" w:color="auto"/>
          </w:divBdr>
        </w:div>
        <w:div w:id="1548109245">
          <w:marLeft w:val="360"/>
          <w:marRight w:val="0"/>
          <w:marTop w:val="0"/>
          <w:marBottom w:val="0"/>
          <w:divBdr>
            <w:top w:val="none" w:sz="0" w:space="0" w:color="auto"/>
            <w:left w:val="none" w:sz="0" w:space="0" w:color="auto"/>
            <w:bottom w:val="none" w:sz="0" w:space="0" w:color="auto"/>
            <w:right w:val="none" w:sz="0" w:space="0" w:color="auto"/>
          </w:divBdr>
        </w:div>
        <w:div w:id="1938979364">
          <w:marLeft w:val="360"/>
          <w:marRight w:val="0"/>
          <w:marTop w:val="0"/>
          <w:marBottom w:val="0"/>
          <w:divBdr>
            <w:top w:val="none" w:sz="0" w:space="0" w:color="auto"/>
            <w:left w:val="none" w:sz="0" w:space="0" w:color="auto"/>
            <w:bottom w:val="none" w:sz="0" w:space="0" w:color="auto"/>
            <w:right w:val="none" w:sz="0" w:space="0" w:color="auto"/>
          </w:divBdr>
        </w:div>
      </w:divsChild>
    </w:div>
    <w:div w:id="303702087">
      <w:bodyDiv w:val="1"/>
      <w:marLeft w:val="0"/>
      <w:marRight w:val="0"/>
      <w:marTop w:val="0"/>
      <w:marBottom w:val="0"/>
      <w:divBdr>
        <w:top w:val="none" w:sz="0" w:space="0" w:color="auto"/>
        <w:left w:val="none" w:sz="0" w:space="0" w:color="auto"/>
        <w:bottom w:val="none" w:sz="0" w:space="0" w:color="auto"/>
        <w:right w:val="none" w:sz="0" w:space="0" w:color="auto"/>
      </w:divBdr>
      <w:divsChild>
        <w:div w:id="943270415">
          <w:marLeft w:val="547"/>
          <w:marRight w:val="0"/>
          <w:marTop w:val="0"/>
          <w:marBottom w:val="0"/>
          <w:divBdr>
            <w:top w:val="none" w:sz="0" w:space="0" w:color="auto"/>
            <w:left w:val="none" w:sz="0" w:space="0" w:color="auto"/>
            <w:bottom w:val="none" w:sz="0" w:space="0" w:color="auto"/>
            <w:right w:val="none" w:sz="0" w:space="0" w:color="auto"/>
          </w:divBdr>
        </w:div>
      </w:divsChild>
    </w:div>
    <w:div w:id="309940859">
      <w:bodyDiv w:val="1"/>
      <w:marLeft w:val="0"/>
      <w:marRight w:val="0"/>
      <w:marTop w:val="0"/>
      <w:marBottom w:val="0"/>
      <w:divBdr>
        <w:top w:val="none" w:sz="0" w:space="0" w:color="auto"/>
        <w:left w:val="none" w:sz="0" w:space="0" w:color="auto"/>
        <w:bottom w:val="none" w:sz="0" w:space="0" w:color="auto"/>
        <w:right w:val="none" w:sz="0" w:space="0" w:color="auto"/>
      </w:divBdr>
    </w:div>
    <w:div w:id="320428531">
      <w:bodyDiv w:val="1"/>
      <w:marLeft w:val="0"/>
      <w:marRight w:val="0"/>
      <w:marTop w:val="0"/>
      <w:marBottom w:val="0"/>
      <w:divBdr>
        <w:top w:val="none" w:sz="0" w:space="0" w:color="auto"/>
        <w:left w:val="none" w:sz="0" w:space="0" w:color="auto"/>
        <w:bottom w:val="none" w:sz="0" w:space="0" w:color="auto"/>
        <w:right w:val="none" w:sz="0" w:space="0" w:color="auto"/>
      </w:divBdr>
      <w:divsChild>
        <w:div w:id="272372556">
          <w:marLeft w:val="360"/>
          <w:marRight w:val="0"/>
          <w:marTop w:val="200"/>
          <w:marBottom w:val="0"/>
          <w:divBdr>
            <w:top w:val="none" w:sz="0" w:space="0" w:color="auto"/>
            <w:left w:val="none" w:sz="0" w:space="0" w:color="auto"/>
            <w:bottom w:val="none" w:sz="0" w:space="0" w:color="auto"/>
            <w:right w:val="none" w:sz="0" w:space="0" w:color="auto"/>
          </w:divBdr>
        </w:div>
        <w:div w:id="537355417">
          <w:marLeft w:val="360"/>
          <w:marRight w:val="0"/>
          <w:marTop w:val="200"/>
          <w:marBottom w:val="0"/>
          <w:divBdr>
            <w:top w:val="none" w:sz="0" w:space="0" w:color="auto"/>
            <w:left w:val="none" w:sz="0" w:space="0" w:color="auto"/>
            <w:bottom w:val="none" w:sz="0" w:space="0" w:color="auto"/>
            <w:right w:val="none" w:sz="0" w:space="0" w:color="auto"/>
          </w:divBdr>
        </w:div>
        <w:div w:id="986402574">
          <w:marLeft w:val="360"/>
          <w:marRight w:val="0"/>
          <w:marTop w:val="200"/>
          <w:marBottom w:val="0"/>
          <w:divBdr>
            <w:top w:val="none" w:sz="0" w:space="0" w:color="auto"/>
            <w:left w:val="none" w:sz="0" w:space="0" w:color="auto"/>
            <w:bottom w:val="none" w:sz="0" w:space="0" w:color="auto"/>
            <w:right w:val="none" w:sz="0" w:space="0" w:color="auto"/>
          </w:divBdr>
        </w:div>
        <w:div w:id="1022128049">
          <w:marLeft w:val="360"/>
          <w:marRight w:val="0"/>
          <w:marTop w:val="200"/>
          <w:marBottom w:val="0"/>
          <w:divBdr>
            <w:top w:val="none" w:sz="0" w:space="0" w:color="auto"/>
            <w:left w:val="none" w:sz="0" w:space="0" w:color="auto"/>
            <w:bottom w:val="none" w:sz="0" w:space="0" w:color="auto"/>
            <w:right w:val="none" w:sz="0" w:space="0" w:color="auto"/>
          </w:divBdr>
        </w:div>
        <w:div w:id="1485707832">
          <w:marLeft w:val="360"/>
          <w:marRight w:val="0"/>
          <w:marTop w:val="200"/>
          <w:marBottom w:val="0"/>
          <w:divBdr>
            <w:top w:val="none" w:sz="0" w:space="0" w:color="auto"/>
            <w:left w:val="none" w:sz="0" w:space="0" w:color="auto"/>
            <w:bottom w:val="none" w:sz="0" w:space="0" w:color="auto"/>
            <w:right w:val="none" w:sz="0" w:space="0" w:color="auto"/>
          </w:divBdr>
        </w:div>
        <w:div w:id="2140224396">
          <w:marLeft w:val="360"/>
          <w:marRight w:val="0"/>
          <w:marTop w:val="200"/>
          <w:marBottom w:val="0"/>
          <w:divBdr>
            <w:top w:val="none" w:sz="0" w:space="0" w:color="auto"/>
            <w:left w:val="none" w:sz="0" w:space="0" w:color="auto"/>
            <w:bottom w:val="none" w:sz="0" w:space="0" w:color="auto"/>
            <w:right w:val="none" w:sz="0" w:space="0" w:color="auto"/>
          </w:divBdr>
        </w:div>
      </w:divsChild>
    </w:div>
    <w:div w:id="362825871">
      <w:bodyDiv w:val="1"/>
      <w:marLeft w:val="0"/>
      <w:marRight w:val="0"/>
      <w:marTop w:val="0"/>
      <w:marBottom w:val="0"/>
      <w:divBdr>
        <w:top w:val="none" w:sz="0" w:space="0" w:color="auto"/>
        <w:left w:val="none" w:sz="0" w:space="0" w:color="auto"/>
        <w:bottom w:val="none" w:sz="0" w:space="0" w:color="auto"/>
        <w:right w:val="none" w:sz="0" w:space="0" w:color="auto"/>
      </w:divBdr>
    </w:div>
    <w:div w:id="389304027">
      <w:bodyDiv w:val="1"/>
      <w:marLeft w:val="0"/>
      <w:marRight w:val="0"/>
      <w:marTop w:val="0"/>
      <w:marBottom w:val="0"/>
      <w:divBdr>
        <w:top w:val="none" w:sz="0" w:space="0" w:color="auto"/>
        <w:left w:val="none" w:sz="0" w:space="0" w:color="auto"/>
        <w:bottom w:val="none" w:sz="0" w:space="0" w:color="auto"/>
        <w:right w:val="none" w:sz="0" w:space="0" w:color="auto"/>
      </w:divBdr>
    </w:div>
    <w:div w:id="447622524">
      <w:bodyDiv w:val="1"/>
      <w:marLeft w:val="0"/>
      <w:marRight w:val="0"/>
      <w:marTop w:val="0"/>
      <w:marBottom w:val="0"/>
      <w:divBdr>
        <w:top w:val="none" w:sz="0" w:space="0" w:color="auto"/>
        <w:left w:val="none" w:sz="0" w:space="0" w:color="auto"/>
        <w:bottom w:val="none" w:sz="0" w:space="0" w:color="auto"/>
        <w:right w:val="none" w:sz="0" w:space="0" w:color="auto"/>
      </w:divBdr>
    </w:div>
    <w:div w:id="470488492">
      <w:bodyDiv w:val="1"/>
      <w:marLeft w:val="0"/>
      <w:marRight w:val="0"/>
      <w:marTop w:val="0"/>
      <w:marBottom w:val="0"/>
      <w:divBdr>
        <w:top w:val="none" w:sz="0" w:space="0" w:color="auto"/>
        <w:left w:val="none" w:sz="0" w:space="0" w:color="auto"/>
        <w:bottom w:val="none" w:sz="0" w:space="0" w:color="auto"/>
        <w:right w:val="none" w:sz="0" w:space="0" w:color="auto"/>
      </w:divBdr>
    </w:div>
    <w:div w:id="475537969">
      <w:bodyDiv w:val="1"/>
      <w:marLeft w:val="0"/>
      <w:marRight w:val="0"/>
      <w:marTop w:val="0"/>
      <w:marBottom w:val="0"/>
      <w:divBdr>
        <w:top w:val="none" w:sz="0" w:space="0" w:color="auto"/>
        <w:left w:val="none" w:sz="0" w:space="0" w:color="auto"/>
        <w:bottom w:val="none" w:sz="0" w:space="0" w:color="auto"/>
        <w:right w:val="none" w:sz="0" w:space="0" w:color="auto"/>
      </w:divBdr>
      <w:divsChild>
        <w:div w:id="226309581">
          <w:marLeft w:val="446"/>
          <w:marRight w:val="0"/>
          <w:marTop w:val="0"/>
          <w:marBottom w:val="0"/>
          <w:divBdr>
            <w:top w:val="none" w:sz="0" w:space="0" w:color="auto"/>
            <w:left w:val="none" w:sz="0" w:space="0" w:color="auto"/>
            <w:bottom w:val="none" w:sz="0" w:space="0" w:color="auto"/>
            <w:right w:val="none" w:sz="0" w:space="0" w:color="auto"/>
          </w:divBdr>
        </w:div>
        <w:div w:id="248733204">
          <w:marLeft w:val="446"/>
          <w:marRight w:val="0"/>
          <w:marTop w:val="0"/>
          <w:marBottom w:val="0"/>
          <w:divBdr>
            <w:top w:val="none" w:sz="0" w:space="0" w:color="auto"/>
            <w:left w:val="none" w:sz="0" w:space="0" w:color="auto"/>
            <w:bottom w:val="none" w:sz="0" w:space="0" w:color="auto"/>
            <w:right w:val="none" w:sz="0" w:space="0" w:color="auto"/>
          </w:divBdr>
        </w:div>
        <w:div w:id="1120566546">
          <w:marLeft w:val="446"/>
          <w:marRight w:val="0"/>
          <w:marTop w:val="0"/>
          <w:marBottom w:val="0"/>
          <w:divBdr>
            <w:top w:val="none" w:sz="0" w:space="0" w:color="auto"/>
            <w:left w:val="none" w:sz="0" w:space="0" w:color="auto"/>
            <w:bottom w:val="none" w:sz="0" w:space="0" w:color="auto"/>
            <w:right w:val="none" w:sz="0" w:space="0" w:color="auto"/>
          </w:divBdr>
        </w:div>
        <w:div w:id="1944918929">
          <w:marLeft w:val="446"/>
          <w:marRight w:val="0"/>
          <w:marTop w:val="0"/>
          <w:marBottom w:val="0"/>
          <w:divBdr>
            <w:top w:val="none" w:sz="0" w:space="0" w:color="auto"/>
            <w:left w:val="none" w:sz="0" w:space="0" w:color="auto"/>
            <w:bottom w:val="none" w:sz="0" w:space="0" w:color="auto"/>
            <w:right w:val="none" w:sz="0" w:space="0" w:color="auto"/>
          </w:divBdr>
        </w:div>
      </w:divsChild>
    </w:div>
    <w:div w:id="480316440">
      <w:bodyDiv w:val="1"/>
      <w:marLeft w:val="0"/>
      <w:marRight w:val="0"/>
      <w:marTop w:val="0"/>
      <w:marBottom w:val="0"/>
      <w:divBdr>
        <w:top w:val="none" w:sz="0" w:space="0" w:color="auto"/>
        <w:left w:val="none" w:sz="0" w:space="0" w:color="auto"/>
        <w:bottom w:val="none" w:sz="0" w:space="0" w:color="auto"/>
        <w:right w:val="none" w:sz="0" w:space="0" w:color="auto"/>
      </w:divBdr>
      <w:divsChild>
        <w:div w:id="854540576">
          <w:marLeft w:val="288"/>
          <w:marRight w:val="0"/>
          <w:marTop w:val="240"/>
          <w:marBottom w:val="0"/>
          <w:divBdr>
            <w:top w:val="none" w:sz="0" w:space="0" w:color="auto"/>
            <w:left w:val="none" w:sz="0" w:space="0" w:color="auto"/>
            <w:bottom w:val="none" w:sz="0" w:space="0" w:color="auto"/>
            <w:right w:val="none" w:sz="0" w:space="0" w:color="auto"/>
          </w:divBdr>
        </w:div>
        <w:div w:id="871769837">
          <w:marLeft w:val="288"/>
          <w:marRight w:val="0"/>
          <w:marTop w:val="240"/>
          <w:marBottom w:val="0"/>
          <w:divBdr>
            <w:top w:val="none" w:sz="0" w:space="0" w:color="auto"/>
            <w:left w:val="none" w:sz="0" w:space="0" w:color="auto"/>
            <w:bottom w:val="none" w:sz="0" w:space="0" w:color="auto"/>
            <w:right w:val="none" w:sz="0" w:space="0" w:color="auto"/>
          </w:divBdr>
        </w:div>
        <w:div w:id="1881017389">
          <w:marLeft w:val="288"/>
          <w:marRight w:val="0"/>
          <w:marTop w:val="240"/>
          <w:marBottom w:val="0"/>
          <w:divBdr>
            <w:top w:val="none" w:sz="0" w:space="0" w:color="auto"/>
            <w:left w:val="none" w:sz="0" w:space="0" w:color="auto"/>
            <w:bottom w:val="none" w:sz="0" w:space="0" w:color="auto"/>
            <w:right w:val="none" w:sz="0" w:space="0" w:color="auto"/>
          </w:divBdr>
        </w:div>
        <w:div w:id="1954361126">
          <w:marLeft w:val="288"/>
          <w:marRight w:val="0"/>
          <w:marTop w:val="240"/>
          <w:marBottom w:val="0"/>
          <w:divBdr>
            <w:top w:val="none" w:sz="0" w:space="0" w:color="auto"/>
            <w:left w:val="none" w:sz="0" w:space="0" w:color="auto"/>
            <w:bottom w:val="none" w:sz="0" w:space="0" w:color="auto"/>
            <w:right w:val="none" w:sz="0" w:space="0" w:color="auto"/>
          </w:divBdr>
        </w:div>
      </w:divsChild>
    </w:div>
    <w:div w:id="481384018">
      <w:bodyDiv w:val="1"/>
      <w:marLeft w:val="0"/>
      <w:marRight w:val="0"/>
      <w:marTop w:val="0"/>
      <w:marBottom w:val="0"/>
      <w:divBdr>
        <w:top w:val="none" w:sz="0" w:space="0" w:color="auto"/>
        <w:left w:val="none" w:sz="0" w:space="0" w:color="auto"/>
        <w:bottom w:val="none" w:sz="0" w:space="0" w:color="auto"/>
        <w:right w:val="none" w:sz="0" w:space="0" w:color="auto"/>
      </w:divBdr>
      <w:divsChild>
        <w:div w:id="39129875">
          <w:marLeft w:val="1080"/>
          <w:marRight w:val="0"/>
          <w:marTop w:val="100"/>
          <w:marBottom w:val="0"/>
          <w:divBdr>
            <w:top w:val="none" w:sz="0" w:space="0" w:color="auto"/>
            <w:left w:val="none" w:sz="0" w:space="0" w:color="auto"/>
            <w:bottom w:val="none" w:sz="0" w:space="0" w:color="auto"/>
            <w:right w:val="none" w:sz="0" w:space="0" w:color="auto"/>
          </w:divBdr>
        </w:div>
        <w:div w:id="405223601">
          <w:marLeft w:val="1080"/>
          <w:marRight w:val="0"/>
          <w:marTop w:val="100"/>
          <w:marBottom w:val="0"/>
          <w:divBdr>
            <w:top w:val="none" w:sz="0" w:space="0" w:color="auto"/>
            <w:left w:val="none" w:sz="0" w:space="0" w:color="auto"/>
            <w:bottom w:val="none" w:sz="0" w:space="0" w:color="auto"/>
            <w:right w:val="none" w:sz="0" w:space="0" w:color="auto"/>
          </w:divBdr>
        </w:div>
        <w:div w:id="581450672">
          <w:marLeft w:val="1080"/>
          <w:marRight w:val="0"/>
          <w:marTop w:val="100"/>
          <w:marBottom w:val="0"/>
          <w:divBdr>
            <w:top w:val="none" w:sz="0" w:space="0" w:color="auto"/>
            <w:left w:val="none" w:sz="0" w:space="0" w:color="auto"/>
            <w:bottom w:val="none" w:sz="0" w:space="0" w:color="auto"/>
            <w:right w:val="none" w:sz="0" w:space="0" w:color="auto"/>
          </w:divBdr>
        </w:div>
        <w:div w:id="641925676">
          <w:marLeft w:val="360"/>
          <w:marRight w:val="0"/>
          <w:marTop w:val="200"/>
          <w:marBottom w:val="0"/>
          <w:divBdr>
            <w:top w:val="none" w:sz="0" w:space="0" w:color="auto"/>
            <w:left w:val="none" w:sz="0" w:space="0" w:color="auto"/>
            <w:bottom w:val="none" w:sz="0" w:space="0" w:color="auto"/>
            <w:right w:val="none" w:sz="0" w:space="0" w:color="auto"/>
          </w:divBdr>
        </w:div>
        <w:div w:id="790977556">
          <w:marLeft w:val="1080"/>
          <w:marRight w:val="0"/>
          <w:marTop w:val="100"/>
          <w:marBottom w:val="0"/>
          <w:divBdr>
            <w:top w:val="none" w:sz="0" w:space="0" w:color="auto"/>
            <w:left w:val="none" w:sz="0" w:space="0" w:color="auto"/>
            <w:bottom w:val="none" w:sz="0" w:space="0" w:color="auto"/>
            <w:right w:val="none" w:sz="0" w:space="0" w:color="auto"/>
          </w:divBdr>
        </w:div>
        <w:div w:id="864564972">
          <w:marLeft w:val="1080"/>
          <w:marRight w:val="0"/>
          <w:marTop w:val="100"/>
          <w:marBottom w:val="0"/>
          <w:divBdr>
            <w:top w:val="none" w:sz="0" w:space="0" w:color="auto"/>
            <w:left w:val="none" w:sz="0" w:space="0" w:color="auto"/>
            <w:bottom w:val="none" w:sz="0" w:space="0" w:color="auto"/>
            <w:right w:val="none" w:sz="0" w:space="0" w:color="auto"/>
          </w:divBdr>
        </w:div>
        <w:div w:id="989867772">
          <w:marLeft w:val="1080"/>
          <w:marRight w:val="0"/>
          <w:marTop w:val="100"/>
          <w:marBottom w:val="0"/>
          <w:divBdr>
            <w:top w:val="none" w:sz="0" w:space="0" w:color="auto"/>
            <w:left w:val="none" w:sz="0" w:space="0" w:color="auto"/>
            <w:bottom w:val="none" w:sz="0" w:space="0" w:color="auto"/>
            <w:right w:val="none" w:sz="0" w:space="0" w:color="auto"/>
          </w:divBdr>
        </w:div>
        <w:div w:id="1013532263">
          <w:marLeft w:val="360"/>
          <w:marRight w:val="0"/>
          <w:marTop w:val="200"/>
          <w:marBottom w:val="0"/>
          <w:divBdr>
            <w:top w:val="none" w:sz="0" w:space="0" w:color="auto"/>
            <w:left w:val="none" w:sz="0" w:space="0" w:color="auto"/>
            <w:bottom w:val="none" w:sz="0" w:space="0" w:color="auto"/>
            <w:right w:val="none" w:sz="0" w:space="0" w:color="auto"/>
          </w:divBdr>
        </w:div>
        <w:div w:id="1236819446">
          <w:marLeft w:val="1080"/>
          <w:marRight w:val="0"/>
          <w:marTop w:val="100"/>
          <w:marBottom w:val="0"/>
          <w:divBdr>
            <w:top w:val="none" w:sz="0" w:space="0" w:color="auto"/>
            <w:left w:val="none" w:sz="0" w:space="0" w:color="auto"/>
            <w:bottom w:val="none" w:sz="0" w:space="0" w:color="auto"/>
            <w:right w:val="none" w:sz="0" w:space="0" w:color="auto"/>
          </w:divBdr>
        </w:div>
        <w:div w:id="1425494825">
          <w:marLeft w:val="1080"/>
          <w:marRight w:val="0"/>
          <w:marTop w:val="100"/>
          <w:marBottom w:val="0"/>
          <w:divBdr>
            <w:top w:val="none" w:sz="0" w:space="0" w:color="auto"/>
            <w:left w:val="none" w:sz="0" w:space="0" w:color="auto"/>
            <w:bottom w:val="none" w:sz="0" w:space="0" w:color="auto"/>
            <w:right w:val="none" w:sz="0" w:space="0" w:color="auto"/>
          </w:divBdr>
        </w:div>
        <w:div w:id="1564831069">
          <w:marLeft w:val="1080"/>
          <w:marRight w:val="0"/>
          <w:marTop w:val="100"/>
          <w:marBottom w:val="0"/>
          <w:divBdr>
            <w:top w:val="none" w:sz="0" w:space="0" w:color="auto"/>
            <w:left w:val="none" w:sz="0" w:space="0" w:color="auto"/>
            <w:bottom w:val="none" w:sz="0" w:space="0" w:color="auto"/>
            <w:right w:val="none" w:sz="0" w:space="0" w:color="auto"/>
          </w:divBdr>
        </w:div>
        <w:div w:id="1690716785">
          <w:marLeft w:val="1080"/>
          <w:marRight w:val="0"/>
          <w:marTop w:val="100"/>
          <w:marBottom w:val="0"/>
          <w:divBdr>
            <w:top w:val="none" w:sz="0" w:space="0" w:color="auto"/>
            <w:left w:val="none" w:sz="0" w:space="0" w:color="auto"/>
            <w:bottom w:val="none" w:sz="0" w:space="0" w:color="auto"/>
            <w:right w:val="none" w:sz="0" w:space="0" w:color="auto"/>
          </w:divBdr>
        </w:div>
        <w:div w:id="2004814327">
          <w:marLeft w:val="1080"/>
          <w:marRight w:val="0"/>
          <w:marTop w:val="100"/>
          <w:marBottom w:val="0"/>
          <w:divBdr>
            <w:top w:val="none" w:sz="0" w:space="0" w:color="auto"/>
            <w:left w:val="none" w:sz="0" w:space="0" w:color="auto"/>
            <w:bottom w:val="none" w:sz="0" w:space="0" w:color="auto"/>
            <w:right w:val="none" w:sz="0" w:space="0" w:color="auto"/>
          </w:divBdr>
        </w:div>
      </w:divsChild>
    </w:div>
    <w:div w:id="487524378">
      <w:bodyDiv w:val="1"/>
      <w:marLeft w:val="0"/>
      <w:marRight w:val="0"/>
      <w:marTop w:val="0"/>
      <w:marBottom w:val="0"/>
      <w:divBdr>
        <w:top w:val="none" w:sz="0" w:space="0" w:color="auto"/>
        <w:left w:val="none" w:sz="0" w:space="0" w:color="auto"/>
        <w:bottom w:val="none" w:sz="0" w:space="0" w:color="auto"/>
        <w:right w:val="none" w:sz="0" w:space="0" w:color="auto"/>
      </w:divBdr>
    </w:div>
    <w:div w:id="497888755">
      <w:bodyDiv w:val="1"/>
      <w:marLeft w:val="0"/>
      <w:marRight w:val="0"/>
      <w:marTop w:val="0"/>
      <w:marBottom w:val="0"/>
      <w:divBdr>
        <w:top w:val="none" w:sz="0" w:space="0" w:color="auto"/>
        <w:left w:val="none" w:sz="0" w:space="0" w:color="auto"/>
        <w:bottom w:val="none" w:sz="0" w:space="0" w:color="auto"/>
        <w:right w:val="none" w:sz="0" w:space="0" w:color="auto"/>
      </w:divBdr>
    </w:div>
    <w:div w:id="502359448">
      <w:bodyDiv w:val="1"/>
      <w:marLeft w:val="0"/>
      <w:marRight w:val="0"/>
      <w:marTop w:val="0"/>
      <w:marBottom w:val="0"/>
      <w:divBdr>
        <w:top w:val="none" w:sz="0" w:space="0" w:color="auto"/>
        <w:left w:val="none" w:sz="0" w:space="0" w:color="auto"/>
        <w:bottom w:val="none" w:sz="0" w:space="0" w:color="auto"/>
        <w:right w:val="none" w:sz="0" w:space="0" w:color="auto"/>
      </w:divBdr>
    </w:div>
    <w:div w:id="528177140">
      <w:bodyDiv w:val="1"/>
      <w:marLeft w:val="0"/>
      <w:marRight w:val="0"/>
      <w:marTop w:val="0"/>
      <w:marBottom w:val="0"/>
      <w:divBdr>
        <w:top w:val="none" w:sz="0" w:space="0" w:color="auto"/>
        <w:left w:val="none" w:sz="0" w:space="0" w:color="auto"/>
        <w:bottom w:val="none" w:sz="0" w:space="0" w:color="auto"/>
        <w:right w:val="none" w:sz="0" w:space="0" w:color="auto"/>
      </w:divBdr>
      <w:divsChild>
        <w:div w:id="188615097">
          <w:marLeft w:val="360"/>
          <w:marRight w:val="0"/>
          <w:marTop w:val="200"/>
          <w:marBottom w:val="0"/>
          <w:divBdr>
            <w:top w:val="none" w:sz="0" w:space="0" w:color="auto"/>
            <w:left w:val="none" w:sz="0" w:space="0" w:color="auto"/>
            <w:bottom w:val="none" w:sz="0" w:space="0" w:color="auto"/>
            <w:right w:val="none" w:sz="0" w:space="0" w:color="auto"/>
          </w:divBdr>
        </w:div>
        <w:div w:id="402802157">
          <w:marLeft w:val="360"/>
          <w:marRight w:val="0"/>
          <w:marTop w:val="200"/>
          <w:marBottom w:val="0"/>
          <w:divBdr>
            <w:top w:val="none" w:sz="0" w:space="0" w:color="auto"/>
            <w:left w:val="none" w:sz="0" w:space="0" w:color="auto"/>
            <w:bottom w:val="none" w:sz="0" w:space="0" w:color="auto"/>
            <w:right w:val="none" w:sz="0" w:space="0" w:color="auto"/>
          </w:divBdr>
        </w:div>
        <w:div w:id="549148799">
          <w:marLeft w:val="360"/>
          <w:marRight w:val="0"/>
          <w:marTop w:val="200"/>
          <w:marBottom w:val="0"/>
          <w:divBdr>
            <w:top w:val="none" w:sz="0" w:space="0" w:color="auto"/>
            <w:left w:val="none" w:sz="0" w:space="0" w:color="auto"/>
            <w:bottom w:val="none" w:sz="0" w:space="0" w:color="auto"/>
            <w:right w:val="none" w:sz="0" w:space="0" w:color="auto"/>
          </w:divBdr>
        </w:div>
        <w:div w:id="634069832">
          <w:marLeft w:val="360"/>
          <w:marRight w:val="0"/>
          <w:marTop w:val="200"/>
          <w:marBottom w:val="0"/>
          <w:divBdr>
            <w:top w:val="none" w:sz="0" w:space="0" w:color="auto"/>
            <w:left w:val="none" w:sz="0" w:space="0" w:color="auto"/>
            <w:bottom w:val="none" w:sz="0" w:space="0" w:color="auto"/>
            <w:right w:val="none" w:sz="0" w:space="0" w:color="auto"/>
          </w:divBdr>
        </w:div>
        <w:div w:id="634600469">
          <w:marLeft w:val="360"/>
          <w:marRight w:val="0"/>
          <w:marTop w:val="200"/>
          <w:marBottom w:val="0"/>
          <w:divBdr>
            <w:top w:val="none" w:sz="0" w:space="0" w:color="auto"/>
            <w:left w:val="none" w:sz="0" w:space="0" w:color="auto"/>
            <w:bottom w:val="none" w:sz="0" w:space="0" w:color="auto"/>
            <w:right w:val="none" w:sz="0" w:space="0" w:color="auto"/>
          </w:divBdr>
        </w:div>
        <w:div w:id="992027614">
          <w:marLeft w:val="360"/>
          <w:marRight w:val="0"/>
          <w:marTop w:val="200"/>
          <w:marBottom w:val="0"/>
          <w:divBdr>
            <w:top w:val="none" w:sz="0" w:space="0" w:color="auto"/>
            <w:left w:val="none" w:sz="0" w:space="0" w:color="auto"/>
            <w:bottom w:val="none" w:sz="0" w:space="0" w:color="auto"/>
            <w:right w:val="none" w:sz="0" w:space="0" w:color="auto"/>
          </w:divBdr>
        </w:div>
        <w:div w:id="1284311449">
          <w:marLeft w:val="360"/>
          <w:marRight w:val="0"/>
          <w:marTop w:val="200"/>
          <w:marBottom w:val="0"/>
          <w:divBdr>
            <w:top w:val="none" w:sz="0" w:space="0" w:color="auto"/>
            <w:left w:val="none" w:sz="0" w:space="0" w:color="auto"/>
            <w:bottom w:val="none" w:sz="0" w:space="0" w:color="auto"/>
            <w:right w:val="none" w:sz="0" w:space="0" w:color="auto"/>
          </w:divBdr>
        </w:div>
        <w:div w:id="1388870075">
          <w:marLeft w:val="360"/>
          <w:marRight w:val="0"/>
          <w:marTop w:val="200"/>
          <w:marBottom w:val="0"/>
          <w:divBdr>
            <w:top w:val="none" w:sz="0" w:space="0" w:color="auto"/>
            <w:left w:val="none" w:sz="0" w:space="0" w:color="auto"/>
            <w:bottom w:val="none" w:sz="0" w:space="0" w:color="auto"/>
            <w:right w:val="none" w:sz="0" w:space="0" w:color="auto"/>
          </w:divBdr>
        </w:div>
        <w:div w:id="1731147433">
          <w:marLeft w:val="360"/>
          <w:marRight w:val="0"/>
          <w:marTop w:val="200"/>
          <w:marBottom w:val="0"/>
          <w:divBdr>
            <w:top w:val="none" w:sz="0" w:space="0" w:color="auto"/>
            <w:left w:val="none" w:sz="0" w:space="0" w:color="auto"/>
            <w:bottom w:val="none" w:sz="0" w:space="0" w:color="auto"/>
            <w:right w:val="none" w:sz="0" w:space="0" w:color="auto"/>
          </w:divBdr>
        </w:div>
        <w:div w:id="1811047513">
          <w:marLeft w:val="360"/>
          <w:marRight w:val="0"/>
          <w:marTop w:val="200"/>
          <w:marBottom w:val="0"/>
          <w:divBdr>
            <w:top w:val="none" w:sz="0" w:space="0" w:color="auto"/>
            <w:left w:val="none" w:sz="0" w:space="0" w:color="auto"/>
            <w:bottom w:val="none" w:sz="0" w:space="0" w:color="auto"/>
            <w:right w:val="none" w:sz="0" w:space="0" w:color="auto"/>
          </w:divBdr>
        </w:div>
      </w:divsChild>
    </w:div>
    <w:div w:id="531578210">
      <w:bodyDiv w:val="1"/>
      <w:marLeft w:val="0"/>
      <w:marRight w:val="0"/>
      <w:marTop w:val="0"/>
      <w:marBottom w:val="0"/>
      <w:divBdr>
        <w:top w:val="none" w:sz="0" w:space="0" w:color="auto"/>
        <w:left w:val="none" w:sz="0" w:space="0" w:color="auto"/>
        <w:bottom w:val="none" w:sz="0" w:space="0" w:color="auto"/>
        <w:right w:val="none" w:sz="0" w:space="0" w:color="auto"/>
      </w:divBdr>
    </w:div>
    <w:div w:id="546644512">
      <w:bodyDiv w:val="1"/>
      <w:marLeft w:val="0"/>
      <w:marRight w:val="0"/>
      <w:marTop w:val="0"/>
      <w:marBottom w:val="0"/>
      <w:divBdr>
        <w:top w:val="none" w:sz="0" w:space="0" w:color="auto"/>
        <w:left w:val="none" w:sz="0" w:space="0" w:color="auto"/>
        <w:bottom w:val="none" w:sz="0" w:space="0" w:color="auto"/>
        <w:right w:val="none" w:sz="0" w:space="0" w:color="auto"/>
      </w:divBdr>
      <w:divsChild>
        <w:div w:id="501774981">
          <w:marLeft w:val="1166"/>
          <w:marRight w:val="0"/>
          <w:marTop w:val="96"/>
          <w:marBottom w:val="0"/>
          <w:divBdr>
            <w:top w:val="none" w:sz="0" w:space="0" w:color="auto"/>
            <w:left w:val="none" w:sz="0" w:space="0" w:color="auto"/>
            <w:bottom w:val="none" w:sz="0" w:space="0" w:color="auto"/>
            <w:right w:val="none" w:sz="0" w:space="0" w:color="auto"/>
          </w:divBdr>
        </w:div>
        <w:div w:id="690909637">
          <w:marLeft w:val="1166"/>
          <w:marRight w:val="0"/>
          <w:marTop w:val="96"/>
          <w:marBottom w:val="0"/>
          <w:divBdr>
            <w:top w:val="none" w:sz="0" w:space="0" w:color="auto"/>
            <w:left w:val="none" w:sz="0" w:space="0" w:color="auto"/>
            <w:bottom w:val="none" w:sz="0" w:space="0" w:color="auto"/>
            <w:right w:val="none" w:sz="0" w:space="0" w:color="auto"/>
          </w:divBdr>
        </w:div>
        <w:div w:id="745960785">
          <w:marLeft w:val="1166"/>
          <w:marRight w:val="0"/>
          <w:marTop w:val="96"/>
          <w:marBottom w:val="0"/>
          <w:divBdr>
            <w:top w:val="none" w:sz="0" w:space="0" w:color="auto"/>
            <w:left w:val="none" w:sz="0" w:space="0" w:color="auto"/>
            <w:bottom w:val="none" w:sz="0" w:space="0" w:color="auto"/>
            <w:right w:val="none" w:sz="0" w:space="0" w:color="auto"/>
          </w:divBdr>
        </w:div>
        <w:div w:id="771973795">
          <w:marLeft w:val="1166"/>
          <w:marRight w:val="0"/>
          <w:marTop w:val="96"/>
          <w:marBottom w:val="0"/>
          <w:divBdr>
            <w:top w:val="none" w:sz="0" w:space="0" w:color="auto"/>
            <w:left w:val="none" w:sz="0" w:space="0" w:color="auto"/>
            <w:bottom w:val="none" w:sz="0" w:space="0" w:color="auto"/>
            <w:right w:val="none" w:sz="0" w:space="0" w:color="auto"/>
          </w:divBdr>
        </w:div>
        <w:div w:id="1249079774">
          <w:marLeft w:val="1166"/>
          <w:marRight w:val="0"/>
          <w:marTop w:val="96"/>
          <w:marBottom w:val="0"/>
          <w:divBdr>
            <w:top w:val="none" w:sz="0" w:space="0" w:color="auto"/>
            <w:left w:val="none" w:sz="0" w:space="0" w:color="auto"/>
            <w:bottom w:val="none" w:sz="0" w:space="0" w:color="auto"/>
            <w:right w:val="none" w:sz="0" w:space="0" w:color="auto"/>
          </w:divBdr>
        </w:div>
        <w:div w:id="1357077218">
          <w:marLeft w:val="1166"/>
          <w:marRight w:val="0"/>
          <w:marTop w:val="96"/>
          <w:marBottom w:val="0"/>
          <w:divBdr>
            <w:top w:val="none" w:sz="0" w:space="0" w:color="auto"/>
            <w:left w:val="none" w:sz="0" w:space="0" w:color="auto"/>
            <w:bottom w:val="none" w:sz="0" w:space="0" w:color="auto"/>
            <w:right w:val="none" w:sz="0" w:space="0" w:color="auto"/>
          </w:divBdr>
        </w:div>
        <w:div w:id="1428043494">
          <w:marLeft w:val="1166"/>
          <w:marRight w:val="0"/>
          <w:marTop w:val="96"/>
          <w:marBottom w:val="0"/>
          <w:divBdr>
            <w:top w:val="none" w:sz="0" w:space="0" w:color="auto"/>
            <w:left w:val="none" w:sz="0" w:space="0" w:color="auto"/>
            <w:bottom w:val="none" w:sz="0" w:space="0" w:color="auto"/>
            <w:right w:val="none" w:sz="0" w:space="0" w:color="auto"/>
          </w:divBdr>
        </w:div>
        <w:div w:id="1492990356">
          <w:marLeft w:val="547"/>
          <w:marRight w:val="0"/>
          <w:marTop w:val="106"/>
          <w:marBottom w:val="0"/>
          <w:divBdr>
            <w:top w:val="none" w:sz="0" w:space="0" w:color="auto"/>
            <w:left w:val="none" w:sz="0" w:space="0" w:color="auto"/>
            <w:bottom w:val="none" w:sz="0" w:space="0" w:color="auto"/>
            <w:right w:val="none" w:sz="0" w:space="0" w:color="auto"/>
          </w:divBdr>
        </w:div>
        <w:div w:id="1501309575">
          <w:marLeft w:val="1166"/>
          <w:marRight w:val="0"/>
          <w:marTop w:val="96"/>
          <w:marBottom w:val="0"/>
          <w:divBdr>
            <w:top w:val="none" w:sz="0" w:space="0" w:color="auto"/>
            <w:left w:val="none" w:sz="0" w:space="0" w:color="auto"/>
            <w:bottom w:val="none" w:sz="0" w:space="0" w:color="auto"/>
            <w:right w:val="none" w:sz="0" w:space="0" w:color="auto"/>
          </w:divBdr>
        </w:div>
        <w:div w:id="1823889425">
          <w:marLeft w:val="547"/>
          <w:marRight w:val="0"/>
          <w:marTop w:val="106"/>
          <w:marBottom w:val="0"/>
          <w:divBdr>
            <w:top w:val="none" w:sz="0" w:space="0" w:color="auto"/>
            <w:left w:val="none" w:sz="0" w:space="0" w:color="auto"/>
            <w:bottom w:val="none" w:sz="0" w:space="0" w:color="auto"/>
            <w:right w:val="none" w:sz="0" w:space="0" w:color="auto"/>
          </w:divBdr>
        </w:div>
        <w:div w:id="1984580727">
          <w:marLeft w:val="1166"/>
          <w:marRight w:val="0"/>
          <w:marTop w:val="96"/>
          <w:marBottom w:val="0"/>
          <w:divBdr>
            <w:top w:val="none" w:sz="0" w:space="0" w:color="auto"/>
            <w:left w:val="none" w:sz="0" w:space="0" w:color="auto"/>
            <w:bottom w:val="none" w:sz="0" w:space="0" w:color="auto"/>
            <w:right w:val="none" w:sz="0" w:space="0" w:color="auto"/>
          </w:divBdr>
        </w:div>
        <w:div w:id="2016028900">
          <w:marLeft w:val="1166"/>
          <w:marRight w:val="0"/>
          <w:marTop w:val="96"/>
          <w:marBottom w:val="0"/>
          <w:divBdr>
            <w:top w:val="none" w:sz="0" w:space="0" w:color="auto"/>
            <w:left w:val="none" w:sz="0" w:space="0" w:color="auto"/>
            <w:bottom w:val="none" w:sz="0" w:space="0" w:color="auto"/>
            <w:right w:val="none" w:sz="0" w:space="0" w:color="auto"/>
          </w:divBdr>
        </w:div>
        <w:div w:id="2106995569">
          <w:marLeft w:val="1166"/>
          <w:marRight w:val="0"/>
          <w:marTop w:val="96"/>
          <w:marBottom w:val="0"/>
          <w:divBdr>
            <w:top w:val="none" w:sz="0" w:space="0" w:color="auto"/>
            <w:left w:val="none" w:sz="0" w:space="0" w:color="auto"/>
            <w:bottom w:val="none" w:sz="0" w:space="0" w:color="auto"/>
            <w:right w:val="none" w:sz="0" w:space="0" w:color="auto"/>
          </w:divBdr>
        </w:div>
      </w:divsChild>
    </w:div>
    <w:div w:id="559944170">
      <w:bodyDiv w:val="1"/>
      <w:marLeft w:val="0"/>
      <w:marRight w:val="0"/>
      <w:marTop w:val="0"/>
      <w:marBottom w:val="0"/>
      <w:divBdr>
        <w:top w:val="none" w:sz="0" w:space="0" w:color="auto"/>
        <w:left w:val="none" w:sz="0" w:space="0" w:color="auto"/>
        <w:bottom w:val="none" w:sz="0" w:space="0" w:color="auto"/>
        <w:right w:val="none" w:sz="0" w:space="0" w:color="auto"/>
      </w:divBdr>
    </w:div>
    <w:div w:id="567422663">
      <w:bodyDiv w:val="1"/>
      <w:marLeft w:val="0"/>
      <w:marRight w:val="0"/>
      <w:marTop w:val="0"/>
      <w:marBottom w:val="0"/>
      <w:divBdr>
        <w:top w:val="none" w:sz="0" w:space="0" w:color="auto"/>
        <w:left w:val="none" w:sz="0" w:space="0" w:color="auto"/>
        <w:bottom w:val="none" w:sz="0" w:space="0" w:color="auto"/>
        <w:right w:val="none" w:sz="0" w:space="0" w:color="auto"/>
      </w:divBdr>
      <w:divsChild>
        <w:div w:id="1333336647">
          <w:marLeft w:val="360"/>
          <w:marRight w:val="0"/>
          <w:marTop w:val="200"/>
          <w:marBottom w:val="0"/>
          <w:divBdr>
            <w:top w:val="none" w:sz="0" w:space="0" w:color="auto"/>
            <w:left w:val="none" w:sz="0" w:space="0" w:color="auto"/>
            <w:bottom w:val="none" w:sz="0" w:space="0" w:color="auto"/>
            <w:right w:val="none" w:sz="0" w:space="0" w:color="auto"/>
          </w:divBdr>
        </w:div>
      </w:divsChild>
    </w:div>
    <w:div w:id="586892016">
      <w:bodyDiv w:val="1"/>
      <w:marLeft w:val="0"/>
      <w:marRight w:val="0"/>
      <w:marTop w:val="0"/>
      <w:marBottom w:val="0"/>
      <w:divBdr>
        <w:top w:val="none" w:sz="0" w:space="0" w:color="auto"/>
        <w:left w:val="none" w:sz="0" w:space="0" w:color="auto"/>
        <w:bottom w:val="none" w:sz="0" w:space="0" w:color="auto"/>
        <w:right w:val="none" w:sz="0" w:space="0" w:color="auto"/>
      </w:divBdr>
    </w:div>
    <w:div w:id="604458352">
      <w:bodyDiv w:val="1"/>
      <w:marLeft w:val="0"/>
      <w:marRight w:val="0"/>
      <w:marTop w:val="0"/>
      <w:marBottom w:val="0"/>
      <w:divBdr>
        <w:top w:val="none" w:sz="0" w:space="0" w:color="auto"/>
        <w:left w:val="none" w:sz="0" w:space="0" w:color="auto"/>
        <w:bottom w:val="none" w:sz="0" w:space="0" w:color="auto"/>
        <w:right w:val="none" w:sz="0" w:space="0" w:color="auto"/>
      </w:divBdr>
      <w:divsChild>
        <w:div w:id="196234596">
          <w:marLeft w:val="547"/>
          <w:marRight w:val="0"/>
          <w:marTop w:val="115"/>
          <w:marBottom w:val="0"/>
          <w:divBdr>
            <w:top w:val="none" w:sz="0" w:space="0" w:color="auto"/>
            <w:left w:val="none" w:sz="0" w:space="0" w:color="auto"/>
            <w:bottom w:val="none" w:sz="0" w:space="0" w:color="auto"/>
            <w:right w:val="none" w:sz="0" w:space="0" w:color="auto"/>
          </w:divBdr>
        </w:div>
        <w:div w:id="382145691">
          <w:marLeft w:val="547"/>
          <w:marRight w:val="0"/>
          <w:marTop w:val="115"/>
          <w:marBottom w:val="0"/>
          <w:divBdr>
            <w:top w:val="none" w:sz="0" w:space="0" w:color="auto"/>
            <w:left w:val="none" w:sz="0" w:space="0" w:color="auto"/>
            <w:bottom w:val="none" w:sz="0" w:space="0" w:color="auto"/>
            <w:right w:val="none" w:sz="0" w:space="0" w:color="auto"/>
          </w:divBdr>
        </w:div>
        <w:div w:id="393116520">
          <w:marLeft w:val="547"/>
          <w:marRight w:val="0"/>
          <w:marTop w:val="115"/>
          <w:marBottom w:val="0"/>
          <w:divBdr>
            <w:top w:val="none" w:sz="0" w:space="0" w:color="auto"/>
            <w:left w:val="none" w:sz="0" w:space="0" w:color="auto"/>
            <w:bottom w:val="none" w:sz="0" w:space="0" w:color="auto"/>
            <w:right w:val="none" w:sz="0" w:space="0" w:color="auto"/>
          </w:divBdr>
        </w:div>
        <w:div w:id="780996224">
          <w:marLeft w:val="547"/>
          <w:marRight w:val="0"/>
          <w:marTop w:val="115"/>
          <w:marBottom w:val="0"/>
          <w:divBdr>
            <w:top w:val="none" w:sz="0" w:space="0" w:color="auto"/>
            <w:left w:val="none" w:sz="0" w:space="0" w:color="auto"/>
            <w:bottom w:val="none" w:sz="0" w:space="0" w:color="auto"/>
            <w:right w:val="none" w:sz="0" w:space="0" w:color="auto"/>
          </w:divBdr>
        </w:div>
        <w:div w:id="807088019">
          <w:marLeft w:val="547"/>
          <w:marRight w:val="0"/>
          <w:marTop w:val="115"/>
          <w:marBottom w:val="0"/>
          <w:divBdr>
            <w:top w:val="none" w:sz="0" w:space="0" w:color="auto"/>
            <w:left w:val="none" w:sz="0" w:space="0" w:color="auto"/>
            <w:bottom w:val="none" w:sz="0" w:space="0" w:color="auto"/>
            <w:right w:val="none" w:sz="0" w:space="0" w:color="auto"/>
          </w:divBdr>
        </w:div>
        <w:div w:id="1304046129">
          <w:marLeft w:val="547"/>
          <w:marRight w:val="0"/>
          <w:marTop w:val="115"/>
          <w:marBottom w:val="0"/>
          <w:divBdr>
            <w:top w:val="none" w:sz="0" w:space="0" w:color="auto"/>
            <w:left w:val="none" w:sz="0" w:space="0" w:color="auto"/>
            <w:bottom w:val="none" w:sz="0" w:space="0" w:color="auto"/>
            <w:right w:val="none" w:sz="0" w:space="0" w:color="auto"/>
          </w:divBdr>
        </w:div>
        <w:div w:id="1365397835">
          <w:marLeft w:val="547"/>
          <w:marRight w:val="0"/>
          <w:marTop w:val="115"/>
          <w:marBottom w:val="0"/>
          <w:divBdr>
            <w:top w:val="none" w:sz="0" w:space="0" w:color="auto"/>
            <w:left w:val="none" w:sz="0" w:space="0" w:color="auto"/>
            <w:bottom w:val="none" w:sz="0" w:space="0" w:color="auto"/>
            <w:right w:val="none" w:sz="0" w:space="0" w:color="auto"/>
          </w:divBdr>
        </w:div>
        <w:div w:id="1724481451">
          <w:marLeft w:val="547"/>
          <w:marRight w:val="0"/>
          <w:marTop w:val="115"/>
          <w:marBottom w:val="0"/>
          <w:divBdr>
            <w:top w:val="none" w:sz="0" w:space="0" w:color="auto"/>
            <w:left w:val="none" w:sz="0" w:space="0" w:color="auto"/>
            <w:bottom w:val="none" w:sz="0" w:space="0" w:color="auto"/>
            <w:right w:val="none" w:sz="0" w:space="0" w:color="auto"/>
          </w:divBdr>
        </w:div>
        <w:div w:id="1758285772">
          <w:marLeft w:val="547"/>
          <w:marRight w:val="0"/>
          <w:marTop w:val="115"/>
          <w:marBottom w:val="0"/>
          <w:divBdr>
            <w:top w:val="none" w:sz="0" w:space="0" w:color="auto"/>
            <w:left w:val="none" w:sz="0" w:space="0" w:color="auto"/>
            <w:bottom w:val="none" w:sz="0" w:space="0" w:color="auto"/>
            <w:right w:val="none" w:sz="0" w:space="0" w:color="auto"/>
          </w:divBdr>
        </w:div>
        <w:div w:id="2004166148">
          <w:marLeft w:val="547"/>
          <w:marRight w:val="0"/>
          <w:marTop w:val="115"/>
          <w:marBottom w:val="0"/>
          <w:divBdr>
            <w:top w:val="none" w:sz="0" w:space="0" w:color="auto"/>
            <w:left w:val="none" w:sz="0" w:space="0" w:color="auto"/>
            <w:bottom w:val="none" w:sz="0" w:space="0" w:color="auto"/>
            <w:right w:val="none" w:sz="0" w:space="0" w:color="auto"/>
          </w:divBdr>
        </w:div>
        <w:div w:id="2110880879">
          <w:marLeft w:val="1166"/>
          <w:marRight w:val="0"/>
          <w:marTop w:val="115"/>
          <w:marBottom w:val="0"/>
          <w:divBdr>
            <w:top w:val="none" w:sz="0" w:space="0" w:color="auto"/>
            <w:left w:val="none" w:sz="0" w:space="0" w:color="auto"/>
            <w:bottom w:val="none" w:sz="0" w:space="0" w:color="auto"/>
            <w:right w:val="none" w:sz="0" w:space="0" w:color="auto"/>
          </w:divBdr>
        </w:div>
      </w:divsChild>
    </w:div>
    <w:div w:id="716465082">
      <w:bodyDiv w:val="1"/>
      <w:marLeft w:val="0"/>
      <w:marRight w:val="0"/>
      <w:marTop w:val="0"/>
      <w:marBottom w:val="0"/>
      <w:divBdr>
        <w:top w:val="none" w:sz="0" w:space="0" w:color="auto"/>
        <w:left w:val="none" w:sz="0" w:space="0" w:color="auto"/>
        <w:bottom w:val="none" w:sz="0" w:space="0" w:color="auto"/>
        <w:right w:val="none" w:sz="0" w:space="0" w:color="auto"/>
      </w:divBdr>
      <w:divsChild>
        <w:div w:id="620687">
          <w:marLeft w:val="547"/>
          <w:marRight w:val="0"/>
          <w:marTop w:val="96"/>
          <w:marBottom w:val="0"/>
          <w:divBdr>
            <w:top w:val="none" w:sz="0" w:space="0" w:color="auto"/>
            <w:left w:val="none" w:sz="0" w:space="0" w:color="auto"/>
            <w:bottom w:val="none" w:sz="0" w:space="0" w:color="auto"/>
            <w:right w:val="none" w:sz="0" w:space="0" w:color="auto"/>
          </w:divBdr>
        </w:div>
        <w:div w:id="1055082541">
          <w:marLeft w:val="547"/>
          <w:marRight w:val="0"/>
          <w:marTop w:val="96"/>
          <w:marBottom w:val="0"/>
          <w:divBdr>
            <w:top w:val="none" w:sz="0" w:space="0" w:color="auto"/>
            <w:left w:val="none" w:sz="0" w:space="0" w:color="auto"/>
            <w:bottom w:val="none" w:sz="0" w:space="0" w:color="auto"/>
            <w:right w:val="none" w:sz="0" w:space="0" w:color="auto"/>
          </w:divBdr>
        </w:div>
        <w:div w:id="1260068057">
          <w:marLeft w:val="547"/>
          <w:marRight w:val="0"/>
          <w:marTop w:val="96"/>
          <w:marBottom w:val="0"/>
          <w:divBdr>
            <w:top w:val="none" w:sz="0" w:space="0" w:color="auto"/>
            <w:left w:val="none" w:sz="0" w:space="0" w:color="auto"/>
            <w:bottom w:val="none" w:sz="0" w:space="0" w:color="auto"/>
            <w:right w:val="none" w:sz="0" w:space="0" w:color="auto"/>
          </w:divBdr>
        </w:div>
        <w:div w:id="1269433408">
          <w:marLeft w:val="547"/>
          <w:marRight w:val="0"/>
          <w:marTop w:val="96"/>
          <w:marBottom w:val="0"/>
          <w:divBdr>
            <w:top w:val="none" w:sz="0" w:space="0" w:color="auto"/>
            <w:left w:val="none" w:sz="0" w:space="0" w:color="auto"/>
            <w:bottom w:val="none" w:sz="0" w:space="0" w:color="auto"/>
            <w:right w:val="none" w:sz="0" w:space="0" w:color="auto"/>
          </w:divBdr>
        </w:div>
        <w:div w:id="1378579108">
          <w:marLeft w:val="547"/>
          <w:marRight w:val="0"/>
          <w:marTop w:val="96"/>
          <w:marBottom w:val="0"/>
          <w:divBdr>
            <w:top w:val="none" w:sz="0" w:space="0" w:color="auto"/>
            <w:left w:val="none" w:sz="0" w:space="0" w:color="auto"/>
            <w:bottom w:val="none" w:sz="0" w:space="0" w:color="auto"/>
            <w:right w:val="none" w:sz="0" w:space="0" w:color="auto"/>
          </w:divBdr>
        </w:div>
        <w:div w:id="1425230083">
          <w:marLeft w:val="547"/>
          <w:marRight w:val="0"/>
          <w:marTop w:val="96"/>
          <w:marBottom w:val="0"/>
          <w:divBdr>
            <w:top w:val="none" w:sz="0" w:space="0" w:color="auto"/>
            <w:left w:val="none" w:sz="0" w:space="0" w:color="auto"/>
            <w:bottom w:val="none" w:sz="0" w:space="0" w:color="auto"/>
            <w:right w:val="none" w:sz="0" w:space="0" w:color="auto"/>
          </w:divBdr>
        </w:div>
        <w:div w:id="1575429866">
          <w:marLeft w:val="547"/>
          <w:marRight w:val="0"/>
          <w:marTop w:val="96"/>
          <w:marBottom w:val="0"/>
          <w:divBdr>
            <w:top w:val="none" w:sz="0" w:space="0" w:color="auto"/>
            <w:left w:val="none" w:sz="0" w:space="0" w:color="auto"/>
            <w:bottom w:val="none" w:sz="0" w:space="0" w:color="auto"/>
            <w:right w:val="none" w:sz="0" w:space="0" w:color="auto"/>
          </w:divBdr>
        </w:div>
        <w:div w:id="1683774908">
          <w:marLeft w:val="547"/>
          <w:marRight w:val="0"/>
          <w:marTop w:val="96"/>
          <w:marBottom w:val="0"/>
          <w:divBdr>
            <w:top w:val="none" w:sz="0" w:space="0" w:color="auto"/>
            <w:left w:val="none" w:sz="0" w:space="0" w:color="auto"/>
            <w:bottom w:val="none" w:sz="0" w:space="0" w:color="auto"/>
            <w:right w:val="none" w:sz="0" w:space="0" w:color="auto"/>
          </w:divBdr>
        </w:div>
      </w:divsChild>
    </w:div>
    <w:div w:id="722366475">
      <w:bodyDiv w:val="1"/>
      <w:marLeft w:val="0"/>
      <w:marRight w:val="0"/>
      <w:marTop w:val="0"/>
      <w:marBottom w:val="0"/>
      <w:divBdr>
        <w:top w:val="none" w:sz="0" w:space="0" w:color="auto"/>
        <w:left w:val="none" w:sz="0" w:space="0" w:color="auto"/>
        <w:bottom w:val="none" w:sz="0" w:space="0" w:color="auto"/>
        <w:right w:val="none" w:sz="0" w:space="0" w:color="auto"/>
      </w:divBdr>
    </w:div>
    <w:div w:id="724180415">
      <w:bodyDiv w:val="1"/>
      <w:marLeft w:val="0"/>
      <w:marRight w:val="0"/>
      <w:marTop w:val="0"/>
      <w:marBottom w:val="0"/>
      <w:divBdr>
        <w:top w:val="none" w:sz="0" w:space="0" w:color="auto"/>
        <w:left w:val="none" w:sz="0" w:space="0" w:color="auto"/>
        <w:bottom w:val="none" w:sz="0" w:space="0" w:color="auto"/>
        <w:right w:val="none" w:sz="0" w:space="0" w:color="auto"/>
      </w:divBdr>
    </w:div>
    <w:div w:id="740636822">
      <w:bodyDiv w:val="1"/>
      <w:marLeft w:val="0"/>
      <w:marRight w:val="0"/>
      <w:marTop w:val="0"/>
      <w:marBottom w:val="0"/>
      <w:divBdr>
        <w:top w:val="none" w:sz="0" w:space="0" w:color="auto"/>
        <w:left w:val="none" w:sz="0" w:space="0" w:color="auto"/>
        <w:bottom w:val="none" w:sz="0" w:space="0" w:color="auto"/>
        <w:right w:val="none" w:sz="0" w:space="0" w:color="auto"/>
      </w:divBdr>
    </w:div>
    <w:div w:id="759378280">
      <w:bodyDiv w:val="1"/>
      <w:marLeft w:val="0"/>
      <w:marRight w:val="0"/>
      <w:marTop w:val="0"/>
      <w:marBottom w:val="0"/>
      <w:divBdr>
        <w:top w:val="none" w:sz="0" w:space="0" w:color="auto"/>
        <w:left w:val="none" w:sz="0" w:space="0" w:color="auto"/>
        <w:bottom w:val="none" w:sz="0" w:space="0" w:color="auto"/>
        <w:right w:val="none" w:sz="0" w:space="0" w:color="auto"/>
      </w:divBdr>
      <w:divsChild>
        <w:div w:id="70200210">
          <w:marLeft w:val="360"/>
          <w:marRight w:val="0"/>
          <w:marTop w:val="200"/>
          <w:marBottom w:val="0"/>
          <w:divBdr>
            <w:top w:val="none" w:sz="0" w:space="0" w:color="auto"/>
            <w:left w:val="none" w:sz="0" w:space="0" w:color="auto"/>
            <w:bottom w:val="none" w:sz="0" w:space="0" w:color="auto"/>
            <w:right w:val="none" w:sz="0" w:space="0" w:color="auto"/>
          </w:divBdr>
        </w:div>
        <w:div w:id="173156414">
          <w:marLeft w:val="360"/>
          <w:marRight w:val="0"/>
          <w:marTop w:val="200"/>
          <w:marBottom w:val="0"/>
          <w:divBdr>
            <w:top w:val="none" w:sz="0" w:space="0" w:color="auto"/>
            <w:left w:val="none" w:sz="0" w:space="0" w:color="auto"/>
            <w:bottom w:val="none" w:sz="0" w:space="0" w:color="auto"/>
            <w:right w:val="none" w:sz="0" w:space="0" w:color="auto"/>
          </w:divBdr>
        </w:div>
        <w:div w:id="518084649">
          <w:marLeft w:val="1080"/>
          <w:marRight w:val="0"/>
          <w:marTop w:val="100"/>
          <w:marBottom w:val="0"/>
          <w:divBdr>
            <w:top w:val="none" w:sz="0" w:space="0" w:color="auto"/>
            <w:left w:val="none" w:sz="0" w:space="0" w:color="auto"/>
            <w:bottom w:val="none" w:sz="0" w:space="0" w:color="auto"/>
            <w:right w:val="none" w:sz="0" w:space="0" w:color="auto"/>
          </w:divBdr>
        </w:div>
        <w:div w:id="687174744">
          <w:marLeft w:val="1080"/>
          <w:marRight w:val="0"/>
          <w:marTop w:val="100"/>
          <w:marBottom w:val="0"/>
          <w:divBdr>
            <w:top w:val="none" w:sz="0" w:space="0" w:color="auto"/>
            <w:left w:val="none" w:sz="0" w:space="0" w:color="auto"/>
            <w:bottom w:val="none" w:sz="0" w:space="0" w:color="auto"/>
            <w:right w:val="none" w:sz="0" w:space="0" w:color="auto"/>
          </w:divBdr>
        </w:div>
        <w:div w:id="688528900">
          <w:marLeft w:val="1080"/>
          <w:marRight w:val="0"/>
          <w:marTop w:val="100"/>
          <w:marBottom w:val="0"/>
          <w:divBdr>
            <w:top w:val="none" w:sz="0" w:space="0" w:color="auto"/>
            <w:left w:val="none" w:sz="0" w:space="0" w:color="auto"/>
            <w:bottom w:val="none" w:sz="0" w:space="0" w:color="auto"/>
            <w:right w:val="none" w:sz="0" w:space="0" w:color="auto"/>
          </w:divBdr>
        </w:div>
        <w:div w:id="744686627">
          <w:marLeft w:val="1080"/>
          <w:marRight w:val="0"/>
          <w:marTop w:val="100"/>
          <w:marBottom w:val="0"/>
          <w:divBdr>
            <w:top w:val="none" w:sz="0" w:space="0" w:color="auto"/>
            <w:left w:val="none" w:sz="0" w:space="0" w:color="auto"/>
            <w:bottom w:val="none" w:sz="0" w:space="0" w:color="auto"/>
            <w:right w:val="none" w:sz="0" w:space="0" w:color="auto"/>
          </w:divBdr>
        </w:div>
        <w:div w:id="768769058">
          <w:marLeft w:val="1080"/>
          <w:marRight w:val="0"/>
          <w:marTop w:val="100"/>
          <w:marBottom w:val="0"/>
          <w:divBdr>
            <w:top w:val="none" w:sz="0" w:space="0" w:color="auto"/>
            <w:left w:val="none" w:sz="0" w:space="0" w:color="auto"/>
            <w:bottom w:val="none" w:sz="0" w:space="0" w:color="auto"/>
            <w:right w:val="none" w:sz="0" w:space="0" w:color="auto"/>
          </w:divBdr>
        </w:div>
        <w:div w:id="1097556987">
          <w:marLeft w:val="1080"/>
          <w:marRight w:val="0"/>
          <w:marTop w:val="100"/>
          <w:marBottom w:val="0"/>
          <w:divBdr>
            <w:top w:val="none" w:sz="0" w:space="0" w:color="auto"/>
            <w:left w:val="none" w:sz="0" w:space="0" w:color="auto"/>
            <w:bottom w:val="none" w:sz="0" w:space="0" w:color="auto"/>
            <w:right w:val="none" w:sz="0" w:space="0" w:color="auto"/>
          </w:divBdr>
        </w:div>
        <w:div w:id="1126895452">
          <w:marLeft w:val="1080"/>
          <w:marRight w:val="0"/>
          <w:marTop w:val="100"/>
          <w:marBottom w:val="0"/>
          <w:divBdr>
            <w:top w:val="none" w:sz="0" w:space="0" w:color="auto"/>
            <w:left w:val="none" w:sz="0" w:space="0" w:color="auto"/>
            <w:bottom w:val="none" w:sz="0" w:space="0" w:color="auto"/>
            <w:right w:val="none" w:sz="0" w:space="0" w:color="auto"/>
          </w:divBdr>
        </w:div>
        <w:div w:id="1148789276">
          <w:marLeft w:val="1080"/>
          <w:marRight w:val="0"/>
          <w:marTop w:val="100"/>
          <w:marBottom w:val="0"/>
          <w:divBdr>
            <w:top w:val="none" w:sz="0" w:space="0" w:color="auto"/>
            <w:left w:val="none" w:sz="0" w:space="0" w:color="auto"/>
            <w:bottom w:val="none" w:sz="0" w:space="0" w:color="auto"/>
            <w:right w:val="none" w:sz="0" w:space="0" w:color="auto"/>
          </w:divBdr>
        </w:div>
        <w:div w:id="1327515566">
          <w:marLeft w:val="1080"/>
          <w:marRight w:val="0"/>
          <w:marTop w:val="100"/>
          <w:marBottom w:val="0"/>
          <w:divBdr>
            <w:top w:val="none" w:sz="0" w:space="0" w:color="auto"/>
            <w:left w:val="none" w:sz="0" w:space="0" w:color="auto"/>
            <w:bottom w:val="none" w:sz="0" w:space="0" w:color="auto"/>
            <w:right w:val="none" w:sz="0" w:space="0" w:color="auto"/>
          </w:divBdr>
        </w:div>
        <w:div w:id="1367561668">
          <w:marLeft w:val="1080"/>
          <w:marRight w:val="0"/>
          <w:marTop w:val="100"/>
          <w:marBottom w:val="0"/>
          <w:divBdr>
            <w:top w:val="none" w:sz="0" w:space="0" w:color="auto"/>
            <w:left w:val="none" w:sz="0" w:space="0" w:color="auto"/>
            <w:bottom w:val="none" w:sz="0" w:space="0" w:color="auto"/>
            <w:right w:val="none" w:sz="0" w:space="0" w:color="auto"/>
          </w:divBdr>
        </w:div>
      </w:divsChild>
    </w:div>
    <w:div w:id="833881671">
      <w:bodyDiv w:val="1"/>
      <w:marLeft w:val="0"/>
      <w:marRight w:val="0"/>
      <w:marTop w:val="0"/>
      <w:marBottom w:val="0"/>
      <w:divBdr>
        <w:top w:val="none" w:sz="0" w:space="0" w:color="auto"/>
        <w:left w:val="none" w:sz="0" w:space="0" w:color="auto"/>
        <w:bottom w:val="none" w:sz="0" w:space="0" w:color="auto"/>
        <w:right w:val="none" w:sz="0" w:space="0" w:color="auto"/>
      </w:divBdr>
    </w:div>
    <w:div w:id="852038237">
      <w:bodyDiv w:val="1"/>
      <w:marLeft w:val="0"/>
      <w:marRight w:val="0"/>
      <w:marTop w:val="0"/>
      <w:marBottom w:val="0"/>
      <w:divBdr>
        <w:top w:val="none" w:sz="0" w:space="0" w:color="auto"/>
        <w:left w:val="none" w:sz="0" w:space="0" w:color="auto"/>
        <w:bottom w:val="none" w:sz="0" w:space="0" w:color="auto"/>
        <w:right w:val="none" w:sz="0" w:space="0" w:color="auto"/>
      </w:divBdr>
      <w:divsChild>
        <w:div w:id="110978853">
          <w:marLeft w:val="360"/>
          <w:marRight w:val="0"/>
          <w:marTop w:val="200"/>
          <w:marBottom w:val="0"/>
          <w:divBdr>
            <w:top w:val="none" w:sz="0" w:space="0" w:color="auto"/>
            <w:left w:val="none" w:sz="0" w:space="0" w:color="auto"/>
            <w:bottom w:val="none" w:sz="0" w:space="0" w:color="auto"/>
            <w:right w:val="none" w:sz="0" w:space="0" w:color="auto"/>
          </w:divBdr>
        </w:div>
        <w:div w:id="611278293">
          <w:marLeft w:val="360"/>
          <w:marRight w:val="0"/>
          <w:marTop w:val="200"/>
          <w:marBottom w:val="0"/>
          <w:divBdr>
            <w:top w:val="none" w:sz="0" w:space="0" w:color="auto"/>
            <w:left w:val="none" w:sz="0" w:space="0" w:color="auto"/>
            <w:bottom w:val="none" w:sz="0" w:space="0" w:color="auto"/>
            <w:right w:val="none" w:sz="0" w:space="0" w:color="auto"/>
          </w:divBdr>
        </w:div>
        <w:div w:id="715206443">
          <w:marLeft w:val="360"/>
          <w:marRight w:val="0"/>
          <w:marTop w:val="200"/>
          <w:marBottom w:val="0"/>
          <w:divBdr>
            <w:top w:val="none" w:sz="0" w:space="0" w:color="auto"/>
            <w:left w:val="none" w:sz="0" w:space="0" w:color="auto"/>
            <w:bottom w:val="none" w:sz="0" w:space="0" w:color="auto"/>
            <w:right w:val="none" w:sz="0" w:space="0" w:color="auto"/>
          </w:divBdr>
        </w:div>
        <w:div w:id="790782847">
          <w:marLeft w:val="360"/>
          <w:marRight w:val="0"/>
          <w:marTop w:val="200"/>
          <w:marBottom w:val="0"/>
          <w:divBdr>
            <w:top w:val="none" w:sz="0" w:space="0" w:color="auto"/>
            <w:left w:val="none" w:sz="0" w:space="0" w:color="auto"/>
            <w:bottom w:val="none" w:sz="0" w:space="0" w:color="auto"/>
            <w:right w:val="none" w:sz="0" w:space="0" w:color="auto"/>
          </w:divBdr>
        </w:div>
        <w:div w:id="1255476445">
          <w:marLeft w:val="360"/>
          <w:marRight w:val="0"/>
          <w:marTop w:val="200"/>
          <w:marBottom w:val="0"/>
          <w:divBdr>
            <w:top w:val="none" w:sz="0" w:space="0" w:color="auto"/>
            <w:left w:val="none" w:sz="0" w:space="0" w:color="auto"/>
            <w:bottom w:val="none" w:sz="0" w:space="0" w:color="auto"/>
            <w:right w:val="none" w:sz="0" w:space="0" w:color="auto"/>
          </w:divBdr>
        </w:div>
        <w:div w:id="1586109430">
          <w:marLeft w:val="360"/>
          <w:marRight w:val="0"/>
          <w:marTop w:val="200"/>
          <w:marBottom w:val="0"/>
          <w:divBdr>
            <w:top w:val="none" w:sz="0" w:space="0" w:color="auto"/>
            <w:left w:val="none" w:sz="0" w:space="0" w:color="auto"/>
            <w:bottom w:val="none" w:sz="0" w:space="0" w:color="auto"/>
            <w:right w:val="none" w:sz="0" w:space="0" w:color="auto"/>
          </w:divBdr>
        </w:div>
        <w:div w:id="2078892599">
          <w:marLeft w:val="360"/>
          <w:marRight w:val="0"/>
          <w:marTop w:val="200"/>
          <w:marBottom w:val="0"/>
          <w:divBdr>
            <w:top w:val="none" w:sz="0" w:space="0" w:color="auto"/>
            <w:left w:val="none" w:sz="0" w:space="0" w:color="auto"/>
            <w:bottom w:val="none" w:sz="0" w:space="0" w:color="auto"/>
            <w:right w:val="none" w:sz="0" w:space="0" w:color="auto"/>
          </w:divBdr>
        </w:div>
      </w:divsChild>
    </w:div>
    <w:div w:id="862011941">
      <w:bodyDiv w:val="1"/>
      <w:marLeft w:val="0"/>
      <w:marRight w:val="0"/>
      <w:marTop w:val="0"/>
      <w:marBottom w:val="0"/>
      <w:divBdr>
        <w:top w:val="none" w:sz="0" w:space="0" w:color="auto"/>
        <w:left w:val="none" w:sz="0" w:space="0" w:color="auto"/>
        <w:bottom w:val="none" w:sz="0" w:space="0" w:color="auto"/>
        <w:right w:val="none" w:sz="0" w:space="0" w:color="auto"/>
      </w:divBdr>
      <w:divsChild>
        <w:div w:id="495845778">
          <w:marLeft w:val="0"/>
          <w:marRight w:val="0"/>
          <w:marTop w:val="0"/>
          <w:marBottom w:val="0"/>
          <w:divBdr>
            <w:top w:val="none" w:sz="0" w:space="0" w:color="auto"/>
            <w:left w:val="none" w:sz="0" w:space="0" w:color="auto"/>
            <w:bottom w:val="none" w:sz="0" w:space="0" w:color="auto"/>
            <w:right w:val="none" w:sz="0" w:space="0" w:color="auto"/>
          </w:divBdr>
        </w:div>
      </w:divsChild>
    </w:div>
    <w:div w:id="870458605">
      <w:bodyDiv w:val="1"/>
      <w:marLeft w:val="0"/>
      <w:marRight w:val="0"/>
      <w:marTop w:val="0"/>
      <w:marBottom w:val="0"/>
      <w:divBdr>
        <w:top w:val="none" w:sz="0" w:space="0" w:color="auto"/>
        <w:left w:val="none" w:sz="0" w:space="0" w:color="auto"/>
        <w:bottom w:val="none" w:sz="0" w:space="0" w:color="auto"/>
        <w:right w:val="none" w:sz="0" w:space="0" w:color="auto"/>
      </w:divBdr>
    </w:div>
    <w:div w:id="886572502">
      <w:bodyDiv w:val="1"/>
      <w:marLeft w:val="0"/>
      <w:marRight w:val="0"/>
      <w:marTop w:val="0"/>
      <w:marBottom w:val="0"/>
      <w:divBdr>
        <w:top w:val="none" w:sz="0" w:space="0" w:color="auto"/>
        <w:left w:val="none" w:sz="0" w:space="0" w:color="auto"/>
        <w:bottom w:val="none" w:sz="0" w:space="0" w:color="auto"/>
        <w:right w:val="none" w:sz="0" w:space="0" w:color="auto"/>
      </w:divBdr>
    </w:div>
    <w:div w:id="902644445">
      <w:bodyDiv w:val="1"/>
      <w:marLeft w:val="0"/>
      <w:marRight w:val="0"/>
      <w:marTop w:val="0"/>
      <w:marBottom w:val="0"/>
      <w:divBdr>
        <w:top w:val="none" w:sz="0" w:space="0" w:color="auto"/>
        <w:left w:val="none" w:sz="0" w:space="0" w:color="auto"/>
        <w:bottom w:val="none" w:sz="0" w:space="0" w:color="auto"/>
        <w:right w:val="none" w:sz="0" w:space="0" w:color="auto"/>
      </w:divBdr>
      <w:divsChild>
        <w:div w:id="320503293">
          <w:marLeft w:val="1080"/>
          <w:marRight w:val="0"/>
          <w:marTop w:val="100"/>
          <w:marBottom w:val="0"/>
          <w:divBdr>
            <w:top w:val="none" w:sz="0" w:space="0" w:color="auto"/>
            <w:left w:val="none" w:sz="0" w:space="0" w:color="auto"/>
            <w:bottom w:val="none" w:sz="0" w:space="0" w:color="auto"/>
            <w:right w:val="none" w:sz="0" w:space="0" w:color="auto"/>
          </w:divBdr>
        </w:div>
        <w:div w:id="964043128">
          <w:marLeft w:val="1080"/>
          <w:marRight w:val="0"/>
          <w:marTop w:val="100"/>
          <w:marBottom w:val="0"/>
          <w:divBdr>
            <w:top w:val="none" w:sz="0" w:space="0" w:color="auto"/>
            <w:left w:val="none" w:sz="0" w:space="0" w:color="auto"/>
            <w:bottom w:val="none" w:sz="0" w:space="0" w:color="auto"/>
            <w:right w:val="none" w:sz="0" w:space="0" w:color="auto"/>
          </w:divBdr>
        </w:div>
        <w:div w:id="995033630">
          <w:marLeft w:val="1080"/>
          <w:marRight w:val="0"/>
          <w:marTop w:val="100"/>
          <w:marBottom w:val="0"/>
          <w:divBdr>
            <w:top w:val="none" w:sz="0" w:space="0" w:color="auto"/>
            <w:left w:val="none" w:sz="0" w:space="0" w:color="auto"/>
            <w:bottom w:val="none" w:sz="0" w:space="0" w:color="auto"/>
            <w:right w:val="none" w:sz="0" w:space="0" w:color="auto"/>
          </w:divBdr>
        </w:div>
        <w:div w:id="1170633920">
          <w:marLeft w:val="1080"/>
          <w:marRight w:val="0"/>
          <w:marTop w:val="100"/>
          <w:marBottom w:val="0"/>
          <w:divBdr>
            <w:top w:val="none" w:sz="0" w:space="0" w:color="auto"/>
            <w:left w:val="none" w:sz="0" w:space="0" w:color="auto"/>
            <w:bottom w:val="none" w:sz="0" w:space="0" w:color="auto"/>
            <w:right w:val="none" w:sz="0" w:space="0" w:color="auto"/>
          </w:divBdr>
        </w:div>
        <w:div w:id="1203438477">
          <w:marLeft w:val="1080"/>
          <w:marRight w:val="0"/>
          <w:marTop w:val="100"/>
          <w:marBottom w:val="0"/>
          <w:divBdr>
            <w:top w:val="none" w:sz="0" w:space="0" w:color="auto"/>
            <w:left w:val="none" w:sz="0" w:space="0" w:color="auto"/>
            <w:bottom w:val="none" w:sz="0" w:space="0" w:color="auto"/>
            <w:right w:val="none" w:sz="0" w:space="0" w:color="auto"/>
          </w:divBdr>
        </w:div>
        <w:div w:id="1292980139">
          <w:marLeft w:val="1080"/>
          <w:marRight w:val="0"/>
          <w:marTop w:val="100"/>
          <w:marBottom w:val="0"/>
          <w:divBdr>
            <w:top w:val="none" w:sz="0" w:space="0" w:color="auto"/>
            <w:left w:val="none" w:sz="0" w:space="0" w:color="auto"/>
            <w:bottom w:val="none" w:sz="0" w:space="0" w:color="auto"/>
            <w:right w:val="none" w:sz="0" w:space="0" w:color="auto"/>
          </w:divBdr>
        </w:div>
        <w:div w:id="1364136318">
          <w:marLeft w:val="360"/>
          <w:marRight w:val="0"/>
          <w:marTop w:val="200"/>
          <w:marBottom w:val="0"/>
          <w:divBdr>
            <w:top w:val="none" w:sz="0" w:space="0" w:color="auto"/>
            <w:left w:val="none" w:sz="0" w:space="0" w:color="auto"/>
            <w:bottom w:val="none" w:sz="0" w:space="0" w:color="auto"/>
            <w:right w:val="none" w:sz="0" w:space="0" w:color="auto"/>
          </w:divBdr>
        </w:div>
        <w:div w:id="1449279847">
          <w:marLeft w:val="1080"/>
          <w:marRight w:val="0"/>
          <w:marTop w:val="100"/>
          <w:marBottom w:val="0"/>
          <w:divBdr>
            <w:top w:val="none" w:sz="0" w:space="0" w:color="auto"/>
            <w:left w:val="none" w:sz="0" w:space="0" w:color="auto"/>
            <w:bottom w:val="none" w:sz="0" w:space="0" w:color="auto"/>
            <w:right w:val="none" w:sz="0" w:space="0" w:color="auto"/>
          </w:divBdr>
        </w:div>
        <w:div w:id="1840386586">
          <w:marLeft w:val="360"/>
          <w:marRight w:val="0"/>
          <w:marTop w:val="200"/>
          <w:marBottom w:val="0"/>
          <w:divBdr>
            <w:top w:val="none" w:sz="0" w:space="0" w:color="auto"/>
            <w:left w:val="none" w:sz="0" w:space="0" w:color="auto"/>
            <w:bottom w:val="none" w:sz="0" w:space="0" w:color="auto"/>
            <w:right w:val="none" w:sz="0" w:space="0" w:color="auto"/>
          </w:divBdr>
        </w:div>
      </w:divsChild>
    </w:div>
    <w:div w:id="903639707">
      <w:bodyDiv w:val="1"/>
      <w:marLeft w:val="0"/>
      <w:marRight w:val="0"/>
      <w:marTop w:val="0"/>
      <w:marBottom w:val="0"/>
      <w:divBdr>
        <w:top w:val="none" w:sz="0" w:space="0" w:color="auto"/>
        <w:left w:val="none" w:sz="0" w:space="0" w:color="auto"/>
        <w:bottom w:val="none" w:sz="0" w:space="0" w:color="auto"/>
        <w:right w:val="none" w:sz="0" w:space="0" w:color="auto"/>
      </w:divBdr>
      <w:divsChild>
        <w:div w:id="433601256">
          <w:marLeft w:val="720"/>
          <w:marRight w:val="0"/>
          <w:marTop w:val="0"/>
          <w:marBottom w:val="0"/>
          <w:divBdr>
            <w:top w:val="none" w:sz="0" w:space="0" w:color="auto"/>
            <w:left w:val="none" w:sz="0" w:space="0" w:color="auto"/>
            <w:bottom w:val="none" w:sz="0" w:space="0" w:color="auto"/>
            <w:right w:val="none" w:sz="0" w:space="0" w:color="auto"/>
          </w:divBdr>
        </w:div>
        <w:div w:id="1106149207">
          <w:marLeft w:val="720"/>
          <w:marRight w:val="0"/>
          <w:marTop w:val="0"/>
          <w:marBottom w:val="0"/>
          <w:divBdr>
            <w:top w:val="none" w:sz="0" w:space="0" w:color="auto"/>
            <w:left w:val="none" w:sz="0" w:space="0" w:color="auto"/>
            <w:bottom w:val="none" w:sz="0" w:space="0" w:color="auto"/>
            <w:right w:val="none" w:sz="0" w:space="0" w:color="auto"/>
          </w:divBdr>
        </w:div>
        <w:div w:id="1578201944">
          <w:marLeft w:val="720"/>
          <w:marRight w:val="0"/>
          <w:marTop w:val="0"/>
          <w:marBottom w:val="0"/>
          <w:divBdr>
            <w:top w:val="none" w:sz="0" w:space="0" w:color="auto"/>
            <w:left w:val="none" w:sz="0" w:space="0" w:color="auto"/>
            <w:bottom w:val="none" w:sz="0" w:space="0" w:color="auto"/>
            <w:right w:val="none" w:sz="0" w:space="0" w:color="auto"/>
          </w:divBdr>
        </w:div>
        <w:div w:id="1804034836">
          <w:marLeft w:val="547"/>
          <w:marRight w:val="0"/>
          <w:marTop w:val="0"/>
          <w:marBottom w:val="0"/>
          <w:divBdr>
            <w:top w:val="none" w:sz="0" w:space="0" w:color="auto"/>
            <w:left w:val="none" w:sz="0" w:space="0" w:color="auto"/>
            <w:bottom w:val="none" w:sz="0" w:space="0" w:color="auto"/>
            <w:right w:val="none" w:sz="0" w:space="0" w:color="auto"/>
          </w:divBdr>
        </w:div>
      </w:divsChild>
    </w:div>
    <w:div w:id="953293812">
      <w:bodyDiv w:val="1"/>
      <w:marLeft w:val="0"/>
      <w:marRight w:val="0"/>
      <w:marTop w:val="0"/>
      <w:marBottom w:val="0"/>
      <w:divBdr>
        <w:top w:val="none" w:sz="0" w:space="0" w:color="auto"/>
        <w:left w:val="none" w:sz="0" w:space="0" w:color="auto"/>
        <w:bottom w:val="none" w:sz="0" w:space="0" w:color="auto"/>
        <w:right w:val="none" w:sz="0" w:space="0" w:color="auto"/>
      </w:divBdr>
    </w:div>
    <w:div w:id="95506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2244">
          <w:marLeft w:val="446"/>
          <w:marRight w:val="0"/>
          <w:marTop w:val="0"/>
          <w:marBottom w:val="0"/>
          <w:divBdr>
            <w:top w:val="none" w:sz="0" w:space="0" w:color="auto"/>
            <w:left w:val="none" w:sz="0" w:space="0" w:color="auto"/>
            <w:bottom w:val="none" w:sz="0" w:space="0" w:color="auto"/>
            <w:right w:val="none" w:sz="0" w:space="0" w:color="auto"/>
          </w:divBdr>
        </w:div>
        <w:div w:id="954869286">
          <w:marLeft w:val="446"/>
          <w:marRight w:val="0"/>
          <w:marTop w:val="0"/>
          <w:marBottom w:val="0"/>
          <w:divBdr>
            <w:top w:val="none" w:sz="0" w:space="0" w:color="auto"/>
            <w:left w:val="none" w:sz="0" w:space="0" w:color="auto"/>
            <w:bottom w:val="none" w:sz="0" w:space="0" w:color="auto"/>
            <w:right w:val="none" w:sz="0" w:space="0" w:color="auto"/>
          </w:divBdr>
        </w:div>
        <w:div w:id="1716661381">
          <w:marLeft w:val="446"/>
          <w:marRight w:val="0"/>
          <w:marTop w:val="0"/>
          <w:marBottom w:val="0"/>
          <w:divBdr>
            <w:top w:val="none" w:sz="0" w:space="0" w:color="auto"/>
            <w:left w:val="none" w:sz="0" w:space="0" w:color="auto"/>
            <w:bottom w:val="none" w:sz="0" w:space="0" w:color="auto"/>
            <w:right w:val="none" w:sz="0" w:space="0" w:color="auto"/>
          </w:divBdr>
        </w:div>
        <w:div w:id="2039698471">
          <w:marLeft w:val="446"/>
          <w:marRight w:val="0"/>
          <w:marTop w:val="0"/>
          <w:marBottom w:val="0"/>
          <w:divBdr>
            <w:top w:val="none" w:sz="0" w:space="0" w:color="auto"/>
            <w:left w:val="none" w:sz="0" w:space="0" w:color="auto"/>
            <w:bottom w:val="none" w:sz="0" w:space="0" w:color="auto"/>
            <w:right w:val="none" w:sz="0" w:space="0" w:color="auto"/>
          </w:divBdr>
        </w:div>
        <w:div w:id="2065178227">
          <w:marLeft w:val="446"/>
          <w:marRight w:val="0"/>
          <w:marTop w:val="0"/>
          <w:marBottom w:val="0"/>
          <w:divBdr>
            <w:top w:val="none" w:sz="0" w:space="0" w:color="auto"/>
            <w:left w:val="none" w:sz="0" w:space="0" w:color="auto"/>
            <w:bottom w:val="none" w:sz="0" w:space="0" w:color="auto"/>
            <w:right w:val="none" w:sz="0" w:space="0" w:color="auto"/>
          </w:divBdr>
        </w:div>
      </w:divsChild>
    </w:div>
    <w:div w:id="958755359">
      <w:bodyDiv w:val="1"/>
      <w:marLeft w:val="0"/>
      <w:marRight w:val="0"/>
      <w:marTop w:val="0"/>
      <w:marBottom w:val="0"/>
      <w:divBdr>
        <w:top w:val="none" w:sz="0" w:space="0" w:color="auto"/>
        <w:left w:val="none" w:sz="0" w:space="0" w:color="auto"/>
        <w:bottom w:val="none" w:sz="0" w:space="0" w:color="auto"/>
        <w:right w:val="none" w:sz="0" w:space="0" w:color="auto"/>
      </w:divBdr>
      <w:divsChild>
        <w:div w:id="973295803">
          <w:marLeft w:val="360"/>
          <w:marRight w:val="0"/>
          <w:marTop w:val="200"/>
          <w:marBottom w:val="0"/>
          <w:divBdr>
            <w:top w:val="none" w:sz="0" w:space="0" w:color="auto"/>
            <w:left w:val="none" w:sz="0" w:space="0" w:color="auto"/>
            <w:bottom w:val="none" w:sz="0" w:space="0" w:color="auto"/>
            <w:right w:val="none" w:sz="0" w:space="0" w:color="auto"/>
          </w:divBdr>
        </w:div>
        <w:div w:id="1080710617">
          <w:marLeft w:val="360"/>
          <w:marRight w:val="0"/>
          <w:marTop w:val="200"/>
          <w:marBottom w:val="0"/>
          <w:divBdr>
            <w:top w:val="none" w:sz="0" w:space="0" w:color="auto"/>
            <w:left w:val="none" w:sz="0" w:space="0" w:color="auto"/>
            <w:bottom w:val="none" w:sz="0" w:space="0" w:color="auto"/>
            <w:right w:val="none" w:sz="0" w:space="0" w:color="auto"/>
          </w:divBdr>
        </w:div>
        <w:div w:id="1671102550">
          <w:marLeft w:val="360"/>
          <w:marRight w:val="0"/>
          <w:marTop w:val="200"/>
          <w:marBottom w:val="0"/>
          <w:divBdr>
            <w:top w:val="none" w:sz="0" w:space="0" w:color="auto"/>
            <w:left w:val="none" w:sz="0" w:space="0" w:color="auto"/>
            <w:bottom w:val="none" w:sz="0" w:space="0" w:color="auto"/>
            <w:right w:val="none" w:sz="0" w:space="0" w:color="auto"/>
          </w:divBdr>
        </w:div>
        <w:div w:id="1867254982">
          <w:marLeft w:val="360"/>
          <w:marRight w:val="0"/>
          <w:marTop w:val="200"/>
          <w:marBottom w:val="0"/>
          <w:divBdr>
            <w:top w:val="none" w:sz="0" w:space="0" w:color="auto"/>
            <w:left w:val="none" w:sz="0" w:space="0" w:color="auto"/>
            <w:bottom w:val="none" w:sz="0" w:space="0" w:color="auto"/>
            <w:right w:val="none" w:sz="0" w:space="0" w:color="auto"/>
          </w:divBdr>
        </w:div>
        <w:div w:id="1973485642">
          <w:marLeft w:val="360"/>
          <w:marRight w:val="0"/>
          <w:marTop w:val="200"/>
          <w:marBottom w:val="0"/>
          <w:divBdr>
            <w:top w:val="none" w:sz="0" w:space="0" w:color="auto"/>
            <w:left w:val="none" w:sz="0" w:space="0" w:color="auto"/>
            <w:bottom w:val="none" w:sz="0" w:space="0" w:color="auto"/>
            <w:right w:val="none" w:sz="0" w:space="0" w:color="auto"/>
          </w:divBdr>
        </w:div>
      </w:divsChild>
    </w:div>
    <w:div w:id="1003970963">
      <w:bodyDiv w:val="1"/>
      <w:marLeft w:val="0"/>
      <w:marRight w:val="0"/>
      <w:marTop w:val="0"/>
      <w:marBottom w:val="0"/>
      <w:divBdr>
        <w:top w:val="none" w:sz="0" w:space="0" w:color="auto"/>
        <w:left w:val="none" w:sz="0" w:space="0" w:color="auto"/>
        <w:bottom w:val="none" w:sz="0" w:space="0" w:color="auto"/>
        <w:right w:val="none" w:sz="0" w:space="0" w:color="auto"/>
      </w:divBdr>
      <w:divsChild>
        <w:div w:id="233666585">
          <w:marLeft w:val="360"/>
          <w:marRight w:val="0"/>
          <w:marTop w:val="200"/>
          <w:marBottom w:val="0"/>
          <w:divBdr>
            <w:top w:val="none" w:sz="0" w:space="0" w:color="auto"/>
            <w:left w:val="none" w:sz="0" w:space="0" w:color="auto"/>
            <w:bottom w:val="none" w:sz="0" w:space="0" w:color="auto"/>
            <w:right w:val="none" w:sz="0" w:space="0" w:color="auto"/>
          </w:divBdr>
        </w:div>
        <w:div w:id="430706999">
          <w:marLeft w:val="1080"/>
          <w:marRight w:val="0"/>
          <w:marTop w:val="100"/>
          <w:marBottom w:val="0"/>
          <w:divBdr>
            <w:top w:val="none" w:sz="0" w:space="0" w:color="auto"/>
            <w:left w:val="none" w:sz="0" w:space="0" w:color="auto"/>
            <w:bottom w:val="none" w:sz="0" w:space="0" w:color="auto"/>
            <w:right w:val="none" w:sz="0" w:space="0" w:color="auto"/>
          </w:divBdr>
        </w:div>
        <w:div w:id="804276779">
          <w:marLeft w:val="360"/>
          <w:marRight w:val="0"/>
          <w:marTop w:val="200"/>
          <w:marBottom w:val="0"/>
          <w:divBdr>
            <w:top w:val="none" w:sz="0" w:space="0" w:color="auto"/>
            <w:left w:val="none" w:sz="0" w:space="0" w:color="auto"/>
            <w:bottom w:val="none" w:sz="0" w:space="0" w:color="auto"/>
            <w:right w:val="none" w:sz="0" w:space="0" w:color="auto"/>
          </w:divBdr>
        </w:div>
        <w:div w:id="1073821825">
          <w:marLeft w:val="360"/>
          <w:marRight w:val="0"/>
          <w:marTop w:val="200"/>
          <w:marBottom w:val="0"/>
          <w:divBdr>
            <w:top w:val="none" w:sz="0" w:space="0" w:color="auto"/>
            <w:left w:val="none" w:sz="0" w:space="0" w:color="auto"/>
            <w:bottom w:val="none" w:sz="0" w:space="0" w:color="auto"/>
            <w:right w:val="none" w:sz="0" w:space="0" w:color="auto"/>
          </w:divBdr>
        </w:div>
        <w:div w:id="1257904402">
          <w:marLeft w:val="1080"/>
          <w:marRight w:val="0"/>
          <w:marTop w:val="100"/>
          <w:marBottom w:val="0"/>
          <w:divBdr>
            <w:top w:val="none" w:sz="0" w:space="0" w:color="auto"/>
            <w:left w:val="none" w:sz="0" w:space="0" w:color="auto"/>
            <w:bottom w:val="none" w:sz="0" w:space="0" w:color="auto"/>
            <w:right w:val="none" w:sz="0" w:space="0" w:color="auto"/>
          </w:divBdr>
        </w:div>
        <w:div w:id="1322736828">
          <w:marLeft w:val="1080"/>
          <w:marRight w:val="0"/>
          <w:marTop w:val="100"/>
          <w:marBottom w:val="0"/>
          <w:divBdr>
            <w:top w:val="none" w:sz="0" w:space="0" w:color="auto"/>
            <w:left w:val="none" w:sz="0" w:space="0" w:color="auto"/>
            <w:bottom w:val="none" w:sz="0" w:space="0" w:color="auto"/>
            <w:right w:val="none" w:sz="0" w:space="0" w:color="auto"/>
          </w:divBdr>
        </w:div>
        <w:div w:id="1423910050">
          <w:marLeft w:val="1080"/>
          <w:marRight w:val="0"/>
          <w:marTop w:val="100"/>
          <w:marBottom w:val="0"/>
          <w:divBdr>
            <w:top w:val="none" w:sz="0" w:space="0" w:color="auto"/>
            <w:left w:val="none" w:sz="0" w:space="0" w:color="auto"/>
            <w:bottom w:val="none" w:sz="0" w:space="0" w:color="auto"/>
            <w:right w:val="none" w:sz="0" w:space="0" w:color="auto"/>
          </w:divBdr>
        </w:div>
        <w:div w:id="2051951504">
          <w:marLeft w:val="1080"/>
          <w:marRight w:val="0"/>
          <w:marTop w:val="100"/>
          <w:marBottom w:val="0"/>
          <w:divBdr>
            <w:top w:val="none" w:sz="0" w:space="0" w:color="auto"/>
            <w:left w:val="none" w:sz="0" w:space="0" w:color="auto"/>
            <w:bottom w:val="none" w:sz="0" w:space="0" w:color="auto"/>
            <w:right w:val="none" w:sz="0" w:space="0" w:color="auto"/>
          </w:divBdr>
        </w:div>
        <w:div w:id="2073498704">
          <w:marLeft w:val="1080"/>
          <w:marRight w:val="0"/>
          <w:marTop w:val="100"/>
          <w:marBottom w:val="0"/>
          <w:divBdr>
            <w:top w:val="none" w:sz="0" w:space="0" w:color="auto"/>
            <w:left w:val="none" w:sz="0" w:space="0" w:color="auto"/>
            <w:bottom w:val="none" w:sz="0" w:space="0" w:color="auto"/>
            <w:right w:val="none" w:sz="0" w:space="0" w:color="auto"/>
          </w:divBdr>
        </w:div>
      </w:divsChild>
    </w:div>
    <w:div w:id="1015225062">
      <w:bodyDiv w:val="1"/>
      <w:marLeft w:val="0"/>
      <w:marRight w:val="0"/>
      <w:marTop w:val="0"/>
      <w:marBottom w:val="0"/>
      <w:divBdr>
        <w:top w:val="none" w:sz="0" w:space="0" w:color="auto"/>
        <w:left w:val="none" w:sz="0" w:space="0" w:color="auto"/>
        <w:bottom w:val="none" w:sz="0" w:space="0" w:color="auto"/>
        <w:right w:val="none" w:sz="0" w:space="0" w:color="auto"/>
      </w:divBdr>
      <w:divsChild>
        <w:div w:id="19669511">
          <w:marLeft w:val="547"/>
          <w:marRight w:val="0"/>
          <w:marTop w:val="0"/>
          <w:marBottom w:val="0"/>
          <w:divBdr>
            <w:top w:val="none" w:sz="0" w:space="0" w:color="auto"/>
            <w:left w:val="none" w:sz="0" w:space="0" w:color="auto"/>
            <w:bottom w:val="none" w:sz="0" w:space="0" w:color="auto"/>
            <w:right w:val="none" w:sz="0" w:space="0" w:color="auto"/>
          </w:divBdr>
        </w:div>
        <w:div w:id="93478733">
          <w:marLeft w:val="547"/>
          <w:marRight w:val="0"/>
          <w:marTop w:val="0"/>
          <w:marBottom w:val="0"/>
          <w:divBdr>
            <w:top w:val="none" w:sz="0" w:space="0" w:color="auto"/>
            <w:left w:val="none" w:sz="0" w:space="0" w:color="auto"/>
            <w:bottom w:val="none" w:sz="0" w:space="0" w:color="auto"/>
            <w:right w:val="none" w:sz="0" w:space="0" w:color="auto"/>
          </w:divBdr>
        </w:div>
        <w:div w:id="526331506">
          <w:marLeft w:val="547"/>
          <w:marRight w:val="0"/>
          <w:marTop w:val="0"/>
          <w:marBottom w:val="0"/>
          <w:divBdr>
            <w:top w:val="none" w:sz="0" w:space="0" w:color="auto"/>
            <w:left w:val="none" w:sz="0" w:space="0" w:color="auto"/>
            <w:bottom w:val="none" w:sz="0" w:space="0" w:color="auto"/>
            <w:right w:val="none" w:sz="0" w:space="0" w:color="auto"/>
          </w:divBdr>
        </w:div>
        <w:div w:id="769282078">
          <w:marLeft w:val="547"/>
          <w:marRight w:val="0"/>
          <w:marTop w:val="0"/>
          <w:marBottom w:val="0"/>
          <w:divBdr>
            <w:top w:val="none" w:sz="0" w:space="0" w:color="auto"/>
            <w:left w:val="none" w:sz="0" w:space="0" w:color="auto"/>
            <w:bottom w:val="none" w:sz="0" w:space="0" w:color="auto"/>
            <w:right w:val="none" w:sz="0" w:space="0" w:color="auto"/>
          </w:divBdr>
        </w:div>
        <w:div w:id="1035884674">
          <w:marLeft w:val="547"/>
          <w:marRight w:val="0"/>
          <w:marTop w:val="0"/>
          <w:marBottom w:val="0"/>
          <w:divBdr>
            <w:top w:val="none" w:sz="0" w:space="0" w:color="auto"/>
            <w:left w:val="none" w:sz="0" w:space="0" w:color="auto"/>
            <w:bottom w:val="none" w:sz="0" w:space="0" w:color="auto"/>
            <w:right w:val="none" w:sz="0" w:space="0" w:color="auto"/>
          </w:divBdr>
        </w:div>
        <w:div w:id="1061751788">
          <w:marLeft w:val="547"/>
          <w:marRight w:val="0"/>
          <w:marTop w:val="0"/>
          <w:marBottom w:val="0"/>
          <w:divBdr>
            <w:top w:val="none" w:sz="0" w:space="0" w:color="auto"/>
            <w:left w:val="none" w:sz="0" w:space="0" w:color="auto"/>
            <w:bottom w:val="none" w:sz="0" w:space="0" w:color="auto"/>
            <w:right w:val="none" w:sz="0" w:space="0" w:color="auto"/>
          </w:divBdr>
        </w:div>
        <w:div w:id="1093936772">
          <w:marLeft w:val="547"/>
          <w:marRight w:val="0"/>
          <w:marTop w:val="0"/>
          <w:marBottom w:val="0"/>
          <w:divBdr>
            <w:top w:val="none" w:sz="0" w:space="0" w:color="auto"/>
            <w:left w:val="none" w:sz="0" w:space="0" w:color="auto"/>
            <w:bottom w:val="none" w:sz="0" w:space="0" w:color="auto"/>
            <w:right w:val="none" w:sz="0" w:space="0" w:color="auto"/>
          </w:divBdr>
        </w:div>
        <w:div w:id="1305624917">
          <w:marLeft w:val="547"/>
          <w:marRight w:val="0"/>
          <w:marTop w:val="0"/>
          <w:marBottom w:val="0"/>
          <w:divBdr>
            <w:top w:val="none" w:sz="0" w:space="0" w:color="auto"/>
            <w:left w:val="none" w:sz="0" w:space="0" w:color="auto"/>
            <w:bottom w:val="none" w:sz="0" w:space="0" w:color="auto"/>
            <w:right w:val="none" w:sz="0" w:space="0" w:color="auto"/>
          </w:divBdr>
        </w:div>
        <w:div w:id="1586185335">
          <w:marLeft w:val="547"/>
          <w:marRight w:val="0"/>
          <w:marTop w:val="0"/>
          <w:marBottom w:val="0"/>
          <w:divBdr>
            <w:top w:val="none" w:sz="0" w:space="0" w:color="auto"/>
            <w:left w:val="none" w:sz="0" w:space="0" w:color="auto"/>
            <w:bottom w:val="none" w:sz="0" w:space="0" w:color="auto"/>
            <w:right w:val="none" w:sz="0" w:space="0" w:color="auto"/>
          </w:divBdr>
        </w:div>
        <w:div w:id="1830125018">
          <w:marLeft w:val="547"/>
          <w:marRight w:val="0"/>
          <w:marTop w:val="0"/>
          <w:marBottom w:val="0"/>
          <w:divBdr>
            <w:top w:val="none" w:sz="0" w:space="0" w:color="auto"/>
            <w:left w:val="none" w:sz="0" w:space="0" w:color="auto"/>
            <w:bottom w:val="none" w:sz="0" w:space="0" w:color="auto"/>
            <w:right w:val="none" w:sz="0" w:space="0" w:color="auto"/>
          </w:divBdr>
        </w:div>
        <w:div w:id="1992058592">
          <w:marLeft w:val="547"/>
          <w:marRight w:val="0"/>
          <w:marTop w:val="0"/>
          <w:marBottom w:val="0"/>
          <w:divBdr>
            <w:top w:val="none" w:sz="0" w:space="0" w:color="auto"/>
            <w:left w:val="none" w:sz="0" w:space="0" w:color="auto"/>
            <w:bottom w:val="none" w:sz="0" w:space="0" w:color="auto"/>
            <w:right w:val="none" w:sz="0" w:space="0" w:color="auto"/>
          </w:divBdr>
        </w:div>
      </w:divsChild>
    </w:div>
    <w:div w:id="1028027216">
      <w:bodyDiv w:val="1"/>
      <w:marLeft w:val="0"/>
      <w:marRight w:val="0"/>
      <w:marTop w:val="0"/>
      <w:marBottom w:val="0"/>
      <w:divBdr>
        <w:top w:val="none" w:sz="0" w:space="0" w:color="auto"/>
        <w:left w:val="none" w:sz="0" w:space="0" w:color="auto"/>
        <w:bottom w:val="none" w:sz="0" w:space="0" w:color="auto"/>
        <w:right w:val="none" w:sz="0" w:space="0" w:color="auto"/>
      </w:divBdr>
    </w:div>
    <w:div w:id="1114209210">
      <w:bodyDiv w:val="1"/>
      <w:marLeft w:val="0"/>
      <w:marRight w:val="0"/>
      <w:marTop w:val="0"/>
      <w:marBottom w:val="0"/>
      <w:divBdr>
        <w:top w:val="none" w:sz="0" w:space="0" w:color="auto"/>
        <w:left w:val="none" w:sz="0" w:space="0" w:color="auto"/>
        <w:bottom w:val="none" w:sz="0" w:space="0" w:color="auto"/>
        <w:right w:val="none" w:sz="0" w:space="0" w:color="auto"/>
      </w:divBdr>
    </w:div>
    <w:div w:id="1126119105">
      <w:bodyDiv w:val="1"/>
      <w:marLeft w:val="0"/>
      <w:marRight w:val="0"/>
      <w:marTop w:val="0"/>
      <w:marBottom w:val="0"/>
      <w:divBdr>
        <w:top w:val="none" w:sz="0" w:space="0" w:color="auto"/>
        <w:left w:val="none" w:sz="0" w:space="0" w:color="auto"/>
        <w:bottom w:val="none" w:sz="0" w:space="0" w:color="auto"/>
        <w:right w:val="none" w:sz="0" w:space="0" w:color="auto"/>
      </w:divBdr>
    </w:div>
    <w:div w:id="1133213386">
      <w:bodyDiv w:val="1"/>
      <w:marLeft w:val="0"/>
      <w:marRight w:val="0"/>
      <w:marTop w:val="0"/>
      <w:marBottom w:val="0"/>
      <w:divBdr>
        <w:top w:val="none" w:sz="0" w:space="0" w:color="auto"/>
        <w:left w:val="none" w:sz="0" w:space="0" w:color="auto"/>
        <w:bottom w:val="none" w:sz="0" w:space="0" w:color="auto"/>
        <w:right w:val="none" w:sz="0" w:space="0" w:color="auto"/>
      </w:divBdr>
    </w:div>
    <w:div w:id="1141579644">
      <w:bodyDiv w:val="1"/>
      <w:marLeft w:val="0"/>
      <w:marRight w:val="0"/>
      <w:marTop w:val="0"/>
      <w:marBottom w:val="0"/>
      <w:divBdr>
        <w:top w:val="none" w:sz="0" w:space="0" w:color="auto"/>
        <w:left w:val="none" w:sz="0" w:space="0" w:color="auto"/>
        <w:bottom w:val="none" w:sz="0" w:space="0" w:color="auto"/>
        <w:right w:val="none" w:sz="0" w:space="0" w:color="auto"/>
      </w:divBdr>
      <w:divsChild>
        <w:div w:id="665090479">
          <w:marLeft w:val="547"/>
          <w:marRight w:val="0"/>
          <w:marTop w:val="144"/>
          <w:marBottom w:val="0"/>
          <w:divBdr>
            <w:top w:val="none" w:sz="0" w:space="0" w:color="auto"/>
            <w:left w:val="none" w:sz="0" w:space="0" w:color="auto"/>
            <w:bottom w:val="none" w:sz="0" w:space="0" w:color="auto"/>
            <w:right w:val="none" w:sz="0" w:space="0" w:color="auto"/>
          </w:divBdr>
        </w:div>
        <w:div w:id="751632739">
          <w:marLeft w:val="547"/>
          <w:marRight w:val="0"/>
          <w:marTop w:val="144"/>
          <w:marBottom w:val="0"/>
          <w:divBdr>
            <w:top w:val="none" w:sz="0" w:space="0" w:color="auto"/>
            <w:left w:val="none" w:sz="0" w:space="0" w:color="auto"/>
            <w:bottom w:val="none" w:sz="0" w:space="0" w:color="auto"/>
            <w:right w:val="none" w:sz="0" w:space="0" w:color="auto"/>
          </w:divBdr>
        </w:div>
        <w:div w:id="809400514">
          <w:marLeft w:val="547"/>
          <w:marRight w:val="0"/>
          <w:marTop w:val="144"/>
          <w:marBottom w:val="0"/>
          <w:divBdr>
            <w:top w:val="none" w:sz="0" w:space="0" w:color="auto"/>
            <w:left w:val="none" w:sz="0" w:space="0" w:color="auto"/>
            <w:bottom w:val="none" w:sz="0" w:space="0" w:color="auto"/>
            <w:right w:val="none" w:sz="0" w:space="0" w:color="auto"/>
          </w:divBdr>
        </w:div>
        <w:div w:id="1073814390">
          <w:marLeft w:val="547"/>
          <w:marRight w:val="0"/>
          <w:marTop w:val="144"/>
          <w:marBottom w:val="0"/>
          <w:divBdr>
            <w:top w:val="none" w:sz="0" w:space="0" w:color="auto"/>
            <w:left w:val="none" w:sz="0" w:space="0" w:color="auto"/>
            <w:bottom w:val="none" w:sz="0" w:space="0" w:color="auto"/>
            <w:right w:val="none" w:sz="0" w:space="0" w:color="auto"/>
          </w:divBdr>
        </w:div>
      </w:divsChild>
    </w:div>
    <w:div w:id="1142163714">
      <w:bodyDiv w:val="1"/>
      <w:marLeft w:val="0"/>
      <w:marRight w:val="0"/>
      <w:marTop w:val="0"/>
      <w:marBottom w:val="0"/>
      <w:divBdr>
        <w:top w:val="none" w:sz="0" w:space="0" w:color="auto"/>
        <w:left w:val="none" w:sz="0" w:space="0" w:color="auto"/>
        <w:bottom w:val="none" w:sz="0" w:space="0" w:color="auto"/>
        <w:right w:val="none" w:sz="0" w:space="0" w:color="auto"/>
      </w:divBdr>
    </w:div>
    <w:div w:id="1156802406">
      <w:bodyDiv w:val="1"/>
      <w:marLeft w:val="0"/>
      <w:marRight w:val="0"/>
      <w:marTop w:val="0"/>
      <w:marBottom w:val="0"/>
      <w:divBdr>
        <w:top w:val="none" w:sz="0" w:space="0" w:color="auto"/>
        <w:left w:val="none" w:sz="0" w:space="0" w:color="auto"/>
        <w:bottom w:val="none" w:sz="0" w:space="0" w:color="auto"/>
        <w:right w:val="none" w:sz="0" w:space="0" w:color="auto"/>
      </w:divBdr>
      <w:divsChild>
        <w:div w:id="524027206">
          <w:marLeft w:val="547"/>
          <w:marRight w:val="0"/>
          <w:marTop w:val="154"/>
          <w:marBottom w:val="0"/>
          <w:divBdr>
            <w:top w:val="none" w:sz="0" w:space="0" w:color="auto"/>
            <w:left w:val="none" w:sz="0" w:space="0" w:color="auto"/>
            <w:bottom w:val="none" w:sz="0" w:space="0" w:color="auto"/>
            <w:right w:val="none" w:sz="0" w:space="0" w:color="auto"/>
          </w:divBdr>
        </w:div>
        <w:div w:id="1263683056">
          <w:marLeft w:val="547"/>
          <w:marRight w:val="0"/>
          <w:marTop w:val="154"/>
          <w:marBottom w:val="0"/>
          <w:divBdr>
            <w:top w:val="none" w:sz="0" w:space="0" w:color="auto"/>
            <w:left w:val="none" w:sz="0" w:space="0" w:color="auto"/>
            <w:bottom w:val="none" w:sz="0" w:space="0" w:color="auto"/>
            <w:right w:val="none" w:sz="0" w:space="0" w:color="auto"/>
          </w:divBdr>
        </w:div>
      </w:divsChild>
    </w:div>
    <w:div w:id="1179124364">
      <w:bodyDiv w:val="1"/>
      <w:marLeft w:val="0"/>
      <w:marRight w:val="0"/>
      <w:marTop w:val="0"/>
      <w:marBottom w:val="0"/>
      <w:divBdr>
        <w:top w:val="none" w:sz="0" w:space="0" w:color="auto"/>
        <w:left w:val="none" w:sz="0" w:space="0" w:color="auto"/>
        <w:bottom w:val="none" w:sz="0" w:space="0" w:color="auto"/>
        <w:right w:val="none" w:sz="0" w:space="0" w:color="auto"/>
      </w:divBdr>
    </w:div>
    <w:div w:id="1241479821">
      <w:bodyDiv w:val="1"/>
      <w:marLeft w:val="0"/>
      <w:marRight w:val="0"/>
      <w:marTop w:val="0"/>
      <w:marBottom w:val="0"/>
      <w:divBdr>
        <w:top w:val="none" w:sz="0" w:space="0" w:color="auto"/>
        <w:left w:val="none" w:sz="0" w:space="0" w:color="auto"/>
        <w:bottom w:val="none" w:sz="0" w:space="0" w:color="auto"/>
        <w:right w:val="none" w:sz="0" w:space="0" w:color="auto"/>
      </w:divBdr>
    </w:div>
    <w:div w:id="1244608983">
      <w:bodyDiv w:val="1"/>
      <w:marLeft w:val="0"/>
      <w:marRight w:val="0"/>
      <w:marTop w:val="0"/>
      <w:marBottom w:val="0"/>
      <w:divBdr>
        <w:top w:val="none" w:sz="0" w:space="0" w:color="auto"/>
        <w:left w:val="none" w:sz="0" w:space="0" w:color="auto"/>
        <w:bottom w:val="none" w:sz="0" w:space="0" w:color="auto"/>
        <w:right w:val="none" w:sz="0" w:space="0" w:color="auto"/>
      </w:divBdr>
    </w:div>
    <w:div w:id="1253657789">
      <w:bodyDiv w:val="1"/>
      <w:marLeft w:val="0"/>
      <w:marRight w:val="0"/>
      <w:marTop w:val="0"/>
      <w:marBottom w:val="0"/>
      <w:divBdr>
        <w:top w:val="none" w:sz="0" w:space="0" w:color="auto"/>
        <w:left w:val="none" w:sz="0" w:space="0" w:color="auto"/>
        <w:bottom w:val="none" w:sz="0" w:space="0" w:color="auto"/>
        <w:right w:val="none" w:sz="0" w:space="0" w:color="auto"/>
      </w:divBdr>
    </w:div>
    <w:div w:id="1262954729">
      <w:bodyDiv w:val="1"/>
      <w:marLeft w:val="0"/>
      <w:marRight w:val="0"/>
      <w:marTop w:val="0"/>
      <w:marBottom w:val="0"/>
      <w:divBdr>
        <w:top w:val="none" w:sz="0" w:space="0" w:color="auto"/>
        <w:left w:val="none" w:sz="0" w:space="0" w:color="auto"/>
        <w:bottom w:val="none" w:sz="0" w:space="0" w:color="auto"/>
        <w:right w:val="none" w:sz="0" w:space="0" w:color="auto"/>
      </w:divBdr>
    </w:div>
    <w:div w:id="1274167029">
      <w:bodyDiv w:val="1"/>
      <w:marLeft w:val="0"/>
      <w:marRight w:val="0"/>
      <w:marTop w:val="0"/>
      <w:marBottom w:val="0"/>
      <w:divBdr>
        <w:top w:val="none" w:sz="0" w:space="0" w:color="auto"/>
        <w:left w:val="none" w:sz="0" w:space="0" w:color="auto"/>
        <w:bottom w:val="none" w:sz="0" w:space="0" w:color="auto"/>
        <w:right w:val="none" w:sz="0" w:space="0" w:color="auto"/>
      </w:divBdr>
    </w:div>
    <w:div w:id="1289386558">
      <w:bodyDiv w:val="1"/>
      <w:marLeft w:val="0"/>
      <w:marRight w:val="0"/>
      <w:marTop w:val="0"/>
      <w:marBottom w:val="0"/>
      <w:divBdr>
        <w:top w:val="none" w:sz="0" w:space="0" w:color="auto"/>
        <w:left w:val="none" w:sz="0" w:space="0" w:color="auto"/>
        <w:bottom w:val="none" w:sz="0" w:space="0" w:color="auto"/>
        <w:right w:val="none" w:sz="0" w:space="0" w:color="auto"/>
      </w:divBdr>
    </w:div>
    <w:div w:id="1290548955">
      <w:bodyDiv w:val="1"/>
      <w:marLeft w:val="0"/>
      <w:marRight w:val="0"/>
      <w:marTop w:val="0"/>
      <w:marBottom w:val="0"/>
      <w:divBdr>
        <w:top w:val="none" w:sz="0" w:space="0" w:color="auto"/>
        <w:left w:val="none" w:sz="0" w:space="0" w:color="auto"/>
        <w:bottom w:val="none" w:sz="0" w:space="0" w:color="auto"/>
        <w:right w:val="none" w:sz="0" w:space="0" w:color="auto"/>
      </w:divBdr>
    </w:div>
    <w:div w:id="1303392146">
      <w:bodyDiv w:val="1"/>
      <w:marLeft w:val="0"/>
      <w:marRight w:val="0"/>
      <w:marTop w:val="0"/>
      <w:marBottom w:val="0"/>
      <w:divBdr>
        <w:top w:val="none" w:sz="0" w:space="0" w:color="auto"/>
        <w:left w:val="none" w:sz="0" w:space="0" w:color="auto"/>
        <w:bottom w:val="none" w:sz="0" w:space="0" w:color="auto"/>
        <w:right w:val="none" w:sz="0" w:space="0" w:color="auto"/>
      </w:divBdr>
    </w:div>
    <w:div w:id="1322538429">
      <w:bodyDiv w:val="1"/>
      <w:marLeft w:val="0"/>
      <w:marRight w:val="0"/>
      <w:marTop w:val="0"/>
      <w:marBottom w:val="0"/>
      <w:divBdr>
        <w:top w:val="none" w:sz="0" w:space="0" w:color="auto"/>
        <w:left w:val="none" w:sz="0" w:space="0" w:color="auto"/>
        <w:bottom w:val="none" w:sz="0" w:space="0" w:color="auto"/>
        <w:right w:val="none" w:sz="0" w:space="0" w:color="auto"/>
      </w:divBdr>
      <w:divsChild>
        <w:div w:id="58331501">
          <w:marLeft w:val="360"/>
          <w:marRight w:val="0"/>
          <w:marTop w:val="200"/>
          <w:marBottom w:val="0"/>
          <w:divBdr>
            <w:top w:val="none" w:sz="0" w:space="0" w:color="auto"/>
            <w:left w:val="none" w:sz="0" w:space="0" w:color="auto"/>
            <w:bottom w:val="none" w:sz="0" w:space="0" w:color="auto"/>
            <w:right w:val="none" w:sz="0" w:space="0" w:color="auto"/>
          </w:divBdr>
        </w:div>
        <w:div w:id="69348619">
          <w:marLeft w:val="360"/>
          <w:marRight w:val="0"/>
          <w:marTop w:val="200"/>
          <w:marBottom w:val="0"/>
          <w:divBdr>
            <w:top w:val="none" w:sz="0" w:space="0" w:color="auto"/>
            <w:left w:val="none" w:sz="0" w:space="0" w:color="auto"/>
            <w:bottom w:val="none" w:sz="0" w:space="0" w:color="auto"/>
            <w:right w:val="none" w:sz="0" w:space="0" w:color="auto"/>
          </w:divBdr>
        </w:div>
        <w:div w:id="363360683">
          <w:marLeft w:val="360"/>
          <w:marRight w:val="0"/>
          <w:marTop w:val="200"/>
          <w:marBottom w:val="0"/>
          <w:divBdr>
            <w:top w:val="none" w:sz="0" w:space="0" w:color="auto"/>
            <w:left w:val="none" w:sz="0" w:space="0" w:color="auto"/>
            <w:bottom w:val="none" w:sz="0" w:space="0" w:color="auto"/>
            <w:right w:val="none" w:sz="0" w:space="0" w:color="auto"/>
          </w:divBdr>
        </w:div>
        <w:div w:id="441386853">
          <w:marLeft w:val="360"/>
          <w:marRight w:val="0"/>
          <w:marTop w:val="200"/>
          <w:marBottom w:val="0"/>
          <w:divBdr>
            <w:top w:val="none" w:sz="0" w:space="0" w:color="auto"/>
            <w:left w:val="none" w:sz="0" w:space="0" w:color="auto"/>
            <w:bottom w:val="none" w:sz="0" w:space="0" w:color="auto"/>
            <w:right w:val="none" w:sz="0" w:space="0" w:color="auto"/>
          </w:divBdr>
        </w:div>
        <w:div w:id="463930673">
          <w:marLeft w:val="360"/>
          <w:marRight w:val="0"/>
          <w:marTop w:val="200"/>
          <w:marBottom w:val="0"/>
          <w:divBdr>
            <w:top w:val="none" w:sz="0" w:space="0" w:color="auto"/>
            <w:left w:val="none" w:sz="0" w:space="0" w:color="auto"/>
            <w:bottom w:val="none" w:sz="0" w:space="0" w:color="auto"/>
            <w:right w:val="none" w:sz="0" w:space="0" w:color="auto"/>
          </w:divBdr>
        </w:div>
        <w:div w:id="1701474755">
          <w:marLeft w:val="360"/>
          <w:marRight w:val="0"/>
          <w:marTop w:val="200"/>
          <w:marBottom w:val="0"/>
          <w:divBdr>
            <w:top w:val="none" w:sz="0" w:space="0" w:color="auto"/>
            <w:left w:val="none" w:sz="0" w:space="0" w:color="auto"/>
            <w:bottom w:val="none" w:sz="0" w:space="0" w:color="auto"/>
            <w:right w:val="none" w:sz="0" w:space="0" w:color="auto"/>
          </w:divBdr>
        </w:div>
        <w:div w:id="1753696341">
          <w:marLeft w:val="360"/>
          <w:marRight w:val="0"/>
          <w:marTop w:val="200"/>
          <w:marBottom w:val="0"/>
          <w:divBdr>
            <w:top w:val="none" w:sz="0" w:space="0" w:color="auto"/>
            <w:left w:val="none" w:sz="0" w:space="0" w:color="auto"/>
            <w:bottom w:val="none" w:sz="0" w:space="0" w:color="auto"/>
            <w:right w:val="none" w:sz="0" w:space="0" w:color="auto"/>
          </w:divBdr>
        </w:div>
        <w:div w:id="1954287109">
          <w:marLeft w:val="360"/>
          <w:marRight w:val="0"/>
          <w:marTop w:val="200"/>
          <w:marBottom w:val="0"/>
          <w:divBdr>
            <w:top w:val="none" w:sz="0" w:space="0" w:color="auto"/>
            <w:left w:val="none" w:sz="0" w:space="0" w:color="auto"/>
            <w:bottom w:val="none" w:sz="0" w:space="0" w:color="auto"/>
            <w:right w:val="none" w:sz="0" w:space="0" w:color="auto"/>
          </w:divBdr>
        </w:div>
        <w:div w:id="1968928069">
          <w:marLeft w:val="360"/>
          <w:marRight w:val="0"/>
          <w:marTop w:val="200"/>
          <w:marBottom w:val="0"/>
          <w:divBdr>
            <w:top w:val="none" w:sz="0" w:space="0" w:color="auto"/>
            <w:left w:val="none" w:sz="0" w:space="0" w:color="auto"/>
            <w:bottom w:val="none" w:sz="0" w:space="0" w:color="auto"/>
            <w:right w:val="none" w:sz="0" w:space="0" w:color="auto"/>
          </w:divBdr>
        </w:div>
        <w:div w:id="1991247287">
          <w:marLeft w:val="360"/>
          <w:marRight w:val="0"/>
          <w:marTop w:val="200"/>
          <w:marBottom w:val="0"/>
          <w:divBdr>
            <w:top w:val="none" w:sz="0" w:space="0" w:color="auto"/>
            <w:left w:val="none" w:sz="0" w:space="0" w:color="auto"/>
            <w:bottom w:val="none" w:sz="0" w:space="0" w:color="auto"/>
            <w:right w:val="none" w:sz="0" w:space="0" w:color="auto"/>
          </w:divBdr>
        </w:div>
        <w:div w:id="2052731481">
          <w:marLeft w:val="360"/>
          <w:marRight w:val="0"/>
          <w:marTop w:val="200"/>
          <w:marBottom w:val="0"/>
          <w:divBdr>
            <w:top w:val="none" w:sz="0" w:space="0" w:color="auto"/>
            <w:left w:val="none" w:sz="0" w:space="0" w:color="auto"/>
            <w:bottom w:val="none" w:sz="0" w:space="0" w:color="auto"/>
            <w:right w:val="none" w:sz="0" w:space="0" w:color="auto"/>
          </w:divBdr>
        </w:div>
      </w:divsChild>
    </w:div>
    <w:div w:id="1323699919">
      <w:bodyDiv w:val="1"/>
      <w:marLeft w:val="0"/>
      <w:marRight w:val="0"/>
      <w:marTop w:val="0"/>
      <w:marBottom w:val="0"/>
      <w:divBdr>
        <w:top w:val="none" w:sz="0" w:space="0" w:color="auto"/>
        <w:left w:val="none" w:sz="0" w:space="0" w:color="auto"/>
        <w:bottom w:val="none" w:sz="0" w:space="0" w:color="auto"/>
        <w:right w:val="none" w:sz="0" w:space="0" w:color="auto"/>
      </w:divBdr>
    </w:div>
    <w:div w:id="1335523917">
      <w:bodyDiv w:val="1"/>
      <w:marLeft w:val="0"/>
      <w:marRight w:val="0"/>
      <w:marTop w:val="0"/>
      <w:marBottom w:val="0"/>
      <w:divBdr>
        <w:top w:val="none" w:sz="0" w:space="0" w:color="auto"/>
        <w:left w:val="none" w:sz="0" w:space="0" w:color="auto"/>
        <w:bottom w:val="none" w:sz="0" w:space="0" w:color="auto"/>
        <w:right w:val="none" w:sz="0" w:space="0" w:color="auto"/>
      </w:divBdr>
      <w:divsChild>
        <w:div w:id="922373114">
          <w:marLeft w:val="547"/>
          <w:marRight w:val="0"/>
          <w:marTop w:val="154"/>
          <w:marBottom w:val="0"/>
          <w:divBdr>
            <w:top w:val="none" w:sz="0" w:space="0" w:color="auto"/>
            <w:left w:val="none" w:sz="0" w:space="0" w:color="auto"/>
            <w:bottom w:val="none" w:sz="0" w:space="0" w:color="auto"/>
            <w:right w:val="none" w:sz="0" w:space="0" w:color="auto"/>
          </w:divBdr>
        </w:div>
        <w:div w:id="1173180947">
          <w:marLeft w:val="547"/>
          <w:marRight w:val="0"/>
          <w:marTop w:val="154"/>
          <w:marBottom w:val="0"/>
          <w:divBdr>
            <w:top w:val="none" w:sz="0" w:space="0" w:color="auto"/>
            <w:left w:val="none" w:sz="0" w:space="0" w:color="auto"/>
            <w:bottom w:val="none" w:sz="0" w:space="0" w:color="auto"/>
            <w:right w:val="none" w:sz="0" w:space="0" w:color="auto"/>
          </w:divBdr>
        </w:div>
        <w:div w:id="1252084172">
          <w:marLeft w:val="547"/>
          <w:marRight w:val="0"/>
          <w:marTop w:val="154"/>
          <w:marBottom w:val="0"/>
          <w:divBdr>
            <w:top w:val="none" w:sz="0" w:space="0" w:color="auto"/>
            <w:left w:val="none" w:sz="0" w:space="0" w:color="auto"/>
            <w:bottom w:val="none" w:sz="0" w:space="0" w:color="auto"/>
            <w:right w:val="none" w:sz="0" w:space="0" w:color="auto"/>
          </w:divBdr>
        </w:div>
        <w:div w:id="1970083749">
          <w:marLeft w:val="547"/>
          <w:marRight w:val="0"/>
          <w:marTop w:val="154"/>
          <w:marBottom w:val="0"/>
          <w:divBdr>
            <w:top w:val="none" w:sz="0" w:space="0" w:color="auto"/>
            <w:left w:val="none" w:sz="0" w:space="0" w:color="auto"/>
            <w:bottom w:val="none" w:sz="0" w:space="0" w:color="auto"/>
            <w:right w:val="none" w:sz="0" w:space="0" w:color="auto"/>
          </w:divBdr>
        </w:div>
      </w:divsChild>
    </w:div>
    <w:div w:id="1345085028">
      <w:bodyDiv w:val="1"/>
      <w:marLeft w:val="0"/>
      <w:marRight w:val="0"/>
      <w:marTop w:val="0"/>
      <w:marBottom w:val="0"/>
      <w:divBdr>
        <w:top w:val="none" w:sz="0" w:space="0" w:color="auto"/>
        <w:left w:val="none" w:sz="0" w:space="0" w:color="auto"/>
        <w:bottom w:val="none" w:sz="0" w:space="0" w:color="auto"/>
        <w:right w:val="none" w:sz="0" w:space="0" w:color="auto"/>
      </w:divBdr>
    </w:div>
    <w:div w:id="137993279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37825232">
      <w:bodyDiv w:val="1"/>
      <w:marLeft w:val="0"/>
      <w:marRight w:val="0"/>
      <w:marTop w:val="0"/>
      <w:marBottom w:val="0"/>
      <w:divBdr>
        <w:top w:val="none" w:sz="0" w:space="0" w:color="auto"/>
        <w:left w:val="none" w:sz="0" w:space="0" w:color="auto"/>
        <w:bottom w:val="none" w:sz="0" w:space="0" w:color="auto"/>
        <w:right w:val="none" w:sz="0" w:space="0" w:color="auto"/>
      </w:divBdr>
    </w:div>
    <w:div w:id="1446730584">
      <w:bodyDiv w:val="1"/>
      <w:marLeft w:val="0"/>
      <w:marRight w:val="0"/>
      <w:marTop w:val="0"/>
      <w:marBottom w:val="0"/>
      <w:divBdr>
        <w:top w:val="none" w:sz="0" w:space="0" w:color="auto"/>
        <w:left w:val="none" w:sz="0" w:space="0" w:color="auto"/>
        <w:bottom w:val="none" w:sz="0" w:space="0" w:color="auto"/>
        <w:right w:val="none" w:sz="0" w:space="0" w:color="auto"/>
      </w:divBdr>
      <w:divsChild>
        <w:div w:id="656686726">
          <w:marLeft w:val="0"/>
          <w:marRight w:val="0"/>
          <w:marTop w:val="0"/>
          <w:marBottom w:val="0"/>
          <w:divBdr>
            <w:top w:val="none" w:sz="0" w:space="0" w:color="auto"/>
            <w:left w:val="none" w:sz="0" w:space="0" w:color="auto"/>
            <w:bottom w:val="none" w:sz="0" w:space="0" w:color="auto"/>
            <w:right w:val="none" w:sz="0" w:space="0" w:color="auto"/>
          </w:divBdr>
        </w:div>
        <w:div w:id="743338341">
          <w:marLeft w:val="0"/>
          <w:marRight w:val="0"/>
          <w:marTop w:val="0"/>
          <w:marBottom w:val="0"/>
          <w:divBdr>
            <w:top w:val="none" w:sz="0" w:space="0" w:color="auto"/>
            <w:left w:val="none" w:sz="0" w:space="0" w:color="auto"/>
            <w:bottom w:val="none" w:sz="0" w:space="0" w:color="auto"/>
            <w:right w:val="none" w:sz="0" w:space="0" w:color="auto"/>
          </w:divBdr>
        </w:div>
        <w:div w:id="1170174557">
          <w:marLeft w:val="0"/>
          <w:marRight w:val="0"/>
          <w:marTop w:val="0"/>
          <w:marBottom w:val="0"/>
          <w:divBdr>
            <w:top w:val="none" w:sz="0" w:space="0" w:color="auto"/>
            <w:left w:val="none" w:sz="0" w:space="0" w:color="auto"/>
            <w:bottom w:val="none" w:sz="0" w:space="0" w:color="auto"/>
            <w:right w:val="none" w:sz="0" w:space="0" w:color="auto"/>
          </w:divBdr>
        </w:div>
        <w:div w:id="1413041856">
          <w:marLeft w:val="0"/>
          <w:marRight w:val="0"/>
          <w:marTop w:val="0"/>
          <w:marBottom w:val="0"/>
          <w:divBdr>
            <w:top w:val="none" w:sz="0" w:space="0" w:color="auto"/>
            <w:left w:val="none" w:sz="0" w:space="0" w:color="auto"/>
            <w:bottom w:val="none" w:sz="0" w:space="0" w:color="auto"/>
            <w:right w:val="none" w:sz="0" w:space="0" w:color="auto"/>
          </w:divBdr>
        </w:div>
        <w:div w:id="2010601562">
          <w:marLeft w:val="0"/>
          <w:marRight w:val="0"/>
          <w:marTop w:val="0"/>
          <w:marBottom w:val="0"/>
          <w:divBdr>
            <w:top w:val="none" w:sz="0" w:space="0" w:color="auto"/>
            <w:left w:val="none" w:sz="0" w:space="0" w:color="auto"/>
            <w:bottom w:val="none" w:sz="0" w:space="0" w:color="auto"/>
            <w:right w:val="none" w:sz="0" w:space="0" w:color="auto"/>
          </w:divBdr>
        </w:div>
      </w:divsChild>
    </w:div>
    <w:div w:id="1459571211">
      <w:bodyDiv w:val="1"/>
      <w:marLeft w:val="0"/>
      <w:marRight w:val="0"/>
      <w:marTop w:val="0"/>
      <w:marBottom w:val="0"/>
      <w:divBdr>
        <w:top w:val="none" w:sz="0" w:space="0" w:color="auto"/>
        <w:left w:val="none" w:sz="0" w:space="0" w:color="auto"/>
        <w:bottom w:val="none" w:sz="0" w:space="0" w:color="auto"/>
        <w:right w:val="none" w:sz="0" w:space="0" w:color="auto"/>
      </w:divBdr>
    </w:div>
    <w:div w:id="1494223419">
      <w:bodyDiv w:val="1"/>
      <w:marLeft w:val="0"/>
      <w:marRight w:val="0"/>
      <w:marTop w:val="0"/>
      <w:marBottom w:val="0"/>
      <w:divBdr>
        <w:top w:val="none" w:sz="0" w:space="0" w:color="auto"/>
        <w:left w:val="none" w:sz="0" w:space="0" w:color="auto"/>
        <w:bottom w:val="none" w:sz="0" w:space="0" w:color="auto"/>
        <w:right w:val="none" w:sz="0" w:space="0" w:color="auto"/>
      </w:divBdr>
    </w:div>
    <w:div w:id="1498422349">
      <w:bodyDiv w:val="1"/>
      <w:marLeft w:val="0"/>
      <w:marRight w:val="0"/>
      <w:marTop w:val="0"/>
      <w:marBottom w:val="0"/>
      <w:divBdr>
        <w:top w:val="none" w:sz="0" w:space="0" w:color="auto"/>
        <w:left w:val="none" w:sz="0" w:space="0" w:color="auto"/>
        <w:bottom w:val="none" w:sz="0" w:space="0" w:color="auto"/>
        <w:right w:val="none" w:sz="0" w:space="0" w:color="auto"/>
      </w:divBdr>
      <w:divsChild>
        <w:div w:id="267590164">
          <w:marLeft w:val="1080"/>
          <w:marRight w:val="0"/>
          <w:marTop w:val="100"/>
          <w:marBottom w:val="0"/>
          <w:divBdr>
            <w:top w:val="none" w:sz="0" w:space="0" w:color="auto"/>
            <w:left w:val="none" w:sz="0" w:space="0" w:color="auto"/>
            <w:bottom w:val="none" w:sz="0" w:space="0" w:color="auto"/>
            <w:right w:val="none" w:sz="0" w:space="0" w:color="auto"/>
          </w:divBdr>
        </w:div>
        <w:div w:id="554203652">
          <w:marLeft w:val="1080"/>
          <w:marRight w:val="0"/>
          <w:marTop w:val="100"/>
          <w:marBottom w:val="0"/>
          <w:divBdr>
            <w:top w:val="none" w:sz="0" w:space="0" w:color="auto"/>
            <w:left w:val="none" w:sz="0" w:space="0" w:color="auto"/>
            <w:bottom w:val="none" w:sz="0" w:space="0" w:color="auto"/>
            <w:right w:val="none" w:sz="0" w:space="0" w:color="auto"/>
          </w:divBdr>
        </w:div>
        <w:div w:id="852494234">
          <w:marLeft w:val="1080"/>
          <w:marRight w:val="0"/>
          <w:marTop w:val="100"/>
          <w:marBottom w:val="0"/>
          <w:divBdr>
            <w:top w:val="none" w:sz="0" w:space="0" w:color="auto"/>
            <w:left w:val="none" w:sz="0" w:space="0" w:color="auto"/>
            <w:bottom w:val="none" w:sz="0" w:space="0" w:color="auto"/>
            <w:right w:val="none" w:sz="0" w:space="0" w:color="auto"/>
          </w:divBdr>
        </w:div>
        <w:div w:id="1032341340">
          <w:marLeft w:val="1080"/>
          <w:marRight w:val="0"/>
          <w:marTop w:val="100"/>
          <w:marBottom w:val="0"/>
          <w:divBdr>
            <w:top w:val="none" w:sz="0" w:space="0" w:color="auto"/>
            <w:left w:val="none" w:sz="0" w:space="0" w:color="auto"/>
            <w:bottom w:val="none" w:sz="0" w:space="0" w:color="auto"/>
            <w:right w:val="none" w:sz="0" w:space="0" w:color="auto"/>
          </w:divBdr>
        </w:div>
        <w:div w:id="1234462085">
          <w:marLeft w:val="1080"/>
          <w:marRight w:val="0"/>
          <w:marTop w:val="100"/>
          <w:marBottom w:val="0"/>
          <w:divBdr>
            <w:top w:val="none" w:sz="0" w:space="0" w:color="auto"/>
            <w:left w:val="none" w:sz="0" w:space="0" w:color="auto"/>
            <w:bottom w:val="none" w:sz="0" w:space="0" w:color="auto"/>
            <w:right w:val="none" w:sz="0" w:space="0" w:color="auto"/>
          </w:divBdr>
        </w:div>
        <w:div w:id="1363482443">
          <w:marLeft w:val="1080"/>
          <w:marRight w:val="0"/>
          <w:marTop w:val="100"/>
          <w:marBottom w:val="0"/>
          <w:divBdr>
            <w:top w:val="none" w:sz="0" w:space="0" w:color="auto"/>
            <w:left w:val="none" w:sz="0" w:space="0" w:color="auto"/>
            <w:bottom w:val="none" w:sz="0" w:space="0" w:color="auto"/>
            <w:right w:val="none" w:sz="0" w:space="0" w:color="auto"/>
          </w:divBdr>
        </w:div>
        <w:div w:id="1390298180">
          <w:marLeft w:val="1080"/>
          <w:marRight w:val="0"/>
          <w:marTop w:val="100"/>
          <w:marBottom w:val="0"/>
          <w:divBdr>
            <w:top w:val="none" w:sz="0" w:space="0" w:color="auto"/>
            <w:left w:val="none" w:sz="0" w:space="0" w:color="auto"/>
            <w:bottom w:val="none" w:sz="0" w:space="0" w:color="auto"/>
            <w:right w:val="none" w:sz="0" w:space="0" w:color="auto"/>
          </w:divBdr>
        </w:div>
        <w:div w:id="1416710815">
          <w:marLeft w:val="360"/>
          <w:marRight w:val="0"/>
          <w:marTop w:val="200"/>
          <w:marBottom w:val="0"/>
          <w:divBdr>
            <w:top w:val="none" w:sz="0" w:space="0" w:color="auto"/>
            <w:left w:val="none" w:sz="0" w:space="0" w:color="auto"/>
            <w:bottom w:val="none" w:sz="0" w:space="0" w:color="auto"/>
            <w:right w:val="none" w:sz="0" w:space="0" w:color="auto"/>
          </w:divBdr>
        </w:div>
        <w:div w:id="1727340552">
          <w:marLeft w:val="1080"/>
          <w:marRight w:val="0"/>
          <w:marTop w:val="100"/>
          <w:marBottom w:val="0"/>
          <w:divBdr>
            <w:top w:val="none" w:sz="0" w:space="0" w:color="auto"/>
            <w:left w:val="none" w:sz="0" w:space="0" w:color="auto"/>
            <w:bottom w:val="none" w:sz="0" w:space="0" w:color="auto"/>
            <w:right w:val="none" w:sz="0" w:space="0" w:color="auto"/>
          </w:divBdr>
        </w:div>
        <w:div w:id="1738746568">
          <w:marLeft w:val="1080"/>
          <w:marRight w:val="0"/>
          <w:marTop w:val="100"/>
          <w:marBottom w:val="0"/>
          <w:divBdr>
            <w:top w:val="none" w:sz="0" w:space="0" w:color="auto"/>
            <w:left w:val="none" w:sz="0" w:space="0" w:color="auto"/>
            <w:bottom w:val="none" w:sz="0" w:space="0" w:color="auto"/>
            <w:right w:val="none" w:sz="0" w:space="0" w:color="auto"/>
          </w:divBdr>
        </w:div>
        <w:div w:id="1769764215">
          <w:marLeft w:val="360"/>
          <w:marRight w:val="0"/>
          <w:marTop w:val="200"/>
          <w:marBottom w:val="0"/>
          <w:divBdr>
            <w:top w:val="none" w:sz="0" w:space="0" w:color="auto"/>
            <w:left w:val="none" w:sz="0" w:space="0" w:color="auto"/>
            <w:bottom w:val="none" w:sz="0" w:space="0" w:color="auto"/>
            <w:right w:val="none" w:sz="0" w:space="0" w:color="auto"/>
          </w:divBdr>
        </w:div>
      </w:divsChild>
    </w:div>
    <w:div w:id="1506482339">
      <w:bodyDiv w:val="1"/>
      <w:marLeft w:val="0"/>
      <w:marRight w:val="0"/>
      <w:marTop w:val="0"/>
      <w:marBottom w:val="0"/>
      <w:divBdr>
        <w:top w:val="none" w:sz="0" w:space="0" w:color="auto"/>
        <w:left w:val="none" w:sz="0" w:space="0" w:color="auto"/>
        <w:bottom w:val="none" w:sz="0" w:space="0" w:color="auto"/>
        <w:right w:val="none" w:sz="0" w:space="0" w:color="auto"/>
      </w:divBdr>
    </w:div>
    <w:div w:id="1524198985">
      <w:bodyDiv w:val="1"/>
      <w:marLeft w:val="0"/>
      <w:marRight w:val="0"/>
      <w:marTop w:val="0"/>
      <w:marBottom w:val="0"/>
      <w:divBdr>
        <w:top w:val="none" w:sz="0" w:space="0" w:color="auto"/>
        <w:left w:val="none" w:sz="0" w:space="0" w:color="auto"/>
        <w:bottom w:val="none" w:sz="0" w:space="0" w:color="auto"/>
        <w:right w:val="none" w:sz="0" w:space="0" w:color="auto"/>
      </w:divBdr>
      <w:divsChild>
        <w:div w:id="562448195">
          <w:marLeft w:val="360"/>
          <w:marRight w:val="0"/>
          <w:marTop w:val="200"/>
          <w:marBottom w:val="0"/>
          <w:divBdr>
            <w:top w:val="none" w:sz="0" w:space="0" w:color="auto"/>
            <w:left w:val="none" w:sz="0" w:space="0" w:color="auto"/>
            <w:bottom w:val="none" w:sz="0" w:space="0" w:color="auto"/>
            <w:right w:val="none" w:sz="0" w:space="0" w:color="auto"/>
          </w:divBdr>
        </w:div>
        <w:div w:id="594435353">
          <w:marLeft w:val="360"/>
          <w:marRight w:val="0"/>
          <w:marTop w:val="200"/>
          <w:marBottom w:val="0"/>
          <w:divBdr>
            <w:top w:val="none" w:sz="0" w:space="0" w:color="auto"/>
            <w:left w:val="none" w:sz="0" w:space="0" w:color="auto"/>
            <w:bottom w:val="none" w:sz="0" w:space="0" w:color="auto"/>
            <w:right w:val="none" w:sz="0" w:space="0" w:color="auto"/>
          </w:divBdr>
        </w:div>
        <w:div w:id="717781326">
          <w:marLeft w:val="360"/>
          <w:marRight w:val="0"/>
          <w:marTop w:val="200"/>
          <w:marBottom w:val="0"/>
          <w:divBdr>
            <w:top w:val="none" w:sz="0" w:space="0" w:color="auto"/>
            <w:left w:val="none" w:sz="0" w:space="0" w:color="auto"/>
            <w:bottom w:val="none" w:sz="0" w:space="0" w:color="auto"/>
            <w:right w:val="none" w:sz="0" w:space="0" w:color="auto"/>
          </w:divBdr>
        </w:div>
        <w:div w:id="900865826">
          <w:marLeft w:val="360"/>
          <w:marRight w:val="0"/>
          <w:marTop w:val="200"/>
          <w:marBottom w:val="0"/>
          <w:divBdr>
            <w:top w:val="none" w:sz="0" w:space="0" w:color="auto"/>
            <w:left w:val="none" w:sz="0" w:space="0" w:color="auto"/>
            <w:bottom w:val="none" w:sz="0" w:space="0" w:color="auto"/>
            <w:right w:val="none" w:sz="0" w:space="0" w:color="auto"/>
          </w:divBdr>
        </w:div>
        <w:div w:id="2137094676">
          <w:marLeft w:val="360"/>
          <w:marRight w:val="0"/>
          <w:marTop w:val="200"/>
          <w:marBottom w:val="0"/>
          <w:divBdr>
            <w:top w:val="none" w:sz="0" w:space="0" w:color="auto"/>
            <w:left w:val="none" w:sz="0" w:space="0" w:color="auto"/>
            <w:bottom w:val="none" w:sz="0" w:space="0" w:color="auto"/>
            <w:right w:val="none" w:sz="0" w:space="0" w:color="auto"/>
          </w:divBdr>
        </w:div>
      </w:divsChild>
    </w:div>
    <w:div w:id="1534924074">
      <w:bodyDiv w:val="1"/>
      <w:marLeft w:val="0"/>
      <w:marRight w:val="0"/>
      <w:marTop w:val="0"/>
      <w:marBottom w:val="0"/>
      <w:divBdr>
        <w:top w:val="none" w:sz="0" w:space="0" w:color="auto"/>
        <w:left w:val="none" w:sz="0" w:space="0" w:color="auto"/>
        <w:bottom w:val="none" w:sz="0" w:space="0" w:color="auto"/>
        <w:right w:val="none" w:sz="0" w:space="0" w:color="auto"/>
      </w:divBdr>
    </w:div>
    <w:div w:id="1542548664">
      <w:bodyDiv w:val="1"/>
      <w:marLeft w:val="0"/>
      <w:marRight w:val="0"/>
      <w:marTop w:val="0"/>
      <w:marBottom w:val="0"/>
      <w:divBdr>
        <w:top w:val="none" w:sz="0" w:space="0" w:color="auto"/>
        <w:left w:val="none" w:sz="0" w:space="0" w:color="auto"/>
        <w:bottom w:val="none" w:sz="0" w:space="0" w:color="auto"/>
        <w:right w:val="none" w:sz="0" w:space="0" w:color="auto"/>
      </w:divBdr>
    </w:div>
    <w:div w:id="1561400593">
      <w:bodyDiv w:val="1"/>
      <w:marLeft w:val="0"/>
      <w:marRight w:val="0"/>
      <w:marTop w:val="0"/>
      <w:marBottom w:val="0"/>
      <w:divBdr>
        <w:top w:val="none" w:sz="0" w:space="0" w:color="auto"/>
        <w:left w:val="none" w:sz="0" w:space="0" w:color="auto"/>
        <w:bottom w:val="none" w:sz="0" w:space="0" w:color="auto"/>
        <w:right w:val="none" w:sz="0" w:space="0" w:color="auto"/>
      </w:divBdr>
    </w:div>
    <w:div w:id="1563248790">
      <w:bodyDiv w:val="1"/>
      <w:marLeft w:val="0"/>
      <w:marRight w:val="0"/>
      <w:marTop w:val="0"/>
      <w:marBottom w:val="0"/>
      <w:divBdr>
        <w:top w:val="none" w:sz="0" w:space="0" w:color="auto"/>
        <w:left w:val="none" w:sz="0" w:space="0" w:color="auto"/>
        <w:bottom w:val="none" w:sz="0" w:space="0" w:color="auto"/>
        <w:right w:val="none" w:sz="0" w:space="0" w:color="auto"/>
      </w:divBdr>
      <w:divsChild>
        <w:div w:id="119544070">
          <w:marLeft w:val="547"/>
          <w:marRight w:val="0"/>
          <w:marTop w:val="106"/>
          <w:marBottom w:val="0"/>
          <w:divBdr>
            <w:top w:val="none" w:sz="0" w:space="0" w:color="auto"/>
            <w:left w:val="none" w:sz="0" w:space="0" w:color="auto"/>
            <w:bottom w:val="none" w:sz="0" w:space="0" w:color="auto"/>
            <w:right w:val="none" w:sz="0" w:space="0" w:color="auto"/>
          </w:divBdr>
        </w:div>
        <w:div w:id="587926661">
          <w:marLeft w:val="547"/>
          <w:marRight w:val="0"/>
          <w:marTop w:val="106"/>
          <w:marBottom w:val="0"/>
          <w:divBdr>
            <w:top w:val="none" w:sz="0" w:space="0" w:color="auto"/>
            <w:left w:val="none" w:sz="0" w:space="0" w:color="auto"/>
            <w:bottom w:val="none" w:sz="0" w:space="0" w:color="auto"/>
            <w:right w:val="none" w:sz="0" w:space="0" w:color="auto"/>
          </w:divBdr>
        </w:div>
        <w:div w:id="626468433">
          <w:marLeft w:val="547"/>
          <w:marRight w:val="0"/>
          <w:marTop w:val="106"/>
          <w:marBottom w:val="0"/>
          <w:divBdr>
            <w:top w:val="none" w:sz="0" w:space="0" w:color="auto"/>
            <w:left w:val="none" w:sz="0" w:space="0" w:color="auto"/>
            <w:bottom w:val="none" w:sz="0" w:space="0" w:color="auto"/>
            <w:right w:val="none" w:sz="0" w:space="0" w:color="auto"/>
          </w:divBdr>
        </w:div>
        <w:div w:id="803809115">
          <w:marLeft w:val="547"/>
          <w:marRight w:val="0"/>
          <w:marTop w:val="106"/>
          <w:marBottom w:val="0"/>
          <w:divBdr>
            <w:top w:val="none" w:sz="0" w:space="0" w:color="auto"/>
            <w:left w:val="none" w:sz="0" w:space="0" w:color="auto"/>
            <w:bottom w:val="none" w:sz="0" w:space="0" w:color="auto"/>
            <w:right w:val="none" w:sz="0" w:space="0" w:color="auto"/>
          </w:divBdr>
        </w:div>
        <w:div w:id="1019433832">
          <w:marLeft w:val="547"/>
          <w:marRight w:val="0"/>
          <w:marTop w:val="106"/>
          <w:marBottom w:val="0"/>
          <w:divBdr>
            <w:top w:val="none" w:sz="0" w:space="0" w:color="auto"/>
            <w:left w:val="none" w:sz="0" w:space="0" w:color="auto"/>
            <w:bottom w:val="none" w:sz="0" w:space="0" w:color="auto"/>
            <w:right w:val="none" w:sz="0" w:space="0" w:color="auto"/>
          </w:divBdr>
        </w:div>
        <w:div w:id="1129129938">
          <w:marLeft w:val="547"/>
          <w:marRight w:val="0"/>
          <w:marTop w:val="106"/>
          <w:marBottom w:val="0"/>
          <w:divBdr>
            <w:top w:val="none" w:sz="0" w:space="0" w:color="auto"/>
            <w:left w:val="none" w:sz="0" w:space="0" w:color="auto"/>
            <w:bottom w:val="none" w:sz="0" w:space="0" w:color="auto"/>
            <w:right w:val="none" w:sz="0" w:space="0" w:color="auto"/>
          </w:divBdr>
        </w:div>
        <w:div w:id="1171332815">
          <w:marLeft w:val="547"/>
          <w:marRight w:val="0"/>
          <w:marTop w:val="106"/>
          <w:marBottom w:val="0"/>
          <w:divBdr>
            <w:top w:val="none" w:sz="0" w:space="0" w:color="auto"/>
            <w:left w:val="none" w:sz="0" w:space="0" w:color="auto"/>
            <w:bottom w:val="none" w:sz="0" w:space="0" w:color="auto"/>
            <w:right w:val="none" w:sz="0" w:space="0" w:color="auto"/>
          </w:divBdr>
        </w:div>
        <w:div w:id="1233271737">
          <w:marLeft w:val="547"/>
          <w:marRight w:val="0"/>
          <w:marTop w:val="106"/>
          <w:marBottom w:val="0"/>
          <w:divBdr>
            <w:top w:val="none" w:sz="0" w:space="0" w:color="auto"/>
            <w:left w:val="none" w:sz="0" w:space="0" w:color="auto"/>
            <w:bottom w:val="none" w:sz="0" w:space="0" w:color="auto"/>
            <w:right w:val="none" w:sz="0" w:space="0" w:color="auto"/>
          </w:divBdr>
        </w:div>
        <w:div w:id="1317802970">
          <w:marLeft w:val="547"/>
          <w:marRight w:val="0"/>
          <w:marTop w:val="106"/>
          <w:marBottom w:val="0"/>
          <w:divBdr>
            <w:top w:val="none" w:sz="0" w:space="0" w:color="auto"/>
            <w:left w:val="none" w:sz="0" w:space="0" w:color="auto"/>
            <w:bottom w:val="none" w:sz="0" w:space="0" w:color="auto"/>
            <w:right w:val="none" w:sz="0" w:space="0" w:color="auto"/>
          </w:divBdr>
        </w:div>
        <w:div w:id="1605378706">
          <w:marLeft w:val="547"/>
          <w:marRight w:val="0"/>
          <w:marTop w:val="106"/>
          <w:marBottom w:val="0"/>
          <w:divBdr>
            <w:top w:val="none" w:sz="0" w:space="0" w:color="auto"/>
            <w:left w:val="none" w:sz="0" w:space="0" w:color="auto"/>
            <w:bottom w:val="none" w:sz="0" w:space="0" w:color="auto"/>
            <w:right w:val="none" w:sz="0" w:space="0" w:color="auto"/>
          </w:divBdr>
        </w:div>
        <w:div w:id="2094280569">
          <w:marLeft w:val="547"/>
          <w:marRight w:val="0"/>
          <w:marTop w:val="106"/>
          <w:marBottom w:val="0"/>
          <w:divBdr>
            <w:top w:val="none" w:sz="0" w:space="0" w:color="auto"/>
            <w:left w:val="none" w:sz="0" w:space="0" w:color="auto"/>
            <w:bottom w:val="none" w:sz="0" w:space="0" w:color="auto"/>
            <w:right w:val="none" w:sz="0" w:space="0" w:color="auto"/>
          </w:divBdr>
        </w:div>
      </w:divsChild>
    </w:div>
    <w:div w:id="1572697355">
      <w:bodyDiv w:val="1"/>
      <w:marLeft w:val="0"/>
      <w:marRight w:val="0"/>
      <w:marTop w:val="0"/>
      <w:marBottom w:val="0"/>
      <w:divBdr>
        <w:top w:val="none" w:sz="0" w:space="0" w:color="auto"/>
        <w:left w:val="none" w:sz="0" w:space="0" w:color="auto"/>
        <w:bottom w:val="none" w:sz="0" w:space="0" w:color="auto"/>
        <w:right w:val="none" w:sz="0" w:space="0" w:color="auto"/>
      </w:divBdr>
      <w:divsChild>
        <w:div w:id="9645731">
          <w:marLeft w:val="1166"/>
          <w:marRight w:val="0"/>
          <w:marTop w:val="96"/>
          <w:marBottom w:val="0"/>
          <w:divBdr>
            <w:top w:val="none" w:sz="0" w:space="0" w:color="auto"/>
            <w:left w:val="none" w:sz="0" w:space="0" w:color="auto"/>
            <w:bottom w:val="none" w:sz="0" w:space="0" w:color="auto"/>
            <w:right w:val="none" w:sz="0" w:space="0" w:color="auto"/>
          </w:divBdr>
        </w:div>
        <w:div w:id="162671756">
          <w:marLeft w:val="1166"/>
          <w:marRight w:val="0"/>
          <w:marTop w:val="96"/>
          <w:marBottom w:val="0"/>
          <w:divBdr>
            <w:top w:val="none" w:sz="0" w:space="0" w:color="auto"/>
            <w:left w:val="none" w:sz="0" w:space="0" w:color="auto"/>
            <w:bottom w:val="none" w:sz="0" w:space="0" w:color="auto"/>
            <w:right w:val="none" w:sz="0" w:space="0" w:color="auto"/>
          </w:divBdr>
        </w:div>
        <w:div w:id="220558515">
          <w:marLeft w:val="547"/>
          <w:marRight w:val="0"/>
          <w:marTop w:val="106"/>
          <w:marBottom w:val="0"/>
          <w:divBdr>
            <w:top w:val="none" w:sz="0" w:space="0" w:color="auto"/>
            <w:left w:val="none" w:sz="0" w:space="0" w:color="auto"/>
            <w:bottom w:val="none" w:sz="0" w:space="0" w:color="auto"/>
            <w:right w:val="none" w:sz="0" w:space="0" w:color="auto"/>
          </w:divBdr>
        </w:div>
        <w:div w:id="246772086">
          <w:marLeft w:val="1166"/>
          <w:marRight w:val="0"/>
          <w:marTop w:val="96"/>
          <w:marBottom w:val="0"/>
          <w:divBdr>
            <w:top w:val="none" w:sz="0" w:space="0" w:color="auto"/>
            <w:left w:val="none" w:sz="0" w:space="0" w:color="auto"/>
            <w:bottom w:val="none" w:sz="0" w:space="0" w:color="auto"/>
            <w:right w:val="none" w:sz="0" w:space="0" w:color="auto"/>
          </w:divBdr>
        </w:div>
        <w:div w:id="601913404">
          <w:marLeft w:val="1166"/>
          <w:marRight w:val="0"/>
          <w:marTop w:val="96"/>
          <w:marBottom w:val="0"/>
          <w:divBdr>
            <w:top w:val="none" w:sz="0" w:space="0" w:color="auto"/>
            <w:left w:val="none" w:sz="0" w:space="0" w:color="auto"/>
            <w:bottom w:val="none" w:sz="0" w:space="0" w:color="auto"/>
            <w:right w:val="none" w:sz="0" w:space="0" w:color="auto"/>
          </w:divBdr>
        </w:div>
        <w:div w:id="715154567">
          <w:marLeft w:val="1166"/>
          <w:marRight w:val="0"/>
          <w:marTop w:val="96"/>
          <w:marBottom w:val="0"/>
          <w:divBdr>
            <w:top w:val="none" w:sz="0" w:space="0" w:color="auto"/>
            <w:left w:val="none" w:sz="0" w:space="0" w:color="auto"/>
            <w:bottom w:val="none" w:sz="0" w:space="0" w:color="auto"/>
            <w:right w:val="none" w:sz="0" w:space="0" w:color="auto"/>
          </w:divBdr>
        </w:div>
        <w:div w:id="929702450">
          <w:marLeft w:val="1166"/>
          <w:marRight w:val="0"/>
          <w:marTop w:val="96"/>
          <w:marBottom w:val="0"/>
          <w:divBdr>
            <w:top w:val="none" w:sz="0" w:space="0" w:color="auto"/>
            <w:left w:val="none" w:sz="0" w:space="0" w:color="auto"/>
            <w:bottom w:val="none" w:sz="0" w:space="0" w:color="auto"/>
            <w:right w:val="none" w:sz="0" w:space="0" w:color="auto"/>
          </w:divBdr>
        </w:div>
        <w:div w:id="1062748584">
          <w:marLeft w:val="1166"/>
          <w:marRight w:val="0"/>
          <w:marTop w:val="96"/>
          <w:marBottom w:val="0"/>
          <w:divBdr>
            <w:top w:val="none" w:sz="0" w:space="0" w:color="auto"/>
            <w:left w:val="none" w:sz="0" w:space="0" w:color="auto"/>
            <w:bottom w:val="none" w:sz="0" w:space="0" w:color="auto"/>
            <w:right w:val="none" w:sz="0" w:space="0" w:color="auto"/>
          </w:divBdr>
        </w:div>
        <w:div w:id="1452094400">
          <w:marLeft w:val="1166"/>
          <w:marRight w:val="0"/>
          <w:marTop w:val="96"/>
          <w:marBottom w:val="0"/>
          <w:divBdr>
            <w:top w:val="none" w:sz="0" w:space="0" w:color="auto"/>
            <w:left w:val="none" w:sz="0" w:space="0" w:color="auto"/>
            <w:bottom w:val="none" w:sz="0" w:space="0" w:color="auto"/>
            <w:right w:val="none" w:sz="0" w:space="0" w:color="auto"/>
          </w:divBdr>
        </w:div>
        <w:div w:id="1626615580">
          <w:marLeft w:val="1166"/>
          <w:marRight w:val="0"/>
          <w:marTop w:val="96"/>
          <w:marBottom w:val="0"/>
          <w:divBdr>
            <w:top w:val="none" w:sz="0" w:space="0" w:color="auto"/>
            <w:left w:val="none" w:sz="0" w:space="0" w:color="auto"/>
            <w:bottom w:val="none" w:sz="0" w:space="0" w:color="auto"/>
            <w:right w:val="none" w:sz="0" w:space="0" w:color="auto"/>
          </w:divBdr>
        </w:div>
        <w:div w:id="1683848536">
          <w:marLeft w:val="547"/>
          <w:marRight w:val="0"/>
          <w:marTop w:val="106"/>
          <w:marBottom w:val="0"/>
          <w:divBdr>
            <w:top w:val="none" w:sz="0" w:space="0" w:color="auto"/>
            <w:left w:val="none" w:sz="0" w:space="0" w:color="auto"/>
            <w:bottom w:val="none" w:sz="0" w:space="0" w:color="auto"/>
            <w:right w:val="none" w:sz="0" w:space="0" w:color="auto"/>
          </w:divBdr>
        </w:div>
        <w:div w:id="1691174772">
          <w:marLeft w:val="547"/>
          <w:marRight w:val="0"/>
          <w:marTop w:val="106"/>
          <w:marBottom w:val="0"/>
          <w:divBdr>
            <w:top w:val="none" w:sz="0" w:space="0" w:color="auto"/>
            <w:left w:val="none" w:sz="0" w:space="0" w:color="auto"/>
            <w:bottom w:val="none" w:sz="0" w:space="0" w:color="auto"/>
            <w:right w:val="none" w:sz="0" w:space="0" w:color="auto"/>
          </w:divBdr>
        </w:div>
        <w:div w:id="1784491865">
          <w:marLeft w:val="1166"/>
          <w:marRight w:val="0"/>
          <w:marTop w:val="96"/>
          <w:marBottom w:val="0"/>
          <w:divBdr>
            <w:top w:val="none" w:sz="0" w:space="0" w:color="auto"/>
            <w:left w:val="none" w:sz="0" w:space="0" w:color="auto"/>
            <w:bottom w:val="none" w:sz="0" w:space="0" w:color="auto"/>
            <w:right w:val="none" w:sz="0" w:space="0" w:color="auto"/>
          </w:divBdr>
        </w:div>
        <w:div w:id="1829781126">
          <w:marLeft w:val="1166"/>
          <w:marRight w:val="0"/>
          <w:marTop w:val="96"/>
          <w:marBottom w:val="0"/>
          <w:divBdr>
            <w:top w:val="none" w:sz="0" w:space="0" w:color="auto"/>
            <w:left w:val="none" w:sz="0" w:space="0" w:color="auto"/>
            <w:bottom w:val="none" w:sz="0" w:space="0" w:color="auto"/>
            <w:right w:val="none" w:sz="0" w:space="0" w:color="auto"/>
          </w:divBdr>
        </w:div>
        <w:div w:id="2139913796">
          <w:marLeft w:val="1166"/>
          <w:marRight w:val="0"/>
          <w:marTop w:val="96"/>
          <w:marBottom w:val="0"/>
          <w:divBdr>
            <w:top w:val="none" w:sz="0" w:space="0" w:color="auto"/>
            <w:left w:val="none" w:sz="0" w:space="0" w:color="auto"/>
            <w:bottom w:val="none" w:sz="0" w:space="0" w:color="auto"/>
            <w:right w:val="none" w:sz="0" w:space="0" w:color="auto"/>
          </w:divBdr>
        </w:div>
      </w:divsChild>
    </w:div>
    <w:div w:id="1578516486">
      <w:bodyDiv w:val="1"/>
      <w:marLeft w:val="0"/>
      <w:marRight w:val="0"/>
      <w:marTop w:val="0"/>
      <w:marBottom w:val="0"/>
      <w:divBdr>
        <w:top w:val="none" w:sz="0" w:space="0" w:color="auto"/>
        <w:left w:val="none" w:sz="0" w:space="0" w:color="auto"/>
        <w:bottom w:val="none" w:sz="0" w:space="0" w:color="auto"/>
        <w:right w:val="none" w:sz="0" w:space="0" w:color="auto"/>
      </w:divBdr>
      <w:divsChild>
        <w:div w:id="81293756">
          <w:marLeft w:val="360"/>
          <w:marRight w:val="0"/>
          <w:marTop w:val="0"/>
          <w:marBottom w:val="0"/>
          <w:divBdr>
            <w:top w:val="none" w:sz="0" w:space="0" w:color="auto"/>
            <w:left w:val="none" w:sz="0" w:space="0" w:color="auto"/>
            <w:bottom w:val="none" w:sz="0" w:space="0" w:color="auto"/>
            <w:right w:val="none" w:sz="0" w:space="0" w:color="auto"/>
          </w:divBdr>
        </w:div>
        <w:div w:id="469859212">
          <w:marLeft w:val="360"/>
          <w:marRight w:val="0"/>
          <w:marTop w:val="0"/>
          <w:marBottom w:val="0"/>
          <w:divBdr>
            <w:top w:val="none" w:sz="0" w:space="0" w:color="auto"/>
            <w:left w:val="none" w:sz="0" w:space="0" w:color="auto"/>
            <w:bottom w:val="none" w:sz="0" w:space="0" w:color="auto"/>
            <w:right w:val="none" w:sz="0" w:space="0" w:color="auto"/>
          </w:divBdr>
        </w:div>
        <w:div w:id="1144809150">
          <w:marLeft w:val="360"/>
          <w:marRight w:val="0"/>
          <w:marTop w:val="0"/>
          <w:marBottom w:val="0"/>
          <w:divBdr>
            <w:top w:val="none" w:sz="0" w:space="0" w:color="auto"/>
            <w:left w:val="none" w:sz="0" w:space="0" w:color="auto"/>
            <w:bottom w:val="none" w:sz="0" w:space="0" w:color="auto"/>
            <w:right w:val="none" w:sz="0" w:space="0" w:color="auto"/>
          </w:divBdr>
        </w:div>
        <w:div w:id="1486236324">
          <w:marLeft w:val="360"/>
          <w:marRight w:val="0"/>
          <w:marTop w:val="0"/>
          <w:marBottom w:val="0"/>
          <w:divBdr>
            <w:top w:val="none" w:sz="0" w:space="0" w:color="auto"/>
            <w:left w:val="none" w:sz="0" w:space="0" w:color="auto"/>
            <w:bottom w:val="none" w:sz="0" w:space="0" w:color="auto"/>
            <w:right w:val="none" w:sz="0" w:space="0" w:color="auto"/>
          </w:divBdr>
        </w:div>
      </w:divsChild>
    </w:div>
    <w:div w:id="1588076891">
      <w:bodyDiv w:val="1"/>
      <w:marLeft w:val="0"/>
      <w:marRight w:val="0"/>
      <w:marTop w:val="0"/>
      <w:marBottom w:val="0"/>
      <w:divBdr>
        <w:top w:val="none" w:sz="0" w:space="0" w:color="auto"/>
        <w:left w:val="none" w:sz="0" w:space="0" w:color="auto"/>
        <w:bottom w:val="none" w:sz="0" w:space="0" w:color="auto"/>
        <w:right w:val="none" w:sz="0" w:space="0" w:color="auto"/>
      </w:divBdr>
      <w:divsChild>
        <w:div w:id="903413988">
          <w:marLeft w:val="720"/>
          <w:marRight w:val="0"/>
          <w:marTop w:val="0"/>
          <w:marBottom w:val="0"/>
          <w:divBdr>
            <w:top w:val="none" w:sz="0" w:space="0" w:color="auto"/>
            <w:left w:val="none" w:sz="0" w:space="0" w:color="auto"/>
            <w:bottom w:val="none" w:sz="0" w:space="0" w:color="auto"/>
            <w:right w:val="none" w:sz="0" w:space="0" w:color="auto"/>
          </w:divBdr>
        </w:div>
        <w:div w:id="1117869475">
          <w:marLeft w:val="720"/>
          <w:marRight w:val="0"/>
          <w:marTop w:val="0"/>
          <w:marBottom w:val="0"/>
          <w:divBdr>
            <w:top w:val="none" w:sz="0" w:space="0" w:color="auto"/>
            <w:left w:val="none" w:sz="0" w:space="0" w:color="auto"/>
            <w:bottom w:val="none" w:sz="0" w:space="0" w:color="auto"/>
            <w:right w:val="none" w:sz="0" w:space="0" w:color="auto"/>
          </w:divBdr>
        </w:div>
      </w:divsChild>
    </w:div>
    <w:div w:id="1604848366">
      <w:bodyDiv w:val="1"/>
      <w:marLeft w:val="0"/>
      <w:marRight w:val="0"/>
      <w:marTop w:val="0"/>
      <w:marBottom w:val="0"/>
      <w:divBdr>
        <w:top w:val="none" w:sz="0" w:space="0" w:color="auto"/>
        <w:left w:val="none" w:sz="0" w:space="0" w:color="auto"/>
        <w:bottom w:val="none" w:sz="0" w:space="0" w:color="auto"/>
        <w:right w:val="none" w:sz="0" w:space="0" w:color="auto"/>
      </w:divBdr>
      <w:divsChild>
        <w:div w:id="945426495">
          <w:marLeft w:val="806"/>
          <w:marRight w:val="0"/>
          <w:marTop w:val="200"/>
          <w:marBottom w:val="0"/>
          <w:divBdr>
            <w:top w:val="none" w:sz="0" w:space="0" w:color="auto"/>
            <w:left w:val="none" w:sz="0" w:space="0" w:color="auto"/>
            <w:bottom w:val="none" w:sz="0" w:space="0" w:color="auto"/>
            <w:right w:val="none" w:sz="0" w:space="0" w:color="auto"/>
          </w:divBdr>
        </w:div>
      </w:divsChild>
    </w:div>
    <w:div w:id="1609773437">
      <w:bodyDiv w:val="1"/>
      <w:marLeft w:val="0"/>
      <w:marRight w:val="0"/>
      <w:marTop w:val="0"/>
      <w:marBottom w:val="0"/>
      <w:divBdr>
        <w:top w:val="none" w:sz="0" w:space="0" w:color="auto"/>
        <w:left w:val="none" w:sz="0" w:space="0" w:color="auto"/>
        <w:bottom w:val="none" w:sz="0" w:space="0" w:color="auto"/>
        <w:right w:val="none" w:sz="0" w:space="0" w:color="auto"/>
      </w:divBdr>
    </w:div>
    <w:div w:id="1641571433">
      <w:bodyDiv w:val="1"/>
      <w:marLeft w:val="0"/>
      <w:marRight w:val="0"/>
      <w:marTop w:val="0"/>
      <w:marBottom w:val="0"/>
      <w:divBdr>
        <w:top w:val="none" w:sz="0" w:space="0" w:color="auto"/>
        <w:left w:val="none" w:sz="0" w:space="0" w:color="auto"/>
        <w:bottom w:val="none" w:sz="0" w:space="0" w:color="auto"/>
        <w:right w:val="none" w:sz="0" w:space="0" w:color="auto"/>
      </w:divBdr>
    </w:div>
    <w:div w:id="1651591050">
      <w:bodyDiv w:val="1"/>
      <w:marLeft w:val="0"/>
      <w:marRight w:val="0"/>
      <w:marTop w:val="0"/>
      <w:marBottom w:val="0"/>
      <w:divBdr>
        <w:top w:val="none" w:sz="0" w:space="0" w:color="auto"/>
        <w:left w:val="none" w:sz="0" w:space="0" w:color="auto"/>
        <w:bottom w:val="none" w:sz="0" w:space="0" w:color="auto"/>
        <w:right w:val="none" w:sz="0" w:space="0" w:color="auto"/>
      </w:divBdr>
    </w:div>
    <w:div w:id="1654064137">
      <w:bodyDiv w:val="1"/>
      <w:marLeft w:val="0"/>
      <w:marRight w:val="0"/>
      <w:marTop w:val="0"/>
      <w:marBottom w:val="0"/>
      <w:divBdr>
        <w:top w:val="none" w:sz="0" w:space="0" w:color="auto"/>
        <w:left w:val="none" w:sz="0" w:space="0" w:color="auto"/>
        <w:bottom w:val="none" w:sz="0" w:space="0" w:color="auto"/>
        <w:right w:val="none" w:sz="0" w:space="0" w:color="auto"/>
      </w:divBdr>
    </w:div>
    <w:div w:id="1657031309">
      <w:bodyDiv w:val="1"/>
      <w:marLeft w:val="0"/>
      <w:marRight w:val="0"/>
      <w:marTop w:val="0"/>
      <w:marBottom w:val="0"/>
      <w:divBdr>
        <w:top w:val="none" w:sz="0" w:space="0" w:color="auto"/>
        <w:left w:val="none" w:sz="0" w:space="0" w:color="auto"/>
        <w:bottom w:val="none" w:sz="0" w:space="0" w:color="auto"/>
        <w:right w:val="none" w:sz="0" w:space="0" w:color="auto"/>
      </w:divBdr>
    </w:div>
    <w:div w:id="1660502979">
      <w:bodyDiv w:val="1"/>
      <w:marLeft w:val="0"/>
      <w:marRight w:val="0"/>
      <w:marTop w:val="0"/>
      <w:marBottom w:val="0"/>
      <w:divBdr>
        <w:top w:val="none" w:sz="0" w:space="0" w:color="auto"/>
        <w:left w:val="none" w:sz="0" w:space="0" w:color="auto"/>
        <w:bottom w:val="none" w:sz="0" w:space="0" w:color="auto"/>
        <w:right w:val="none" w:sz="0" w:space="0" w:color="auto"/>
      </w:divBdr>
      <w:divsChild>
        <w:div w:id="812064185">
          <w:marLeft w:val="360"/>
          <w:marRight w:val="0"/>
          <w:marTop w:val="200"/>
          <w:marBottom w:val="0"/>
          <w:divBdr>
            <w:top w:val="none" w:sz="0" w:space="0" w:color="auto"/>
            <w:left w:val="none" w:sz="0" w:space="0" w:color="auto"/>
            <w:bottom w:val="none" w:sz="0" w:space="0" w:color="auto"/>
            <w:right w:val="none" w:sz="0" w:space="0" w:color="auto"/>
          </w:divBdr>
        </w:div>
      </w:divsChild>
    </w:div>
    <w:div w:id="1685283053">
      <w:bodyDiv w:val="1"/>
      <w:marLeft w:val="0"/>
      <w:marRight w:val="0"/>
      <w:marTop w:val="0"/>
      <w:marBottom w:val="0"/>
      <w:divBdr>
        <w:top w:val="none" w:sz="0" w:space="0" w:color="auto"/>
        <w:left w:val="none" w:sz="0" w:space="0" w:color="auto"/>
        <w:bottom w:val="none" w:sz="0" w:space="0" w:color="auto"/>
        <w:right w:val="none" w:sz="0" w:space="0" w:color="auto"/>
      </w:divBdr>
    </w:div>
    <w:div w:id="1685596631">
      <w:bodyDiv w:val="1"/>
      <w:marLeft w:val="0"/>
      <w:marRight w:val="0"/>
      <w:marTop w:val="0"/>
      <w:marBottom w:val="0"/>
      <w:divBdr>
        <w:top w:val="none" w:sz="0" w:space="0" w:color="auto"/>
        <w:left w:val="none" w:sz="0" w:space="0" w:color="auto"/>
        <w:bottom w:val="none" w:sz="0" w:space="0" w:color="auto"/>
        <w:right w:val="none" w:sz="0" w:space="0" w:color="auto"/>
      </w:divBdr>
    </w:div>
    <w:div w:id="1704597868">
      <w:bodyDiv w:val="1"/>
      <w:marLeft w:val="0"/>
      <w:marRight w:val="0"/>
      <w:marTop w:val="0"/>
      <w:marBottom w:val="0"/>
      <w:divBdr>
        <w:top w:val="none" w:sz="0" w:space="0" w:color="auto"/>
        <w:left w:val="none" w:sz="0" w:space="0" w:color="auto"/>
        <w:bottom w:val="none" w:sz="0" w:space="0" w:color="auto"/>
        <w:right w:val="none" w:sz="0" w:space="0" w:color="auto"/>
      </w:divBdr>
      <w:divsChild>
        <w:div w:id="438641286">
          <w:marLeft w:val="547"/>
          <w:marRight w:val="0"/>
          <w:marTop w:val="154"/>
          <w:marBottom w:val="0"/>
          <w:divBdr>
            <w:top w:val="none" w:sz="0" w:space="0" w:color="auto"/>
            <w:left w:val="none" w:sz="0" w:space="0" w:color="auto"/>
            <w:bottom w:val="none" w:sz="0" w:space="0" w:color="auto"/>
            <w:right w:val="none" w:sz="0" w:space="0" w:color="auto"/>
          </w:divBdr>
        </w:div>
        <w:div w:id="597954597">
          <w:marLeft w:val="547"/>
          <w:marRight w:val="0"/>
          <w:marTop w:val="154"/>
          <w:marBottom w:val="0"/>
          <w:divBdr>
            <w:top w:val="none" w:sz="0" w:space="0" w:color="auto"/>
            <w:left w:val="none" w:sz="0" w:space="0" w:color="auto"/>
            <w:bottom w:val="none" w:sz="0" w:space="0" w:color="auto"/>
            <w:right w:val="none" w:sz="0" w:space="0" w:color="auto"/>
          </w:divBdr>
        </w:div>
        <w:div w:id="1158884626">
          <w:marLeft w:val="547"/>
          <w:marRight w:val="0"/>
          <w:marTop w:val="154"/>
          <w:marBottom w:val="0"/>
          <w:divBdr>
            <w:top w:val="none" w:sz="0" w:space="0" w:color="auto"/>
            <w:left w:val="none" w:sz="0" w:space="0" w:color="auto"/>
            <w:bottom w:val="none" w:sz="0" w:space="0" w:color="auto"/>
            <w:right w:val="none" w:sz="0" w:space="0" w:color="auto"/>
          </w:divBdr>
        </w:div>
        <w:div w:id="1223324736">
          <w:marLeft w:val="547"/>
          <w:marRight w:val="0"/>
          <w:marTop w:val="154"/>
          <w:marBottom w:val="0"/>
          <w:divBdr>
            <w:top w:val="none" w:sz="0" w:space="0" w:color="auto"/>
            <w:left w:val="none" w:sz="0" w:space="0" w:color="auto"/>
            <w:bottom w:val="none" w:sz="0" w:space="0" w:color="auto"/>
            <w:right w:val="none" w:sz="0" w:space="0" w:color="auto"/>
          </w:divBdr>
        </w:div>
        <w:div w:id="1349477873">
          <w:marLeft w:val="547"/>
          <w:marRight w:val="0"/>
          <w:marTop w:val="154"/>
          <w:marBottom w:val="0"/>
          <w:divBdr>
            <w:top w:val="none" w:sz="0" w:space="0" w:color="auto"/>
            <w:left w:val="none" w:sz="0" w:space="0" w:color="auto"/>
            <w:bottom w:val="none" w:sz="0" w:space="0" w:color="auto"/>
            <w:right w:val="none" w:sz="0" w:space="0" w:color="auto"/>
          </w:divBdr>
        </w:div>
        <w:div w:id="1793398370">
          <w:marLeft w:val="547"/>
          <w:marRight w:val="0"/>
          <w:marTop w:val="154"/>
          <w:marBottom w:val="0"/>
          <w:divBdr>
            <w:top w:val="none" w:sz="0" w:space="0" w:color="auto"/>
            <w:left w:val="none" w:sz="0" w:space="0" w:color="auto"/>
            <w:bottom w:val="none" w:sz="0" w:space="0" w:color="auto"/>
            <w:right w:val="none" w:sz="0" w:space="0" w:color="auto"/>
          </w:divBdr>
        </w:div>
      </w:divsChild>
    </w:div>
    <w:div w:id="1704864811">
      <w:bodyDiv w:val="1"/>
      <w:marLeft w:val="0"/>
      <w:marRight w:val="0"/>
      <w:marTop w:val="0"/>
      <w:marBottom w:val="0"/>
      <w:divBdr>
        <w:top w:val="none" w:sz="0" w:space="0" w:color="auto"/>
        <w:left w:val="none" w:sz="0" w:space="0" w:color="auto"/>
        <w:bottom w:val="none" w:sz="0" w:space="0" w:color="auto"/>
        <w:right w:val="none" w:sz="0" w:space="0" w:color="auto"/>
      </w:divBdr>
    </w:div>
    <w:div w:id="1732533322">
      <w:bodyDiv w:val="1"/>
      <w:marLeft w:val="0"/>
      <w:marRight w:val="0"/>
      <w:marTop w:val="0"/>
      <w:marBottom w:val="0"/>
      <w:divBdr>
        <w:top w:val="none" w:sz="0" w:space="0" w:color="auto"/>
        <w:left w:val="none" w:sz="0" w:space="0" w:color="auto"/>
        <w:bottom w:val="none" w:sz="0" w:space="0" w:color="auto"/>
        <w:right w:val="none" w:sz="0" w:space="0" w:color="auto"/>
      </w:divBdr>
    </w:div>
    <w:div w:id="1758557279">
      <w:bodyDiv w:val="1"/>
      <w:marLeft w:val="0"/>
      <w:marRight w:val="0"/>
      <w:marTop w:val="0"/>
      <w:marBottom w:val="0"/>
      <w:divBdr>
        <w:top w:val="none" w:sz="0" w:space="0" w:color="auto"/>
        <w:left w:val="none" w:sz="0" w:space="0" w:color="auto"/>
        <w:bottom w:val="none" w:sz="0" w:space="0" w:color="auto"/>
        <w:right w:val="none" w:sz="0" w:space="0" w:color="auto"/>
      </w:divBdr>
      <w:divsChild>
        <w:div w:id="980839837">
          <w:marLeft w:val="360"/>
          <w:marRight w:val="0"/>
          <w:marTop w:val="200"/>
          <w:marBottom w:val="0"/>
          <w:divBdr>
            <w:top w:val="none" w:sz="0" w:space="0" w:color="auto"/>
            <w:left w:val="none" w:sz="0" w:space="0" w:color="auto"/>
            <w:bottom w:val="none" w:sz="0" w:space="0" w:color="auto"/>
            <w:right w:val="none" w:sz="0" w:space="0" w:color="auto"/>
          </w:divBdr>
        </w:div>
        <w:div w:id="1214776870">
          <w:marLeft w:val="360"/>
          <w:marRight w:val="0"/>
          <w:marTop w:val="200"/>
          <w:marBottom w:val="0"/>
          <w:divBdr>
            <w:top w:val="none" w:sz="0" w:space="0" w:color="auto"/>
            <w:left w:val="none" w:sz="0" w:space="0" w:color="auto"/>
            <w:bottom w:val="none" w:sz="0" w:space="0" w:color="auto"/>
            <w:right w:val="none" w:sz="0" w:space="0" w:color="auto"/>
          </w:divBdr>
        </w:div>
        <w:div w:id="1234506136">
          <w:marLeft w:val="360"/>
          <w:marRight w:val="0"/>
          <w:marTop w:val="200"/>
          <w:marBottom w:val="0"/>
          <w:divBdr>
            <w:top w:val="none" w:sz="0" w:space="0" w:color="auto"/>
            <w:left w:val="none" w:sz="0" w:space="0" w:color="auto"/>
            <w:bottom w:val="none" w:sz="0" w:space="0" w:color="auto"/>
            <w:right w:val="none" w:sz="0" w:space="0" w:color="auto"/>
          </w:divBdr>
        </w:div>
      </w:divsChild>
    </w:div>
    <w:div w:id="1767117573">
      <w:bodyDiv w:val="1"/>
      <w:marLeft w:val="0"/>
      <w:marRight w:val="0"/>
      <w:marTop w:val="0"/>
      <w:marBottom w:val="0"/>
      <w:divBdr>
        <w:top w:val="none" w:sz="0" w:space="0" w:color="auto"/>
        <w:left w:val="none" w:sz="0" w:space="0" w:color="auto"/>
        <w:bottom w:val="none" w:sz="0" w:space="0" w:color="auto"/>
        <w:right w:val="none" w:sz="0" w:space="0" w:color="auto"/>
      </w:divBdr>
    </w:div>
    <w:div w:id="1778061520">
      <w:bodyDiv w:val="1"/>
      <w:marLeft w:val="0"/>
      <w:marRight w:val="0"/>
      <w:marTop w:val="0"/>
      <w:marBottom w:val="0"/>
      <w:divBdr>
        <w:top w:val="none" w:sz="0" w:space="0" w:color="auto"/>
        <w:left w:val="none" w:sz="0" w:space="0" w:color="auto"/>
        <w:bottom w:val="none" w:sz="0" w:space="0" w:color="auto"/>
        <w:right w:val="none" w:sz="0" w:space="0" w:color="auto"/>
      </w:divBdr>
    </w:div>
    <w:div w:id="1794207120">
      <w:bodyDiv w:val="1"/>
      <w:marLeft w:val="0"/>
      <w:marRight w:val="0"/>
      <w:marTop w:val="0"/>
      <w:marBottom w:val="0"/>
      <w:divBdr>
        <w:top w:val="none" w:sz="0" w:space="0" w:color="auto"/>
        <w:left w:val="none" w:sz="0" w:space="0" w:color="auto"/>
        <w:bottom w:val="none" w:sz="0" w:space="0" w:color="auto"/>
        <w:right w:val="none" w:sz="0" w:space="0" w:color="auto"/>
      </w:divBdr>
    </w:div>
    <w:div w:id="1809012129">
      <w:bodyDiv w:val="1"/>
      <w:marLeft w:val="0"/>
      <w:marRight w:val="0"/>
      <w:marTop w:val="0"/>
      <w:marBottom w:val="0"/>
      <w:divBdr>
        <w:top w:val="none" w:sz="0" w:space="0" w:color="auto"/>
        <w:left w:val="none" w:sz="0" w:space="0" w:color="auto"/>
        <w:bottom w:val="none" w:sz="0" w:space="0" w:color="auto"/>
        <w:right w:val="none" w:sz="0" w:space="0" w:color="auto"/>
      </w:divBdr>
    </w:div>
    <w:div w:id="1809394653">
      <w:bodyDiv w:val="1"/>
      <w:marLeft w:val="0"/>
      <w:marRight w:val="0"/>
      <w:marTop w:val="0"/>
      <w:marBottom w:val="0"/>
      <w:divBdr>
        <w:top w:val="none" w:sz="0" w:space="0" w:color="auto"/>
        <w:left w:val="none" w:sz="0" w:space="0" w:color="auto"/>
        <w:bottom w:val="none" w:sz="0" w:space="0" w:color="auto"/>
        <w:right w:val="none" w:sz="0" w:space="0" w:color="auto"/>
      </w:divBdr>
    </w:div>
    <w:div w:id="1825588380">
      <w:bodyDiv w:val="1"/>
      <w:marLeft w:val="0"/>
      <w:marRight w:val="0"/>
      <w:marTop w:val="0"/>
      <w:marBottom w:val="0"/>
      <w:divBdr>
        <w:top w:val="none" w:sz="0" w:space="0" w:color="auto"/>
        <w:left w:val="none" w:sz="0" w:space="0" w:color="auto"/>
        <w:bottom w:val="none" w:sz="0" w:space="0" w:color="auto"/>
        <w:right w:val="none" w:sz="0" w:space="0" w:color="auto"/>
      </w:divBdr>
    </w:div>
    <w:div w:id="1830171461">
      <w:bodyDiv w:val="1"/>
      <w:marLeft w:val="0"/>
      <w:marRight w:val="0"/>
      <w:marTop w:val="0"/>
      <w:marBottom w:val="0"/>
      <w:divBdr>
        <w:top w:val="none" w:sz="0" w:space="0" w:color="auto"/>
        <w:left w:val="none" w:sz="0" w:space="0" w:color="auto"/>
        <w:bottom w:val="none" w:sz="0" w:space="0" w:color="auto"/>
        <w:right w:val="none" w:sz="0" w:space="0" w:color="auto"/>
      </w:divBdr>
      <w:divsChild>
        <w:div w:id="308748356">
          <w:marLeft w:val="360"/>
          <w:marRight w:val="0"/>
          <w:marTop w:val="200"/>
          <w:marBottom w:val="0"/>
          <w:divBdr>
            <w:top w:val="none" w:sz="0" w:space="0" w:color="auto"/>
            <w:left w:val="none" w:sz="0" w:space="0" w:color="auto"/>
            <w:bottom w:val="none" w:sz="0" w:space="0" w:color="auto"/>
            <w:right w:val="none" w:sz="0" w:space="0" w:color="auto"/>
          </w:divBdr>
        </w:div>
        <w:div w:id="359278531">
          <w:marLeft w:val="1080"/>
          <w:marRight w:val="0"/>
          <w:marTop w:val="100"/>
          <w:marBottom w:val="0"/>
          <w:divBdr>
            <w:top w:val="none" w:sz="0" w:space="0" w:color="auto"/>
            <w:left w:val="none" w:sz="0" w:space="0" w:color="auto"/>
            <w:bottom w:val="none" w:sz="0" w:space="0" w:color="auto"/>
            <w:right w:val="none" w:sz="0" w:space="0" w:color="auto"/>
          </w:divBdr>
        </w:div>
        <w:div w:id="398946503">
          <w:marLeft w:val="1080"/>
          <w:marRight w:val="0"/>
          <w:marTop w:val="100"/>
          <w:marBottom w:val="0"/>
          <w:divBdr>
            <w:top w:val="none" w:sz="0" w:space="0" w:color="auto"/>
            <w:left w:val="none" w:sz="0" w:space="0" w:color="auto"/>
            <w:bottom w:val="none" w:sz="0" w:space="0" w:color="auto"/>
            <w:right w:val="none" w:sz="0" w:space="0" w:color="auto"/>
          </w:divBdr>
        </w:div>
        <w:div w:id="420681121">
          <w:marLeft w:val="1080"/>
          <w:marRight w:val="0"/>
          <w:marTop w:val="100"/>
          <w:marBottom w:val="0"/>
          <w:divBdr>
            <w:top w:val="none" w:sz="0" w:space="0" w:color="auto"/>
            <w:left w:val="none" w:sz="0" w:space="0" w:color="auto"/>
            <w:bottom w:val="none" w:sz="0" w:space="0" w:color="auto"/>
            <w:right w:val="none" w:sz="0" w:space="0" w:color="auto"/>
          </w:divBdr>
        </w:div>
        <w:div w:id="725304144">
          <w:marLeft w:val="1080"/>
          <w:marRight w:val="0"/>
          <w:marTop w:val="100"/>
          <w:marBottom w:val="0"/>
          <w:divBdr>
            <w:top w:val="none" w:sz="0" w:space="0" w:color="auto"/>
            <w:left w:val="none" w:sz="0" w:space="0" w:color="auto"/>
            <w:bottom w:val="none" w:sz="0" w:space="0" w:color="auto"/>
            <w:right w:val="none" w:sz="0" w:space="0" w:color="auto"/>
          </w:divBdr>
        </w:div>
        <w:div w:id="993609449">
          <w:marLeft w:val="1080"/>
          <w:marRight w:val="0"/>
          <w:marTop w:val="100"/>
          <w:marBottom w:val="0"/>
          <w:divBdr>
            <w:top w:val="none" w:sz="0" w:space="0" w:color="auto"/>
            <w:left w:val="none" w:sz="0" w:space="0" w:color="auto"/>
            <w:bottom w:val="none" w:sz="0" w:space="0" w:color="auto"/>
            <w:right w:val="none" w:sz="0" w:space="0" w:color="auto"/>
          </w:divBdr>
        </w:div>
        <w:div w:id="1315721740">
          <w:marLeft w:val="1080"/>
          <w:marRight w:val="0"/>
          <w:marTop w:val="100"/>
          <w:marBottom w:val="0"/>
          <w:divBdr>
            <w:top w:val="none" w:sz="0" w:space="0" w:color="auto"/>
            <w:left w:val="none" w:sz="0" w:space="0" w:color="auto"/>
            <w:bottom w:val="none" w:sz="0" w:space="0" w:color="auto"/>
            <w:right w:val="none" w:sz="0" w:space="0" w:color="auto"/>
          </w:divBdr>
        </w:div>
        <w:div w:id="1397898446">
          <w:marLeft w:val="1080"/>
          <w:marRight w:val="0"/>
          <w:marTop w:val="100"/>
          <w:marBottom w:val="0"/>
          <w:divBdr>
            <w:top w:val="none" w:sz="0" w:space="0" w:color="auto"/>
            <w:left w:val="none" w:sz="0" w:space="0" w:color="auto"/>
            <w:bottom w:val="none" w:sz="0" w:space="0" w:color="auto"/>
            <w:right w:val="none" w:sz="0" w:space="0" w:color="auto"/>
          </w:divBdr>
        </w:div>
        <w:div w:id="1442798696">
          <w:marLeft w:val="360"/>
          <w:marRight w:val="0"/>
          <w:marTop w:val="200"/>
          <w:marBottom w:val="0"/>
          <w:divBdr>
            <w:top w:val="none" w:sz="0" w:space="0" w:color="auto"/>
            <w:left w:val="none" w:sz="0" w:space="0" w:color="auto"/>
            <w:bottom w:val="none" w:sz="0" w:space="0" w:color="auto"/>
            <w:right w:val="none" w:sz="0" w:space="0" w:color="auto"/>
          </w:divBdr>
        </w:div>
        <w:div w:id="1535195646">
          <w:marLeft w:val="1080"/>
          <w:marRight w:val="0"/>
          <w:marTop w:val="100"/>
          <w:marBottom w:val="0"/>
          <w:divBdr>
            <w:top w:val="none" w:sz="0" w:space="0" w:color="auto"/>
            <w:left w:val="none" w:sz="0" w:space="0" w:color="auto"/>
            <w:bottom w:val="none" w:sz="0" w:space="0" w:color="auto"/>
            <w:right w:val="none" w:sz="0" w:space="0" w:color="auto"/>
          </w:divBdr>
        </w:div>
        <w:div w:id="1795556073">
          <w:marLeft w:val="1080"/>
          <w:marRight w:val="0"/>
          <w:marTop w:val="100"/>
          <w:marBottom w:val="0"/>
          <w:divBdr>
            <w:top w:val="none" w:sz="0" w:space="0" w:color="auto"/>
            <w:left w:val="none" w:sz="0" w:space="0" w:color="auto"/>
            <w:bottom w:val="none" w:sz="0" w:space="0" w:color="auto"/>
            <w:right w:val="none" w:sz="0" w:space="0" w:color="auto"/>
          </w:divBdr>
        </w:div>
        <w:div w:id="2126120596">
          <w:marLeft w:val="1080"/>
          <w:marRight w:val="0"/>
          <w:marTop w:val="100"/>
          <w:marBottom w:val="0"/>
          <w:divBdr>
            <w:top w:val="none" w:sz="0" w:space="0" w:color="auto"/>
            <w:left w:val="none" w:sz="0" w:space="0" w:color="auto"/>
            <w:bottom w:val="none" w:sz="0" w:space="0" w:color="auto"/>
            <w:right w:val="none" w:sz="0" w:space="0" w:color="auto"/>
          </w:divBdr>
        </w:div>
      </w:divsChild>
    </w:div>
    <w:div w:id="1833519738">
      <w:bodyDiv w:val="1"/>
      <w:marLeft w:val="0"/>
      <w:marRight w:val="0"/>
      <w:marTop w:val="0"/>
      <w:marBottom w:val="0"/>
      <w:divBdr>
        <w:top w:val="none" w:sz="0" w:space="0" w:color="auto"/>
        <w:left w:val="none" w:sz="0" w:space="0" w:color="auto"/>
        <w:bottom w:val="none" w:sz="0" w:space="0" w:color="auto"/>
        <w:right w:val="none" w:sz="0" w:space="0" w:color="auto"/>
      </w:divBdr>
    </w:div>
    <w:div w:id="1845901107">
      <w:bodyDiv w:val="1"/>
      <w:marLeft w:val="0"/>
      <w:marRight w:val="0"/>
      <w:marTop w:val="0"/>
      <w:marBottom w:val="0"/>
      <w:divBdr>
        <w:top w:val="none" w:sz="0" w:space="0" w:color="auto"/>
        <w:left w:val="none" w:sz="0" w:space="0" w:color="auto"/>
        <w:bottom w:val="none" w:sz="0" w:space="0" w:color="auto"/>
        <w:right w:val="none" w:sz="0" w:space="0" w:color="auto"/>
      </w:divBdr>
      <w:divsChild>
        <w:div w:id="690490532">
          <w:marLeft w:val="360"/>
          <w:marRight w:val="0"/>
          <w:marTop w:val="200"/>
          <w:marBottom w:val="0"/>
          <w:divBdr>
            <w:top w:val="none" w:sz="0" w:space="0" w:color="auto"/>
            <w:left w:val="none" w:sz="0" w:space="0" w:color="auto"/>
            <w:bottom w:val="none" w:sz="0" w:space="0" w:color="auto"/>
            <w:right w:val="none" w:sz="0" w:space="0" w:color="auto"/>
          </w:divBdr>
        </w:div>
      </w:divsChild>
    </w:div>
    <w:div w:id="1878739513">
      <w:bodyDiv w:val="1"/>
      <w:marLeft w:val="0"/>
      <w:marRight w:val="0"/>
      <w:marTop w:val="0"/>
      <w:marBottom w:val="0"/>
      <w:divBdr>
        <w:top w:val="none" w:sz="0" w:space="0" w:color="auto"/>
        <w:left w:val="none" w:sz="0" w:space="0" w:color="auto"/>
        <w:bottom w:val="none" w:sz="0" w:space="0" w:color="auto"/>
        <w:right w:val="none" w:sz="0" w:space="0" w:color="auto"/>
      </w:divBdr>
      <w:divsChild>
        <w:div w:id="1905069136">
          <w:marLeft w:val="360"/>
          <w:marRight w:val="0"/>
          <w:marTop w:val="200"/>
          <w:marBottom w:val="0"/>
          <w:divBdr>
            <w:top w:val="none" w:sz="0" w:space="0" w:color="auto"/>
            <w:left w:val="none" w:sz="0" w:space="0" w:color="auto"/>
            <w:bottom w:val="none" w:sz="0" w:space="0" w:color="auto"/>
            <w:right w:val="none" w:sz="0" w:space="0" w:color="auto"/>
          </w:divBdr>
        </w:div>
      </w:divsChild>
    </w:div>
    <w:div w:id="1880513641">
      <w:bodyDiv w:val="1"/>
      <w:marLeft w:val="0"/>
      <w:marRight w:val="0"/>
      <w:marTop w:val="0"/>
      <w:marBottom w:val="0"/>
      <w:divBdr>
        <w:top w:val="none" w:sz="0" w:space="0" w:color="auto"/>
        <w:left w:val="none" w:sz="0" w:space="0" w:color="auto"/>
        <w:bottom w:val="none" w:sz="0" w:space="0" w:color="auto"/>
        <w:right w:val="none" w:sz="0" w:space="0" w:color="auto"/>
      </w:divBdr>
    </w:div>
    <w:div w:id="1914582675">
      <w:bodyDiv w:val="1"/>
      <w:marLeft w:val="0"/>
      <w:marRight w:val="0"/>
      <w:marTop w:val="0"/>
      <w:marBottom w:val="0"/>
      <w:divBdr>
        <w:top w:val="none" w:sz="0" w:space="0" w:color="auto"/>
        <w:left w:val="none" w:sz="0" w:space="0" w:color="auto"/>
        <w:bottom w:val="none" w:sz="0" w:space="0" w:color="auto"/>
        <w:right w:val="none" w:sz="0" w:space="0" w:color="auto"/>
      </w:divBdr>
    </w:div>
    <w:div w:id="1967007859">
      <w:bodyDiv w:val="1"/>
      <w:marLeft w:val="0"/>
      <w:marRight w:val="0"/>
      <w:marTop w:val="0"/>
      <w:marBottom w:val="0"/>
      <w:divBdr>
        <w:top w:val="none" w:sz="0" w:space="0" w:color="auto"/>
        <w:left w:val="none" w:sz="0" w:space="0" w:color="auto"/>
        <w:bottom w:val="none" w:sz="0" w:space="0" w:color="auto"/>
        <w:right w:val="none" w:sz="0" w:space="0" w:color="auto"/>
      </w:divBdr>
    </w:div>
    <w:div w:id="2042827281">
      <w:bodyDiv w:val="1"/>
      <w:marLeft w:val="0"/>
      <w:marRight w:val="0"/>
      <w:marTop w:val="0"/>
      <w:marBottom w:val="0"/>
      <w:divBdr>
        <w:top w:val="none" w:sz="0" w:space="0" w:color="auto"/>
        <w:left w:val="none" w:sz="0" w:space="0" w:color="auto"/>
        <w:bottom w:val="none" w:sz="0" w:space="0" w:color="auto"/>
        <w:right w:val="none" w:sz="0" w:space="0" w:color="auto"/>
      </w:divBdr>
    </w:div>
    <w:div w:id="2089573391">
      <w:bodyDiv w:val="1"/>
      <w:marLeft w:val="0"/>
      <w:marRight w:val="0"/>
      <w:marTop w:val="0"/>
      <w:marBottom w:val="0"/>
      <w:divBdr>
        <w:top w:val="none" w:sz="0" w:space="0" w:color="auto"/>
        <w:left w:val="none" w:sz="0" w:space="0" w:color="auto"/>
        <w:bottom w:val="none" w:sz="0" w:space="0" w:color="auto"/>
        <w:right w:val="none" w:sz="0" w:space="0" w:color="auto"/>
      </w:divBdr>
      <w:divsChild>
        <w:div w:id="536356514">
          <w:marLeft w:val="547"/>
          <w:marRight w:val="0"/>
          <w:marTop w:val="115"/>
          <w:marBottom w:val="0"/>
          <w:divBdr>
            <w:top w:val="none" w:sz="0" w:space="0" w:color="auto"/>
            <w:left w:val="none" w:sz="0" w:space="0" w:color="auto"/>
            <w:bottom w:val="none" w:sz="0" w:space="0" w:color="auto"/>
            <w:right w:val="none" w:sz="0" w:space="0" w:color="auto"/>
          </w:divBdr>
        </w:div>
        <w:div w:id="765151412">
          <w:marLeft w:val="547"/>
          <w:marRight w:val="0"/>
          <w:marTop w:val="115"/>
          <w:marBottom w:val="0"/>
          <w:divBdr>
            <w:top w:val="none" w:sz="0" w:space="0" w:color="auto"/>
            <w:left w:val="none" w:sz="0" w:space="0" w:color="auto"/>
            <w:bottom w:val="none" w:sz="0" w:space="0" w:color="auto"/>
            <w:right w:val="none" w:sz="0" w:space="0" w:color="auto"/>
          </w:divBdr>
        </w:div>
        <w:div w:id="928273927">
          <w:marLeft w:val="547"/>
          <w:marRight w:val="0"/>
          <w:marTop w:val="115"/>
          <w:marBottom w:val="0"/>
          <w:divBdr>
            <w:top w:val="none" w:sz="0" w:space="0" w:color="auto"/>
            <w:left w:val="none" w:sz="0" w:space="0" w:color="auto"/>
            <w:bottom w:val="none" w:sz="0" w:space="0" w:color="auto"/>
            <w:right w:val="none" w:sz="0" w:space="0" w:color="auto"/>
          </w:divBdr>
        </w:div>
        <w:div w:id="929310481">
          <w:marLeft w:val="547"/>
          <w:marRight w:val="0"/>
          <w:marTop w:val="115"/>
          <w:marBottom w:val="0"/>
          <w:divBdr>
            <w:top w:val="none" w:sz="0" w:space="0" w:color="auto"/>
            <w:left w:val="none" w:sz="0" w:space="0" w:color="auto"/>
            <w:bottom w:val="none" w:sz="0" w:space="0" w:color="auto"/>
            <w:right w:val="none" w:sz="0" w:space="0" w:color="auto"/>
          </w:divBdr>
        </w:div>
        <w:div w:id="1175731953">
          <w:marLeft w:val="547"/>
          <w:marRight w:val="0"/>
          <w:marTop w:val="115"/>
          <w:marBottom w:val="0"/>
          <w:divBdr>
            <w:top w:val="none" w:sz="0" w:space="0" w:color="auto"/>
            <w:left w:val="none" w:sz="0" w:space="0" w:color="auto"/>
            <w:bottom w:val="none" w:sz="0" w:space="0" w:color="auto"/>
            <w:right w:val="none" w:sz="0" w:space="0" w:color="auto"/>
          </w:divBdr>
        </w:div>
        <w:div w:id="1602179616">
          <w:marLeft w:val="1166"/>
          <w:marRight w:val="0"/>
          <w:marTop w:val="115"/>
          <w:marBottom w:val="0"/>
          <w:divBdr>
            <w:top w:val="none" w:sz="0" w:space="0" w:color="auto"/>
            <w:left w:val="none" w:sz="0" w:space="0" w:color="auto"/>
            <w:bottom w:val="none" w:sz="0" w:space="0" w:color="auto"/>
            <w:right w:val="none" w:sz="0" w:space="0" w:color="auto"/>
          </w:divBdr>
        </w:div>
        <w:div w:id="1762795577">
          <w:marLeft w:val="547"/>
          <w:marRight w:val="0"/>
          <w:marTop w:val="115"/>
          <w:marBottom w:val="0"/>
          <w:divBdr>
            <w:top w:val="none" w:sz="0" w:space="0" w:color="auto"/>
            <w:left w:val="none" w:sz="0" w:space="0" w:color="auto"/>
            <w:bottom w:val="none" w:sz="0" w:space="0" w:color="auto"/>
            <w:right w:val="none" w:sz="0" w:space="0" w:color="auto"/>
          </w:divBdr>
        </w:div>
        <w:div w:id="1829902674">
          <w:marLeft w:val="547"/>
          <w:marRight w:val="0"/>
          <w:marTop w:val="115"/>
          <w:marBottom w:val="0"/>
          <w:divBdr>
            <w:top w:val="none" w:sz="0" w:space="0" w:color="auto"/>
            <w:left w:val="none" w:sz="0" w:space="0" w:color="auto"/>
            <w:bottom w:val="none" w:sz="0" w:space="0" w:color="auto"/>
            <w:right w:val="none" w:sz="0" w:space="0" w:color="auto"/>
          </w:divBdr>
        </w:div>
        <w:div w:id="1861817035">
          <w:marLeft w:val="1166"/>
          <w:marRight w:val="0"/>
          <w:marTop w:val="115"/>
          <w:marBottom w:val="0"/>
          <w:divBdr>
            <w:top w:val="none" w:sz="0" w:space="0" w:color="auto"/>
            <w:left w:val="none" w:sz="0" w:space="0" w:color="auto"/>
            <w:bottom w:val="none" w:sz="0" w:space="0" w:color="auto"/>
            <w:right w:val="none" w:sz="0" w:space="0" w:color="auto"/>
          </w:divBdr>
        </w:div>
        <w:div w:id="1972901635">
          <w:marLeft w:val="547"/>
          <w:marRight w:val="0"/>
          <w:marTop w:val="115"/>
          <w:marBottom w:val="0"/>
          <w:divBdr>
            <w:top w:val="none" w:sz="0" w:space="0" w:color="auto"/>
            <w:left w:val="none" w:sz="0" w:space="0" w:color="auto"/>
            <w:bottom w:val="none" w:sz="0" w:space="0" w:color="auto"/>
            <w:right w:val="none" w:sz="0" w:space="0" w:color="auto"/>
          </w:divBdr>
        </w:div>
        <w:div w:id="2088266937">
          <w:marLeft w:val="547"/>
          <w:marRight w:val="0"/>
          <w:marTop w:val="115"/>
          <w:marBottom w:val="0"/>
          <w:divBdr>
            <w:top w:val="none" w:sz="0" w:space="0" w:color="auto"/>
            <w:left w:val="none" w:sz="0" w:space="0" w:color="auto"/>
            <w:bottom w:val="none" w:sz="0" w:space="0" w:color="auto"/>
            <w:right w:val="none" w:sz="0" w:space="0" w:color="auto"/>
          </w:divBdr>
        </w:div>
      </w:divsChild>
    </w:div>
    <w:div w:id="2094625756">
      <w:bodyDiv w:val="1"/>
      <w:marLeft w:val="0"/>
      <w:marRight w:val="0"/>
      <w:marTop w:val="0"/>
      <w:marBottom w:val="0"/>
      <w:divBdr>
        <w:top w:val="none" w:sz="0" w:space="0" w:color="auto"/>
        <w:left w:val="none" w:sz="0" w:space="0" w:color="auto"/>
        <w:bottom w:val="none" w:sz="0" w:space="0" w:color="auto"/>
        <w:right w:val="none" w:sz="0" w:space="0" w:color="auto"/>
      </w:divBdr>
    </w:div>
    <w:div w:id="2094887532">
      <w:bodyDiv w:val="1"/>
      <w:marLeft w:val="0"/>
      <w:marRight w:val="0"/>
      <w:marTop w:val="0"/>
      <w:marBottom w:val="0"/>
      <w:divBdr>
        <w:top w:val="none" w:sz="0" w:space="0" w:color="auto"/>
        <w:left w:val="none" w:sz="0" w:space="0" w:color="auto"/>
        <w:bottom w:val="none" w:sz="0" w:space="0" w:color="auto"/>
        <w:right w:val="none" w:sz="0" w:space="0" w:color="auto"/>
      </w:divBdr>
    </w:div>
    <w:div w:id="2096777838">
      <w:bodyDiv w:val="1"/>
      <w:marLeft w:val="0"/>
      <w:marRight w:val="0"/>
      <w:marTop w:val="0"/>
      <w:marBottom w:val="0"/>
      <w:divBdr>
        <w:top w:val="none" w:sz="0" w:space="0" w:color="auto"/>
        <w:left w:val="none" w:sz="0" w:space="0" w:color="auto"/>
        <w:bottom w:val="none" w:sz="0" w:space="0" w:color="auto"/>
        <w:right w:val="none" w:sz="0" w:space="0" w:color="auto"/>
      </w:divBdr>
      <w:divsChild>
        <w:div w:id="418210122">
          <w:marLeft w:val="446"/>
          <w:marRight w:val="0"/>
          <w:marTop w:val="0"/>
          <w:marBottom w:val="0"/>
          <w:divBdr>
            <w:top w:val="none" w:sz="0" w:space="0" w:color="auto"/>
            <w:left w:val="none" w:sz="0" w:space="0" w:color="auto"/>
            <w:bottom w:val="none" w:sz="0" w:space="0" w:color="auto"/>
            <w:right w:val="none" w:sz="0" w:space="0" w:color="auto"/>
          </w:divBdr>
        </w:div>
        <w:div w:id="908032632">
          <w:marLeft w:val="446"/>
          <w:marRight w:val="0"/>
          <w:marTop w:val="0"/>
          <w:marBottom w:val="0"/>
          <w:divBdr>
            <w:top w:val="none" w:sz="0" w:space="0" w:color="auto"/>
            <w:left w:val="none" w:sz="0" w:space="0" w:color="auto"/>
            <w:bottom w:val="none" w:sz="0" w:space="0" w:color="auto"/>
            <w:right w:val="none" w:sz="0" w:space="0" w:color="auto"/>
          </w:divBdr>
        </w:div>
        <w:div w:id="1266498187">
          <w:marLeft w:val="446"/>
          <w:marRight w:val="0"/>
          <w:marTop w:val="0"/>
          <w:marBottom w:val="0"/>
          <w:divBdr>
            <w:top w:val="none" w:sz="0" w:space="0" w:color="auto"/>
            <w:left w:val="none" w:sz="0" w:space="0" w:color="auto"/>
            <w:bottom w:val="none" w:sz="0" w:space="0" w:color="auto"/>
            <w:right w:val="none" w:sz="0" w:space="0" w:color="auto"/>
          </w:divBdr>
        </w:div>
        <w:div w:id="1702513470">
          <w:marLeft w:val="446"/>
          <w:marRight w:val="0"/>
          <w:marTop w:val="0"/>
          <w:marBottom w:val="0"/>
          <w:divBdr>
            <w:top w:val="none" w:sz="0" w:space="0" w:color="auto"/>
            <w:left w:val="none" w:sz="0" w:space="0" w:color="auto"/>
            <w:bottom w:val="none" w:sz="0" w:space="0" w:color="auto"/>
            <w:right w:val="none" w:sz="0" w:space="0" w:color="auto"/>
          </w:divBdr>
        </w:div>
        <w:div w:id="1860393441">
          <w:marLeft w:val="446"/>
          <w:marRight w:val="0"/>
          <w:marTop w:val="0"/>
          <w:marBottom w:val="0"/>
          <w:divBdr>
            <w:top w:val="none" w:sz="0" w:space="0" w:color="auto"/>
            <w:left w:val="none" w:sz="0" w:space="0" w:color="auto"/>
            <w:bottom w:val="none" w:sz="0" w:space="0" w:color="auto"/>
            <w:right w:val="none" w:sz="0" w:space="0" w:color="auto"/>
          </w:divBdr>
        </w:div>
        <w:div w:id="2048479903">
          <w:marLeft w:val="446"/>
          <w:marRight w:val="0"/>
          <w:marTop w:val="0"/>
          <w:marBottom w:val="0"/>
          <w:divBdr>
            <w:top w:val="none" w:sz="0" w:space="0" w:color="auto"/>
            <w:left w:val="none" w:sz="0" w:space="0" w:color="auto"/>
            <w:bottom w:val="none" w:sz="0" w:space="0" w:color="auto"/>
            <w:right w:val="none" w:sz="0" w:space="0" w:color="auto"/>
          </w:divBdr>
        </w:div>
      </w:divsChild>
    </w:div>
    <w:div w:id="2119137530">
      <w:bodyDiv w:val="1"/>
      <w:marLeft w:val="0"/>
      <w:marRight w:val="0"/>
      <w:marTop w:val="0"/>
      <w:marBottom w:val="0"/>
      <w:divBdr>
        <w:top w:val="none" w:sz="0" w:space="0" w:color="auto"/>
        <w:left w:val="none" w:sz="0" w:space="0" w:color="auto"/>
        <w:bottom w:val="none" w:sz="0" w:space="0" w:color="auto"/>
        <w:right w:val="none" w:sz="0" w:space="0" w:color="auto"/>
      </w:divBdr>
      <w:divsChild>
        <w:div w:id="103304129">
          <w:marLeft w:val="360"/>
          <w:marRight w:val="0"/>
          <w:marTop w:val="200"/>
          <w:marBottom w:val="0"/>
          <w:divBdr>
            <w:top w:val="none" w:sz="0" w:space="0" w:color="auto"/>
            <w:left w:val="none" w:sz="0" w:space="0" w:color="auto"/>
            <w:bottom w:val="none" w:sz="0" w:space="0" w:color="auto"/>
            <w:right w:val="none" w:sz="0" w:space="0" w:color="auto"/>
          </w:divBdr>
        </w:div>
        <w:div w:id="237442603">
          <w:marLeft w:val="360"/>
          <w:marRight w:val="0"/>
          <w:marTop w:val="200"/>
          <w:marBottom w:val="0"/>
          <w:divBdr>
            <w:top w:val="none" w:sz="0" w:space="0" w:color="auto"/>
            <w:left w:val="none" w:sz="0" w:space="0" w:color="auto"/>
            <w:bottom w:val="none" w:sz="0" w:space="0" w:color="auto"/>
            <w:right w:val="none" w:sz="0" w:space="0" w:color="auto"/>
          </w:divBdr>
        </w:div>
        <w:div w:id="284580567">
          <w:marLeft w:val="360"/>
          <w:marRight w:val="0"/>
          <w:marTop w:val="200"/>
          <w:marBottom w:val="0"/>
          <w:divBdr>
            <w:top w:val="none" w:sz="0" w:space="0" w:color="auto"/>
            <w:left w:val="none" w:sz="0" w:space="0" w:color="auto"/>
            <w:bottom w:val="none" w:sz="0" w:space="0" w:color="auto"/>
            <w:right w:val="none" w:sz="0" w:space="0" w:color="auto"/>
          </w:divBdr>
        </w:div>
        <w:div w:id="936670129">
          <w:marLeft w:val="360"/>
          <w:marRight w:val="0"/>
          <w:marTop w:val="200"/>
          <w:marBottom w:val="0"/>
          <w:divBdr>
            <w:top w:val="none" w:sz="0" w:space="0" w:color="auto"/>
            <w:left w:val="none" w:sz="0" w:space="0" w:color="auto"/>
            <w:bottom w:val="none" w:sz="0" w:space="0" w:color="auto"/>
            <w:right w:val="none" w:sz="0" w:space="0" w:color="auto"/>
          </w:divBdr>
        </w:div>
        <w:div w:id="1291015579">
          <w:marLeft w:val="360"/>
          <w:marRight w:val="0"/>
          <w:marTop w:val="200"/>
          <w:marBottom w:val="0"/>
          <w:divBdr>
            <w:top w:val="none" w:sz="0" w:space="0" w:color="auto"/>
            <w:left w:val="none" w:sz="0" w:space="0" w:color="auto"/>
            <w:bottom w:val="none" w:sz="0" w:space="0" w:color="auto"/>
            <w:right w:val="none" w:sz="0" w:space="0" w:color="auto"/>
          </w:divBdr>
        </w:div>
        <w:div w:id="1353799243">
          <w:marLeft w:val="360"/>
          <w:marRight w:val="0"/>
          <w:marTop w:val="200"/>
          <w:marBottom w:val="0"/>
          <w:divBdr>
            <w:top w:val="none" w:sz="0" w:space="0" w:color="auto"/>
            <w:left w:val="none" w:sz="0" w:space="0" w:color="auto"/>
            <w:bottom w:val="none" w:sz="0" w:space="0" w:color="auto"/>
            <w:right w:val="none" w:sz="0" w:space="0" w:color="auto"/>
          </w:divBdr>
        </w:div>
        <w:div w:id="1391466655">
          <w:marLeft w:val="360"/>
          <w:marRight w:val="0"/>
          <w:marTop w:val="200"/>
          <w:marBottom w:val="0"/>
          <w:divBdr>
            <w:top w:val="none" w:sz="0" w:space="0" w:color="auto"/>
            <w:left w:val="none" w:sz="0" w:space="0" w:color="auto"/>
            <w:bottom w:val="none" w:sz="0" w:space="0" w:color="auto"/>
            <w:right w:val="none" w:sz="0" w:space="0" w:color="auto"/>
          </w:divBdr>
        </w:div>
        <w:div w:id="162897507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chart" Target="charts/chart1.xml"/><Relationship Id="rId21" Type="http://schemas.openxmlformats.org/officeDocument/2006/relationships/hyperlink" Target="https://www.ncbi.nlm.nih.gov/pmc/articles/PMC6607830/" TargetMode="External"/><Relationship Id="rId34" Type="http://schemas.openxmlformats.org/officeDocument/2006/relationships/image" Target="media/image17.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diagramQuickStyle" Target="diagrams/quickStyle1.xm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eader" Target="header6.xm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diagramData" Target="diagrams/data1.xml"/><Relationship Id="rId79" Type="http://schemas.openxmlformats.org/officeDocument/2006/relationships/image" Target="media/image48.emf"/><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7.png"/><Relationship Id="rId78" Type="http://schemas.microsoft.com/office/2007/relationships/diagramDrawing" Target="diagrams/drawing1.xml"/><Relationship Id="rId81"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6.xml"/><Relationship Id="rId48" Type="http://schemas.openxmlformats.org/officeDocument/2006/relationships/header" Target="header8.xm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diagramColors" Target="diagrams/colors1.xm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hyperlink" Target="https://www.ijidonline.com/article/S1201-9712(16)31194-8/fulltext" TargetMode="External"/><Relationship Id="rId80"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7.xm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29.png"/><Relationship Id="rId62" Type="http://schemas.openxmlformats.org/officeDocument/2006/relationships/image" Target="media/image37.jpg"/><Relationship Id="rId70" Type="http://schemas.openxmlformats.org/officeDocument/2006/relationships/image" Target="media/image45.png"/><Relationship Id="rId75" Type="http://schemas.openxmlformats.org/officeDocument/2006/relationships/diagramLayout" Target="diagrams/layout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8.xml"/><Relationship Id="rId57" Type="http://schemas.openxmlformats.org/officeDocument/2006/relationships/image" Target="media/image32.png"/></Relationships>
</file>

<file path=word/_rels/footnotes.xml.rels><?xml version="1.0" encoding="UTF-8" standalone="yes"?>
<Relationships xmlns="http://schemas.openxmlformats.org/package/2006/relationships"><Relationship Id="rId8" Type="http://schemas.openxmlformats.org/officeDocument/2006/relationships/hyperlink" Target="https://tbcindia.gov.in/WriteReadData/l892s/388838054811%20NTEP%20Gender%20Responsive%20Framework_311219.pdf" TargetMode="External"/><Relationship Id="rId3" Type="http://schemas.openxmlformats.org/officeDocument/2006/relationships/hyperlink" Target="http://statisticstimes.com/demographics/population-of-india.php" TargetMode="External"/><Relationship Id="rId7" Type="http://schemas.openxmlformats.org/officeDocument/2006/relationships/hyperlink" Target="http://www.ima-india.org/ima/free-way-page.php?pid=2" TargetMode="External"/><Relationship Id="rId2" Type="http://schemas.openxmlformats.org/officeDocument/2006/relationships/hyperlink" Target="http://www.stoptb.org/assets/documents/global/plan/GPR_2018-2022_Digital.pdf" TargetMode="External"/><Relationship Id="rId1" Type="http://schemas.openxmlformats.org/officeDocument/2006/relationships/hyperlink" Target="https://www.who.int/tb/publications/2020/rapid-communications-molecular-assays/en/" TargetMode="External"/><Relationship Id="rId6" Type="http://schemas.openxmlformats.org/officeDocument/2006/relationships/hyperlink" Target="https://economictimes.indiatimes.com/news/economy/policy/india-to-increase-public-health-spending-to-2-5-of-gdp-pm-modi/articleshow/67055735.cms?from=mdr" TargetMode="External"/><Relationship Id="rId5" Type="http://schemas.openxmlformats.org/officeDocument/2006/relationships/hyperlink" Target="https://niti.gov.in/sites/default/files/2019-11/NitiAayogBook_compressed.pdf" TargetMode="External"/><Relationship Id="rId4" Type="http://schemas.openxmlformats.org/officeDocument/2006/relationships/hyperlink" Target="https://databank.worldbank.org/views/reports/reportwidget.aspx?Report_Name=CountryProfile&amp;Id=b450fd57&amp;tbar=y&amp;dd=y&amp;inf=n&amp;zm=n&amp;country=IND" TargetMode="External"/><Relationship Id="rId9" Type="http://schemas.openxmlformats.org/officeDocument/2006/relationships/hyperlink" Target="http://www.censusindia.gov.in/2011census/hh-series/hh01.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Google%20Drive\CTD\NSP\2020\NSP%20revised%20scenario%20-%20SDG%20chang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77075876879028"/>
          <c:y val="6.3492063492063489E-2"/>
          <c:w val="0.83422924123120978"/>
          <c:h val="0.82641624342411757"/>
        </c:manualLayout>
      </c:layout>
      <c:lineChart>
        <c:grouping val="standard"/>
        <c:varyColors val="0"/>
        <c:ser>
          <c:idx val="0"/>
          <c:order val="0"/>
          <c:tx>
            <c:strRef>
              <c:f>Incidence!$A$2</c:f>
              <c:strCache>
                <c:ptCount val="1"/>
                <c:pt idx="0">
                  <c:v>Scenario 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67-45C8-A561-BFC85CF6C0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Incidence!$B$1:$H$1</c:f>
              <c:numCache>
                <c:formatCode>General</c:formatCode>
                <c:ptCount val="7"/>
                <c:pt idx="0">
                  <c:v>2019</c:v>
                </c:pt>
                <c:pt idx="1">
                  <c:v>2020</c:v>
                </c:pt>
                <c:pt idx="2">
                  <c:v>2021</c:v>
                </c:pt>
                <c:pt idx="3">
                  <c:v>2022</c:v>
                </c:pt>
                <c:pt idx="4">
                  <c:v>2023</c:v>
                </c:pt>
                <c:pt idx="5">
                  <c:v>2024</c:v>
                </c:pt>
                <c:pt idx="6">
                  <c:v>2025</c:v>
                </c:pt>
              </c:numCache>
            </c:numRef>
          </c:cat>
          <c:val>
            <c:numRef>
              <c:f>Incidence!$B$2:$H$2</c:f>
              <c:numCache>
                <c:formatCode>0</c:formatCode>
                <c:ptCount val="7"/>
                <c:pt idx="0" formatCode="General">
                  <c:v>199</c:v>
                </c:pt>
                <c:pt idx="1">
                  <c:v>193.03</c:v>
                </c:pt>
                <c:pt idx="2">
                  <c:v>188.20425</c:v>
                </c:pt>
                <c:pt idx="3">
                  <c:v>183.49914375</c:v>
                </c:pt>
                <c:pt idx="4">
                  <c:v>178.91166515625</c:v>
                </c:pt>
                <c:pt idx="5">
                  <c:v>174.43887352734376</c:v>
                </c:pt>
                <c:pt idx="6">
                  <c:v>170.07790168916017</c:v>
                </c:pt>
              </c:numCache>
            </c:numRef>
          </c:val>
          <c:smooth val="0"/>
          <c:extLst xmlns:c16r2="http://schemas.microsoft.com/office/drawing/2015/06/chart">
            <c:ext xmlns:c16="http://schemas.microsoft.com/office/drawing/2014/chart" uri="{C3380CC4-5D6E-409C-BE32-E72D297353CC}">
              <c16:uniqueId val="{00000001-A567-45C8-A561-BFC85CF6C00F}"/>
            </c:ext>
          </c:extLst>
        </c:ser>
        <c:ser>
          <c:idx val="1"/>
          <c:order val="1"/>
          <c:tx>
            <c:strRef>
              <c:f>Incidence!$A$3</c:f>
              <c:strCache>
                <c:ptCount val="1"/>
                <c:pt idx="0">
                  <c:v>Scenario II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67-45C8-A561-BFC85CF6C0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Incidence!$B$1:$H$1</c:f>
              <c:numCache>
                <c:formatCode>General</c:formatCode>
                <c:ptCount val="7"/>
                <c:pt idx="0">
                  <c:v>2019</c:v>
                </c:pt>
                <c:pt idx="1">
                  <c:v>2020</c:v>
                </c:pt>
                <c:pt idx="2">
                  <c:v>2021</c:v>
                </c:pt>
                <c:pt idx="3">
                  <c:v>2022</c:v>
                </c:pt>
                <c:pt idx="4">
                  <c:v>2023</c:v>
                </c:pt>
                <c:pt idx="5">
                  <c:v>2024</c:v>
                </c:pt>
                <c:pt idx="6">
                  <c:v>2025</c:v>
                </c:pt>
              </c:numCache>
            </c:numRef>
          </c:cat>
          <c:val>
            <c:numRef>
              <c:f>Incidence!$B$3:$H$3</c:f>
              <c:numCache>
                <c:formatCode>0</c:formatCode>
                <c:ptCount val="7"/>
                <c:pt idx="0" formatCode="General">
                  <c:v>199</c:v>
                </c:pt>
                <c:pt idx="1">
                  <c:v>193.03</c:v>
                </c:pt>
                <c:pt idx="2">
                  <c:v>183.3785</c:v>
                </c:pt>
                <c:pt idx="3">
                  <c:v>174.209575</c:v>
                </c:pt>
                <c:pt idx="4">
                  <c:v>163.7570005</c:v>
                </c:pt>
                <c:pt idx="5">
                  <c:v>155.56915047500001</c:v>
                </c:pt>
                <c:pt idx="6">
                  <c:v>147.79069295125001</c:v>
                </c:pt>
              </c:numCache>
            </c:numRef>
          </c:val>
          <c:smooth val="0"/>
          <c:extLst xmlns:c16r2="http://schemas.microsoft.com/office/drawing/2015/06/chart">
            <c:ext xmlns:c16="http://schemas.microsoft.com/office/drawing/2014/chart" uri="{C3380CC4-5D6E-409C-BE32-E72D297353CC}">
              <c16:uniqueId val="{00000003-A567-45C8-A561-BFC85CF6C00F}"/>
            </c:ext>
          </c:extLst>
        </c:ser>
        <c:ser>
          <c:idx val="2"/>
          <c:order val="2"/>
          <c:tx>
            <c:strRef>
              <c:f>Incidence!$A$4</c:f>
              <c:strCache>
                <c:ptCount val="1"/>
                <c:pt idx="0">
                  <c:v>Scenario III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67-45C8-A561-BFC85CF6C0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Incidence!$B$1:$H$1</c:f>
              <c:numCache>
                <c:formatCode>General</c:formatCode>
                <c:ptCount val="7"/>
                <c:pt idx="0">
                  <c:v>2019</c:v>
                </c:pt>
                <c:pt idx="1">
                  <c:v>2020</c:v>
                </c:pt>
                <c:pt idx="2">
                  <c:v>2021</c:v>
                </c:pt>
                <c:pt idx="3">
                  <c:v>2022</c:v>
                </c:pt>
                <c:pt idx="4">
                  <c:v>2023</c:v>
                </c:pt>
                <c:pt idx="5">
                  <c:v>2024</c:v>
                </c:pt>
                <c:pt idx="6">
                  <c:v>2025</c:v>
                </c:pt>
              </c:numCache>
            </c:numRef>
          </c:cat>
          <c:val>
            <c:numRef>
              <c:f>Incidence!$B$4:$H$4</c:f>
              <c:numCache>
                <c:formatCode>0</c:formatCode>
                <c:ptCount val="7"/>
                <c:pt idx="0" formatCode="General">
                  <c:v>199</c:v>
                </c:pt>
                <c:pt idx="1">
                  <c:v>193.03</c:v>
                </c:pt>
                <c:pt idx="2">
                  <c:v>179.5179</c:v>
                </c:pt>
                <c:pt idx="3">
                  <c:v>165.15646800000002</c:v>
                </c:pt>
                <c:pt idx="4">
                  <c:v>148.64082120000003</c:v>
                </c:pt>
                <c:pt idx="5">
                  <c:v>133.77673908000003</c:v>
                </c:pt>
                <c:pt idx="6">
                  <c:v>120.39906517200002</c:v>
                </c:pt>
              </c:numCache>
            </c:numRef>
          </c:val>
          <c:smooth val="0"/>
          <c:extLst xmlns:c16r2="http://schemas.microsoft.com/office/drawing/2015/06/chart">
            <c:ext xmlns:c16="http://schemas.microsoft.com/office/drawing/2014/chart" uri="{C3380CC4-5D6E-409C-BE32-E72D297353CC}">
              <c16:uniqueId val="{00000005-A567-45C8-A561-BFC85CF6C00F}"/>
            </c:ext>
          </c:extLst>
        </c:ser>
        <c:ser>
          <c:idx val="3"/>
          <c:order val="3"/>
          <c:tx>
            <c:strRef>
              <c:f>Incidence!$A$5</c:f>
              <c:strCache>
                <c:ptCount val="1"/>
                <c:pt idx="0">
                  <c:v>Scenario SDG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2496679946879147E-2"/>
                  <c:y val="-4.4132397191574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67-45C8-A561-BFC85CF6C00F}"/>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567-45C8-A561-BFC85CF6C0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Incidence!$B$1:$H$1</c:f>
              <c:numCache>
                <c:formatCode>General</c:formatCode>
                <c:ptCount val="7"/>
                <c:pt idx="0">
                  <c:v>2019</c:v>
                </c:pt>
                <c:pt idx="1">
                  <c:v>2020</c:v>
                </c:pt>
                <c:pt idx="2">
                  <c:v>2021</c:v>
                </c:pt>
                <c:pt idx="3">
                  <c:v>2022</c:v>
                </c:pt>
                <c:pt idx="4">
                  <c:v>2023</c:v>
                </c:pt>
                <c:pt idx="5">
                  <c:v>2024</c:v>
                </c:pt>
                <c:pt idx="6">
                  <c:v>2025</c:v>
                </c:pt>
              </c:numCache>
            </c:numRef>
          </c:cat>
          <c:val>
            <c:numRef>
              <c:f>Incidence!$B$5:$H$5</c:f>
              <c:numCache>
                <c:formatCode>0</c:formatCode>
                <c:ptCount val="7"/>
                <c:pt idx="0">
                  <c:v>199</c:v>
                </c:pt>
                <c:pt idx="1">
                  <c:v>193</c:v>
                </c:pt>
                <c:pt idx="2">
                  <c:v>178</c:v>
                </c:pt>
                <c:pt idx="3">
                  <c:v>160</c:v>
                </c:pt>
                <c:pt idx="4">
                  <c:v>140</c:v>
                </c:pt>
                <c:pt idx="5">
                  <c:v>84.334999999999994</c:v>
                </c:pt>
                <c:pt idx="6">
                  <c:v>44</c:v>
                </c:pt>
              </c:numCache>
            </c:numRef>
          </c:val>
          <c:smooth val="0"/>
          <c:extLst xmlns:c16r2="http://schemas.microsoft.com/office/drawing/2015/06/chart">
            <c:ext xmlns:c16="http://schemas.microsoft.com/office/drawing/2014/chart" uri="{C3380CC4-5D6E-409C-BE32-E72D297353CC}">
              <c16:uniqueId val="{00000008-A567-45C8-A561-BFC85CF6C00F}"/>
            </c:ext>
          </c:extLst>
        </c:ser>
        <c:dLbls>
          <c:showLegendKey val="0"/>
          <c:showVal val="0"/>
          <c:showCatName val="0"/>
          <c:showSerName val="0"/>
          <c:showPercent val="0"/>
          <c:showBubbleSize val="0"/>
        </c:dLbls>
        <c:marker val="1"/>
        <c:smooth val="0"/>
        <c:axId val="297068432"/>
        <c:axId val="297069216"/>
      </c:lineChart>
      <c:catAx>
        <c:axId val="297068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069216"/>
        <c:crosses val="autoZero"/>
        <c:auto val="1"/>
        <c:lblAlgn val="ctr"/>
        <c:lblOffset val="100"/>
        <c:noMultiLvlLbl val="0"/>
      </c:catAx>
      <c:valAx>
        <c:axId val="29706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Inciddence rate (cases</a:t>
                </a:r>
                <a:r>
                  <a:rPr lang="en-IN" baseline="0"/>
                  <a:t> per 100,000 population)</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068432"/>
        <c:crosses val="autoZero"/>
        <c:crossBetween val="between"/>
      </c:valAx>
      <c:spPr>
        <a:noFill/>
        <a:ln>
          <a:noFill/>
        </a:ln>
        <a:effectLst/>
      </c:spPr>
    </c:plotArea>
    <c:legend>
      <c:legendPos val="b"/>
      <c:layout>
        <c:manualLayout>
          <c:xMode val="edge"/>
          <c:yMode val="edge"/>
          <c:x val="0.15624874731567645"/>
          <c:y val="0.76665553169490175"/>
          <c:w val="0.70568414459556195"/>
          <c:h val="7.8855692103907568E-2"/>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2D2A25-2760-4A7D-9550-04342E03A7FC}"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US"/>
        </a:p>
      </dgm:t>
    </dgm:pt>
    <dgm:pt modelId="{7BBCA1C3-1EA0-4715-ACB7-19DD4BB44CCB}">
      <dgm:prSet phldrT="[Text]" custT="1"/>
      <dgm:spPr>
        <a:xfrm>
          <a:off x="0" y="152"/>
          <a:ext cx="2139696" cy="1459889"/>
        </a:xfrm>
        <a:solidFill>
          <a:schemeClr val="accent2"/>
        </a:solidFill>
        <a:ln w="25400" cap="flat" cmpd="sng" algn="ctr">
          <a:solidFill>
            <a:schemeClr val="accent4">
              <a:lumMod val="75000"/>
            </a:schemeClr>
          </a:solidFill>
          <a:prstDash val="solid"/>
        </a:ln>
        <a:effectLst/>
      </dgm:spPr>
      <dgm:t>
        <a:bodyPr/>
        <a:lstStyle/>
        <a:p>
          <a:pPr algn="l"/>
          <a:r>
            <a:rPr lang="en-GB" sz="900" dirty="0">
              <a:solidFill>
                <a:sysClr val="window" lastClr="FFFFFF"/>
              </a:solidFill>
              <a:latin typeface="Calibri"/>
              <a:ea typeface="+mn-ea"/>
              <a:cs typeface="+mn-cs"/>
            </a:rPr>
            <a:t>People who have </a:t>
          </a:r>
          <a:r>
            <a:rPr lang="en-GB" sz="900" b="1" dirty="0">
              <a:solidFill>
                <a:sysClr val="window" lastClr="FFFFFF"/>
              </a:solidFill>
              <a:latin typeface="Calibri"/>
              <a:ea typeface="+mn-ea"/>
              <a:cs typeface="+mn-cs"/>
            </a:rPr>
            <a:t>INCREASED EXPOSURE </a:t>
          </a:r>
          <a:r>
            <a:rPr lang="en-GB" sz="900" dirty="0">
              <a:solidFill>
                <a:sysClr val="window" lastClr="FFFFFF"/>
              </a:solidFill>
              <a:latin typeface="Calibri"/>
              <a:ea typeface="+mn-ea"/>
              <a:cs typeface="+mn-cs"/>
            </a:rPr>
            <a:t>to TB </a:t>
          </a:r>
          <a:r>
            <a:rPr lang="en-GB" sz="900" b="1" dirty="0">
              <a:solidFill>
                <a:sysClr val="window" lastClr="FFFFFF"/>
              </a:solidFill>
              <a:latin typeface="Calibri"/>
              <a:ea typeface="+mn-ea"/>
              <a:cs typeface="+mn-cs"/>
            </a:rPr>
            <a:t>due to where they live or work </a:t>
          </a:r>
          <a:endParaRPr lang="en-US" sz="900" dirty="0">
            <a:solidFill>
              <a:sysClr val="window" lastClr="FFFFFF"/>
            </a:solidFill>
            <a:latin typeface="Calibri"/>
            <a:ea typeface="+mn-ea"/>
            <a:cs typeface="+mn-cs"/>
          </a:endParaRPr>
        </a:p>
      </dgm:t>
    </dgm:pt>
    <dgm:pt modelId="{19010465-C4B0-4DB8-9F2E-4DCAFC739EDC}" type="parTrans" cxnId="{12CC659C-6950-40BA-BAF8-5A51D9205F7B}">
      <dgm:prSet/>
      <dgm:spPr/>
      <dgm:t>
        <a:bodyPr/>
        <a:lstStyle/>
        <a:p>
          <a:pPr algn="l"/>
          <a:endParaRPr lang="en-US" sz="900"/>
        </a:p>
      </dgm:t>
    </dgm:pt>
    <dgm:pt modelId="{C4C6CCD6-91A4-4116-A875-0B32A5A4680D}" type="sibTrans" cxnId="{12CC659C-6950-40BA-BAF8-5A51D9205F7B}">
      <dgm:prSet/>
      <dgm:spPr/>
      <dgm:t>
        <a:bodyPr/>
        <a:lstStyle/>
        <a:p>
          <a:pPr algn="l"/>
          <a:endParaRPr lang="en-US" sz="900"/>
        </a:p>
      </dgm:t>
    </dgm:pt>
    <dgm:pt modelId="{994562E3-2D40-4551-8E15-C19803117D59}">
      <dgm:prSet phldrT="[Text]" custT="1"/>
      <dgm:spPr>
        <a:xfrm>
          <a:off x="2139695" y="152"/>
          <a:ext cx="6089904" cy="1459889"/>
        </a:xfrm>
        <a:solidFill>
          <a:schemeClr val="accent2">
            <a:lumMod val="40000"/>
            <a:lumOff val="60000"/>
          </a:schemeClr>
        </a:solidFill>
        <a:ln>
          <a:noFill/>
        </a:ln>
        <a:effectLst/>
      </dgm:spPr>
      <dgm:t>
        <a:bodyPr/>
        <a:lstStyle/>
        <a:p>
          <a:pPr algn="l"/>
          <a:r>
            <a:rPr lang="en-IN" sz="900" dirty="0">
              <a:solidFill>
                <a:sysClr val="windowText" lastClr="000000">
                  <a:hueOff val="0"/>
                  <a:satOff val="0"/>
                  <a:lumOff val="0"/>
                  <a:alphaOff val="0"/>
                </a:sysClr>
              </a:solidFill>
              <a:latin typeface="Calibri"/>
              <a:ea typeface="+mn-ea"/>
              <a:cs typeface="+mn-cs"/>
            </a:rPr>
            <a:t>Prisoners, sex workers, Slum </a:t>
          </a:r>
          <a:r>
            <a:rPr lang="en-IN" sz="900" dirty="0" err="1">
              <a:solidFill>
                <a:sysClr val="windowText" lastClr="000000">
                  <a:hueOff val="0"/>
                  <a:satOff val="0"/>
                  <a:lumOff val="0"/>
                  <a:alphaOff val="0"/>
                </a:sysClr>
              </a:solidFill>
              <a:latin typeface="Calibri"/>
              <a:ea typeface="+mn-ea"/>
              <a:cs typeface="+mn-cs"/>
            </a:rPr>
            <a:t>dwellers, miners</a:t>
          </a:r>
          <a:r>
            <a:rPr lang="en-IN" sz="900" dirty="0">
              <a:solidFill>
                <a:sysClr val="windowText" lastClr="000000">
                  <a:hueOff val="0"/>
                  <a:satOff val="0"/>
                  <a:lumOff val="0"/>
                  <a:alphaOff val="0"/>
                </a:sysClr>
              </a:solidFill>
              <a:latin typeface="Calibri"/>
              <a:ea typeface="+mn-ea"/>
              <a:cs typeface="+mn-cs"/>
            </a:rPr>
            <a:t>, hospital visitors, healthcare workers, and community health workers </a:t>
          </a:r>
          <a:endParaRPr lang="en-US" sz="900" dirty="0">
            <a:solidFill>
              <a:sysClr val="windowText" lastClr="000000">
                <a:hueOff val="0"/>
                <a:satOff val="0"/>
                <a:lumOff val="0"/>
                <a:alphaOff val="0"/>
              </a:sysClr>
            </a:solidFill>
            <a:latin typeface="Calibri"/>
            <a:ea typeface="+mn-ea"/>
            <a:cs typeface="+mn-cs"/>
          </a:endParaRPr>
        </a:p>
      </dgm:t>
    </dgm:pt>
    <dgm:pt modelId="{7EF169B8-C57D-4B33-A584-BCB5EDF9A4ED}" type="parTrans" cxnId="{B8FD071D-EE28-46F7-9476-8F3B7D5D3003}">
      <dgm:prSet/>
      <dgm:spPr/>
      <dgm:t>
        <a:bodyPr/>
        <a:lstStyle/>
        <a:p>
          <a:pPr algn="l"/>
          <a:endParaRPr lang="en-US" sz="900"/>
        </a:p>
      </dgm:t>
    </dgm:pt>
    <dgm:pt modelId="{20B95045-031E-4BCE-AA29-31A821D36F13}" type="sibTrans" cxnId="{B8FD071D-EE28-46F7-9476-8F3B7D5D3003}">
      <dgm:prSet/>
      <dgm:spPr/>
      <dgm:t>
        <a:bodyPr/>
        <a:lstStyle/>
        <a:p>
          <a:pPr algn="l"/>
          <a:endParaRPr lang="en-US" sz="900"/>
        </a:p>
      </dgm:t>
    </dgm:pt>
    <dgm:pt modelId="{6FF06A33-0716-40EA-9897-77A5B8EA5A8A}">
      <dgm:prSet phldrT="[Text]" custT="1"/>
      <dgm:spPr>
        <a:xfrm>
          <a:off x="0" y="1533036"/>
          <a:ext cx="2139696" cy="1459889"/>
        </a:xfrm>
        <a:solidFill>
          <a:schemeClr val="accent6">
            <a:lumMod val="75000"/>
          </a:schemeClr>
        </a:solidFill>
        <a:ln w="25400" cap="flat" cmpd="sng" algn="ctr">
          <a:solidFill>
            <a:schemeClr val="accent6">
              <a:lumMod val="75000"/>
            </a:schemeClr>
          </a:solidFill>
          <a:prstDash val="solid"/>
        </a:ln>
        <a:effectLst/>
      </dgm:spPr>
      <dgm:t>
        <a:bodyPr/>
        <a:lstStyle/>
        <a:p>
          <a:pPr algn="l"/>
          <a:r>
            <a:rPr lang="en-GB" sz="900" dirty="0">
              <a:solidFill>
                <a:sysClr val="window" lastClr="FFFFFF"/>
              </a:solidFill>
              <a:latin typeface="Calibri"/>
              <a:ea typeface="+mn-ea"/>
              <a:cs typeface="+mn-cs"/>
            </a:rPr>
            <a:t>People who have </a:t>
          </a:r>
          <a:r>
            <a:rPr lang="en-GB" sz="900" b="1" dirty="0">
              <a:solidFill>
                <a:sysClr val="window" lastClr="FFFFFF"/>
              </a:solidFill>
              <a:latin typeface="Calibri"/>
              <a:ea typeface="+mn-ea"/>
              <a:cs typeface="+mn-cs"/>
            </a:rPr>
            <a:t>LIMITED ACCESS TO QUALITY TB SERVICES </a:t>
          </a:r>
          <a:endParaRPr lang="en-US" sz="900" dirty="0">
            <a:solidFill>
              <a:sysClr val="window" lastClr="FFFFFF"/>
            </a:solidFill>
            <a:latin typeface="Calibri"/>
            <a:ea typeface="+mn-ea"/>
            <a:cs typeface="+mn-cs"/>
          </a:endParaRPr>
        </a:p>
      </dgm:t>
    </dgm:pt>
    <dgm:pt modelId="{34F67F5F-FCF0-485B-90B6-7857761CEB0B}" type="parTrans" cxnId="{D9738F01-8FA0-4CAC-B5B3-B9233F1E0D77}">
      <dgm:prSet/>
      <dgm:spPr/>
      <dgm:t>
        <a:bodyPr/>
        <a:lstStyle/>
        <a:p>
          <a:pPr algn="l"/>
          <a:endParaRPr lang="en-US" sz="900"/>
        </a:p>
      </dgm:t>
    </dgm:pt>
    <dgm:pt modelId="{F16EFB10-5B31-443E-B35F-A7C2823391C0}" type="sibTrans" cxnId="{D9738F01-8FA0-4CAC-B5B3-B9233F1E0D77}">
      <dgm:prSet/>
      <dgm:spPr/>
      <dgm:t>
        <a:bodyPr/>
        <a:lstStyle/>
        <a:p>
          <a:pPr algn="l"/>
          <a:endParaRPr lang="en-US" sz="900"/>
        </a:p>
      </dgm:t>
    </dgm:pt>
    <dgm:pt modelId="{0F96EAB0-8B59-4DFF-B8AA-EF73AD45C3F5}">
      <dgm:prSet phldrT="[Text]" custT="1"/>
      <dgm:spPr>
        <a:xfrm>
          <a:off x="2139695" y="1533036"/>
          <a:ext cx="6089904" cy="1459889"/>
        </a:xfrm>
        <a:solidFill>
          <a:schemeClr val="accent6">
            <a:lumMod val="40000"/>
            <a:lumOff val="60000"/>
          </a:schemeClr>
        </a:solidFill>
        <a:ln>
          <a:solidFill>
            <a:schemeClr val="accent6">
              <a:lumMod val="40000"/>
              <a:lumOff val="60000"/>
            </a:schemeClr>
          </a:solidFill>
        </a:ln>
        <a:effectLst/>
      </dgm:spPr>
      <dgm:t>
        <a:bodyPr/>
        <a:lstStyle/>
        <a:p>
          <a:pPr algn="l"/>
          <a:r>
            <a:rPr lang="en-GB" sz="900" dirty="0">
              <a:solidFill>
                <a:sysClr val="windowText" lastClr="000000">
                  <a:hueOff val="0"/>
                  <a:satOff val="0"/>
                  <a:lumOff val="0"/>
                  <a:alphaOff val="0"/>
                </a:sysClr>
              </a:solidFill>
              <a:latin typeface="Calibri"/>
              <a:ea typeface="+mn-ea"/>
              <a:cs typeface="+mn-cs"/>
            </a:rPr>
            <a:t>Migrant workers, women in settings with gender disparity, children, </a:t>
          </a:r>
          <a:r>
            <a:rPr lang="en-GB" sz="900" dirty="0" err="1">
              <a:solidFill>
                <a:sysClr val="windowText" lastClr="000000">
                  <a:hueOff val="0"/>
                  <a:satOff val="0"/>
                  <a:lumOff val="0"/>
                  <a:alphaOff val="0"/>
                </a:sysClr>
              </a:solidFill>
              <a:latin typeface="Calibri"/>
              <a:ea typeface="+mn-ea"/>
              <a:cs typeface="+mn-cs"/>
            </a:rPr>
            <a:t>Physicaly</a:t>
          </a:r>
          <a:r>
            <a:rPr lang="en-GB" sz="900" dirty="0">
              <a:solidFill>
                <a:sysClr val="windowText" lastClr="000000">
                  <a:hueOff val="0"/>
                  <a:satOff val="0"/>
                  <a:lumOff val="0"/>
                  <a:alphaOff val="0"/>
                </a:sysClr>
              </a:solidFill>
              <a:latin typeface="Calibri"/>
              <a:ea typeface="+mn-ea"/>
              <a:cs typeface="+mn-cs"/>
            </a:rPr>
            <a:t> </a:t>
          </a:r>
          <a:r>
            <a:rPr lang="en-GB" sz="900" dirty="0" err="1">
              <a:solidFill>
                <a:sysClr val="windowText" lastClr="000000">
                  <a:hueOff val="0"/>
                  <a:satOff val="0"/>
                  <a:lumOff val="0"/>
                  <a:alphaOff val="0"/>
                </a:sysClr>
              </a:solidFill>
              <a:latin typeface="Calibri"/>
              <a:ea typeface="+mn-ea"/>
              <a:cs typeface="+mn-cs"/>
            </a:rPr>
            <a:t>challenged, Tribals</a:t>
          </a:r>
          <a:r>
            <a:rPr lang="en-GB" sz="900" dirty="0">
              <a:solidFill>
                <a:sysClr val="windowText" lastClr="000000">
                  <a:hueOff val="0"/>
                  <a:satOff val="0"/>
                  <a:lumOff val="0"/>
                  <a:alphaOff val="0"/>
                </a:sysClr>
              </a:solidFill>
              <a:latin typeface="Calibri"/>
              <a:ea typeface="+mn-ea"/>
              <a:cs typeface="+mn-cs"/>
            </a:rPr>
            <a:t> and </a:t>
          </a:r>
          <a:r>
            <a:rPr lang="en-GB" sz="900" dirty="0" err="1">
              <a:solidFill>
                <a:sysClr val="windowText" lastClr="000000">
                  <a:hueOff val="0"/>
                  <a:satOff val="0"/>
                  <a:lumOff val="0"/>
                  <a:alphaOff val="0"/>
                </a:sysClr>
              </a:solidFill>
              <a:latin typeface="Calibri"/>
              <a:ea typeface="+mn-ea"/>
              <a:cs typeface="+mn-cs"/>
            </a:rPr>
            <a:t>poulations</a:t>
          </a:r>
          <a:r>
            <a:rPr lang="en-GB" sz="900" dirty="0">
              <a:solidFill>
                <a:sysClr val="windowText" lastClr="000000">
                  <a:hueOff val="0"/>
                  <a:satOff val="0"/>
                  <a:lumOff val="0"/>
                  <a:alphaOff val="0"/>
                </a:sysClr>
              </a:solidFill>
              <a:latin typeface="Calibri"/>
              <a:ea typeface="+mn-ea"/>
              <a:cs typeface="+mn-cs"/>
            </a:rPr>
            <a:t> living in hard to reach </a:t>
          </a:r>
          <a:r>
            <a:rPr lang="en-GB" sz="900" dirty="0" err="1">
              <a:solidFill>
                <a:sysClr val="windowText" lastClr="000000">
                  <a:hueOff val="0"/>
                  <a:satOff val="0"/>
                  <a:lumOff val="0"/>
                  <a:alphaOff val="0"/>
                </a:sysClr>
              </a:solidFill>
              <a:latin typeface="Calibri"/>
              <a:ea typeface="+mn-ea"/>
              <a:cs typeface="+mn-cs"/>
            </a:rPr>
            <a:t>areas, refugees</a:t>
          </a:r>
          <a:r>
            <a:rPr lang="en-GB" sz="900" dirty="0">
              <a:solidFill>
                <a:sysClr val="windowText" lastClr="000000">
                  <a:hueOff val="0"/>
                  <a:satOff val="0"/>
                  <a:lumOff val="0"/>
                  <a:alphaOff val="0"/>
                </a:sysClr>
              </a:solidFill>
              <a:latin typeface="Calibri"/>
              <a:ea typeface="+mn-ea"/>
              <a:cs typeface="+mn-cs"/>
            </a:rPr>
            <a:t> or internally displaced people, illegal miners, and undocumented migrants </a:t>
          </a:r>
          <a:endParaRPr lang="en-US" sz="900" dirty="0">
            <a:solidFill>
              <a:sysClr val="windowText" lastClr="000000">
                <a:hueOff val="0"/>
                <a:satOff val="0"/>
                <a:lumOff val="0"/>
                <a:alphaOff val="0"/>
              </a:sysClr>
            </a:solidFill>
            <a:latin typeface="Calibri"/>
            <a:ea typeface="+mn-ea"/>
            <a:cs typeface="+mn-cs"/>
          </a:endParaRPr>
        </a:p>
      </dgm:t>
    </dgm:pt>
    <dgm:pt modelId="{2D2BC055-E6C8-4431-B20B-9344C608818C}" type="parTrans" cxnId="{035728EA-DE30-4C6A-B1FF-2FEC38C54E49}">
      <dgm:prSet/>
      <dgm:spPr/>
      <dgm:t>
        <a:bodyPr/>
        <a:lstStyle/>
        <a:p>
          <a:pPr algn="l"/>
          <a:endParaRPr lang="en-US" sz="900"/>
        </a:p>
      </dgm:t>
    </dgm:pt>
    <dgm:pt modelId="{2B28CC3A-B7EC-4993-8FDF-C4E8AAFBE7F2}" type="sibTrans" cxnId="{035728EA-DE30-4C6A-B1FF-2FEC38C54E49}">
      <dgm:prSet/>
      <dgm:spPr/>
      <dgm:t>
        <a:bodyPr/>
        <a:lstStyle/>
        <a:p>
          <a:pPr algn="l"/>
          <a:endParaRPr lang="en-US" sz="900"/>
        </a:p>
      </dgm:t>
    </dgm:pt>
    <dgm:pt modelId="{D44F9C85-2D97-4894-B710-3AF433172B1B}">
      <dgm:prSet phldrT="[Text]" custT="1"/>
      <dgm:spPr>
        <a:xfrm>
          <a:off x="0" y="3065920"/>
          <a:ext cx="2139696" cy="1459889"/>
        </a:xfrm>
        <a:solidFill>
          <a:schemeClr val="bg2">
            <a:lumMod val="25000"/>
          </a:schemeClr>
        </a:solidFill>
        <a:ln w="25400" cap="flat" cmpd="sng" algn="ctr">
          <a:solidFill>
            <a:schemeClr val="bg2">
              <a:lumMod val="25000"/>
            </a:schemeClr>
          </a:solidFill>
          <a:prstDash val="solid"/>
        </a:ln>
        <a:effectLst/>
      </dgm:spPr>
      <dgm:t>
        <a:bodyPr/>
        <a:lstStyle/>
        <a:p>
          <a:pPr algn="l"/>
          <a:r>
            <a:rPr lang="en-GB" sz="900" dirty="0">
              <a:solidFill>
                <a:sysClr val="window" lastClr="FFFFFF"/>
              </a:solidFill>
              <a:latin typeface="Calibri"/>
              <a:ea typeface="+mn-ea"/>
              <a:cs typeface="+mn-cs"/>
            </a:rPr>
            <a:t>People at </a:t>
          </a:r>
          <a:r>
            <a:rPr lang="en-GB" sz="900" b="1" dirty="0">
              <a:solidFill>
                <a:sysClr val="window" lastClr="FFFFFF"/>
              </a:solidFill>
              <a:latin typeface="Calibri"/>
              <a:ea typeface="+mn-ea"/>
              <a:cs typeface="+mn-cs"/>
            </a:rPr>
            <a:t>INCREASED RISK </a:t>
          </a:r>
          <a:r>
            <a:rPr lang="en-GB" sz="900" dirty="0">
              <a:solidFill>
                <a:sysClr val="window" lastClr="FFFFFF"/>
              </a:solidFill>
              <a:latin typeface="Calibri"/>
              <a:ea typeface="+mn-ea"/>
              <a:cs typeface="+mn-cs"/>
            </a:rPr>
            <a:t>of TB because of </a:t>
          </a:r>
          <a:r>
            <a:rPr lang="en-GB" sz="900" b="1" dirty="0">
              <a:solidFill>
                <a:sysClr val="window" lastClr="FFFFFF"/>
              </a:solidFill>
              <a:latin typeface="Calibri"/>
              <a:ea typeface="+mn-ea"/>
              <a:cs typeface="+mn-cs"/>
            </a:rPr>
            <a:t>biological or behavioural factors </a:t>
          </a:r>
          <a:r>
            <a:rPr lang="en-GB" sz="900" dirty="0">
              <a:solidFill>
                <a:sysClr val="window" lastClr="FFFFFF"/>
              </a:solidFill>
              <a:latin typeface="Calibri"/>
              <a:ea typeface="+mn-ea"/>
              <a:cs typeface="+mn-cs"/>
            </a:rPr>
            <a:t>that compromise immune function </a:t>
          </a:r>
          <a:endParaRPr lang="en-US" sz="900" dirty="0">
            <a:solidFill>
              <a:sysClr val="window" lastClr="FFFFFF"/>
            </a:solidFill>
            <a:latin typeface="Calibri"/>
            <a:ea typeface="+mn-ea"/>
            <a:cs typeface="+mn-cs"/>
          </a:endParaRPr>
        </a:p>
      </dgm:t>
    </dgm:pt>
    <dgm:pt modelId="{585C8855-0863-4470-BDC1-E63632A8D7A0}" type="parTrans" cxnId="{2FFCBEF0-E682-47D0-A9E8-7BEF9CAA1986}">
      <dgm:prSet/>
      <dgm:spPr/>
      <dgm:t>
        <a:bodyPr/>
        <a:lstStyle/>
        <a:p>
          <a:pPr algn="l"/>
          <a:endParaRPr lang="en-US" sz="900"/>
        </a:p>
      </dgm:t>
    </dgm:pt>
    <dgm:pt modelId="{3F49792B-8D9B-463B-98BD-6A9E9EFF70B5}" type="sibTrans" cxnId="{2FFCBEF0-E682-47D0-A9E8-7BEF9CAA1986}">
      <dgm:prSet/>
      <dgm:spPr/>
      <dgm:t>
        <a:bodyPr/>
        <a:lstStyle/>
        <a:p>
          <a:pPr algn="l"/>
          <a:endParaRPr lang="en-US" sz="900"/>
        </a:p>
      </dgm:t>
    </dgm:pt>
    <dgm:pt modelId="{DA10D284-BC36-45C7-BAA9-5D2FE43D006A}">
      <dgm:prSet phldrT="[Text]" custT="1"/>
      <dgm:spPr>
        <a:xfrm>
          <a:off x="2139695" y="3065920"/>
          <a:ext cx="6089904" cy="1459889"/>
        </a:xfrm>
        <a:solidFill>
          <a:schemeClr val="bg2">
            <a:lumMod val="75000"/>
          </a:schemeClr>
        </a:solidFill>
        <a:ln>
          <a:noFill/>
        </a:ln>
        <a:effectLst/>
      </dgm:spPr>
      <dgm:t>
        <a:bodyPr/>
        <a:lstStyle/>
        <a:p>
          <a:pPr algn="l"/>
          <a:r>
            <a:rPr lang="en-GB" sz="900" dirty="0">
              <a:solidFill>
                <a:sysClr val="windowText" lastClr="000000">
                  <a:hueOff val="0"/>
                  <a:satOff val="0"/>
                  <a:lumOff val="0"/>
                  <a:alphaOff val="0"/>
                </a:sysClr>
              </a:solidFill>
              <a:latin typeface="Calibri"/>
              <a:ea typeface="+mn-ea"/>
              <a:cs typeface="+mn-cs"/>
            </a:rPr>
            <a:t>People who live with HIV ,have diabetes or silicosis, undergo immunosuppressive therapy , are undernourished , use tobacco , suffer from alcohol-use disorders, and inject drugs</a:t>
          </a:r>
          <a:endParaRPr lang="en-US" sz="900" dirty="0">
            <a:solidFill>
              <a:sysClr val="windowText" lastClr="000000">
                <a:hueOff val="0"/>
                <a:satOff val="0"/>
                <a:lumOff val="0"/>
                <a:alphaOff val="0"/>
              </a:sysClr>
            </a:solidFill>
            <a:latin typeface="Calibri"/>
            <a:ea typeface="+mn-ea"/>
            <a:cs typeface="+mn-cs"/>
          </a:endParaRPr>
        </a:p>
      </dgm:t>
    </dgm:pt>
    <dgm:pt modelId="{45E44153-17F2-4228-81B6-74F5E3F4FD23}" type="parTrans" cxnId="{9D2EAF96-05CF-4043-ADF6-91FBC7930DC3}">
      <dgm:prSet/>
      <dgm:spPr/>
      <dgm:t>
        <a:bodyPr/>
        <a:lstStyle/>
        <a:p>
          <a:pPr algn="l"/>
          <a:endParaRPr lang="en-US" sz="900"/>
        </a:p>
      </dgm:t>
    </dgm:pt>
    <dgm:pt modelId="{B80CA103-8350-40CE-AFA2-6B10869215D6}" type="sibTrans" cxnId="{9D2EAF96-05CF-4043-ADF6-91FBC7930DC3}">
      <dgm:prSet/>
      <dgm:spPr/>
      <dgm:t>
        <a:bodyPr/>
        <a:lstStyle/>
        <a:p>
          <a:pPr algn="l"/>
          <a:endParaRPr lang="en-US" sz="900"/>
        </a:p>
      </dgm:t>
    </dgm:pt>
    <dgm:pt modelId="{C1F625DF-51FA-4550-9D51-25AEAE060CC3}" type="pres">
      <dgm:prSet presAssocID="{962D2A25-2760-4A7D-9550-04342E03A7FC}" presName="Name0" presStyleCnt="0">
        <dgm:presLayoutVars>
          <dgm:dir/>
          <dgm:animLvl val="lvl"/>
          <dgm:resizeHandles val="exact"/>
        </dgm:presLayoutVars>
      </dgm:prSet>
      <dgm:spPr/>
      <dgm:t>
        <a:bodyPr/>
        <a:lstStyle/>
        <a:p>
          <a:endParaRPr lang="en-IN"/>
        </a:p>
      </dgm:t>
    </dgm:pt>
    <dgm:pt modelId="{7084C6BD-0F63-40DD-A0FD-BAEB4ACBFCFD}" type="pres">
      <dgm:prSet presAssocID="{7BBCA1C3-1EA0-4715-ACB7-19DD4BB44CCB}" presName="linNode" presStyleCnt="0"/>
      <dgm:spPr/>
    </dgm:pt>
    <dgm:pt modelId="{1CFB5BA0-D663-4DDA-9F1F-674447376B55}" type="pres">
      <dgm:prSet presAssocID="{7BBCA1C3-1EA0-4715-ACB7-19DD4BB44CCB}" presName="parTx" presStyleLbl="revTx" presStyleIdx="0" presStyleCnt="3">
        <dgm:presLayoutVars>
          <dgm:chMax val="1"/>
          <dgm:bulletEnabled val="1"/>
        </dgm:presLayoutVars>
      </dgm:prSet>
      <dgm:spPr/>
      <dgm:t>
        <a:bodyPr/>
        <a:lstStyle/>
        <a:p>
          <a:endParaRPr lang="en-IN"/>
        </a:p>
      </dgm:t>
    </dgm:pt>
    <dgm:pt modelId="{99A86391-8B69-42BD-BE70-2DF1F90CB300}" type="pres">
      <dgm:prSet presAssocID="{7BBCA1C3-1EA0-4715-ACB7-19DD4BB44CCB}" presName="bracket" presStyleLbl="parChTrans1D1" presStyleIdx="0" presStyleCnt="3" custLinFactNeighborX="59592" custLinFactNeighborY="-42"/>
      <dgm:spPr>
        <a:ln>
          <a:solidFill>
            <a:schemeClr val="accent4">
              <a:lumMod val="50000"/>
            </a:schemeClr>
          </a:solidFill>
        </a:ln>
      </dgm:spPr>
    </dgm:pt>
    <dgm:pt modelId="{8E848F81-3AE5-4878-8308-D7DD8B441C83}" type="pres">
      <dgm:prSet presAssocID="{7BBCA1C3-1EA0-4715-ACB7-19DD4BB44CCB}" presName="spH" presStyleCnt="0"/>
      <dgm:spPr/>
    </dgm:pt>
    <dgm:pt modelId="{065158A0-452E-4B87-83DE-4C0FB01B3D6D}" type="pres">
      <dgm:prSet presAssocID="{7BBCA1C3-1EA0-4715-ACB7-19DD4BB44CCB}" presName="desTx" presStyleLbl="node1" presStyleIdx="0" presStyleCnt="3">
        <dgm:presLayoutVars>
          <dgm:bulletEnabled val="1"/>
        </dgm:presLayoutVars>
      </dgm:prSet>
      <dgm:spPr/>
      <dgm:t>
        <a:bodyPr/>
        <a:lstStyle/>
        <a:p>
          <a:endParaRPr lang="en-IN"/>
        </a:p>
      </dgm:t>
    </dgm:pt>
    <dgm:pt modelId="{8B8CC162-12D5-4849-A2EC-8D3F3DEE8710}" type="pres">
      <dgm:prSet presAssocID="{C4C6CCD6-91A4-4116-A875-0B32A5A4680D}" presName="spV" presStyleCnt="0"/>
      <dgm:spPr/>
    </dgm:pt>
    <dgm:pt modelId="{1D4047FE-C738-42D2-9C91-AD4BD19F91DD}" type="pres">
      <dgm:prSet presAssocID="{6FF06A33-0716-40EA-9897-77A5B8EA5A8A}" presName="linNode" presStyleCnt="0"/>
      <dgm:spPr/>
    </dgm:pt>
    <dgm:pt modelId="{DC112971-E749-4F5B-A08A-B42AA258DA0E}" type="pres">
      <dgm:prSet presAssocID="{6FF06A33-0716-40EA-9897-77A5B8EA5A8A}" presName="parTx" presStyleLbl="revTx" presStyleIdx="1" presStyleCnt="3" custScaleY="148586">
        <dgm:presLayoutVars>
          <dgm:chMax val="1"/>
          <dgm:bulletEnabled val="1"/>
        </dgm:presLayoutVars>
      </dgm:prSet>
      <dgm:spPr/>
      <dgm:t>
        <a:bodyPr/>
        <a:lstStyle/>
        <a:p>
          <a:endParaRPr lang="en-IN"/>
        </a:p>
      </dgm:t>
    </dgm:pt>
    <dgm:pt modelId="{682DAD47-9E30-4934-BCFE-A824BE915D51}" type="pres">
      <dgm:prSet presAssocID="{6FF06A33-0716-40EA-9897-77A5B8EA5A8A}" presName="bracket" presStyleLbl="parChTrans1D1" presStyleIdx="1" presStyleCnt="3" custScaleY="131051" custLinFactNeighborX="47674"/>
      <dgm:spPr>
        <a:ln>
          <a:solidFill>
            <a:schemeClr val="accent4">
              <a:lumMod val="50000"/>
            </a:schemeClr>
          </a:solidFill>
        </a:ln>
      </dgm:spPr>
    </dgm:pt>
    <dgm:pt modelId="{17B7D299-AB55-4840-97AB-C689BA317D50}" type="pres">
      <dgm:prSet presAssocID="{6FF06A33-0716-40EA-9897-77A5B8EA5A8A}" presName="spH" presStyleCnt="0"/>
      <dgm:spPr/>
    </dgm:pt>
    <dgm:pt modelId="{EF71839B-C059-4273-BEE2-52466BF6E828}" type="pres">
      <dgm:prSet presAssocID="{6FF06A33-0716-40EA-9897-77A5B8EA5A8A}" presName="desTx" presStyleLbl="node1" presStyleIdx="1" presStyleCnt="3" custScaleY="137123">
        <dgm:presLayoutVars>
          <dgm:bulletEnabled val="1"/>
        </dgm:presLayoutVars>
      </dgm:prSet>
      <dgm:spPr/>
      <dgm:t>
        <a:bodyPr/>
        <a:lstStyle/>
        <a:p>
          <a:endParaRPr lang="en-IN"/>
        </a:p>
      </dgm:t>
    </dgm:pt>
    <dgm:pt modelId="{3EDDE95A-572A-459D-A322-C92D0BA67DD5}" type="pres">
      <dgm:prSet presAssocID="{F16EFB10-5B31-443E-B35F-A7C2823391C0}" presName="spV" presStyleCnt="0"/>
      <dgm:spPr/>
    </dgm:pt>
    <dgm:pt modelId="{A87FD8F9-D285-411A-A3E7-78F12AEE35B5}" type="pres">
      <dgm:prSet presAssocID="{D44F9C85-2D97-4894-B710-3AF433172B1B}" presName="linNode" presStyleCnt="0"/>
      <dgm:spPr/>
    </dgm:pt>
    <dgm:pt modelId="{5CB92CA1-9BF3-4B38-9DF9-803E6CDF4502}" type="pres">
      <dgm:prSet presAssocID="{D44F9C85-2D97-4894-B710-3AF433172B1B}" presName="parTx" presStyleLbl="revTx" presStyleIdx="2" presStyleCnt="3">
        <dgm:presLayoutVars>
          <dgm:chMax val="1"/>
          <dgm:bulletEnabled val="1"/>
        </dgm:presLayoutVars>
      </dgm:prSet>
      <dgm:spPr/>
      <dgm:t>
        <a:bodyPr/>
        <a:lstStyle/>
        <a:p>
          <a:endParaRPr lang="en-IN"/>
        </a:p>
      </dgm:t>
    </dgm:pt>
    <dgm:pt modelId="{C3A62C44-5116-49F6-B5BE-70F6236399A7}" type="pres">
      <dgm:prSet presAssocID="{D44F9C85-2D97-4894-B710-3AF433172B1B}" presName="bracket" presStyleLbl="parChTrans1D1" presStyleIdx="2" presStyleCnt="3" custLinFactNeighborX="41714" custLinFactNeighborY="36"/>
      <dgm:spPr>
        <a:ln>
          <a:solidFill>
            <a:schemeClr val="accent4">
              <a:lumMod val="50000"/>
            </a:schemeClr>
          </a:solidFill>
        </a:ln>
      </dgm:spPr>
    </dgm:pt>
    <dgm:pt modelId="{6F92BF36-5C47-4C7A-B8FC-21887D0637D9}" type="pres">
      <dgm:prSet presAssocID="{D44F9C85-2D97-4894-B710-3AF433172B1B}" presName="spH" presStyleCnt="0"/>
      <dgm:spPr/>
    </dgm:pt>
    <dgm:pt modelId="{BA2218EE-E6C4-4505-B6CE-7363718D69FF}" type="pres">
      <dgm:prSet presAssocID="{D44F9C85-2D97-4894-B710-3AF433172B1B}" presName="desTx" presStyleLbl="node1" presStyleIdx="2" presStyleCnt="3">
        <dgm:presLayoutVars>
          <dgm:bulletEnabled val="1"/>
        </dgm:presLayoutVars>
      </dgm:prSet>
      <dgm:spPr/>
      <dgm:t>
        <a:bodyPr/>
        <a:lstStyle/>
        <a:p>
          <a:endParaRPr lang="en-IN"/>
        </a:p>
      </dgm:t>
    </dgm:pt>
  </dgm:ptLst>
  <dgm:cxnLst>
    <dgm:cxn modelId="{8B7DF583-F550-4EAC-92E4-D2657A650D5B}" type="presOf" srcId="{0F96EAB0-8B59-4DFF-B8AA-EF73AD45C3F5}" destId="{EF71839B-C059-4273-BEE2-52466BF6E828}" srcOrd="0" destOrd="0" presId="urn:diagrams.loki3.com/BracketList+Icon"/>
    <dgm:cxn modelId="{7BA5369B-5354-4E4A-A934-2B2ADEBD45FF}" type="presOf" srcId="{6FF06A33-0716-40EA-9897-77A5B8EA5A8A}" destId="{DC112971-E749-4F5B-A08A-B42AA258DA0E}" srcOrd="0" destOrd="0" presId="urn:diagrams.loki3.com/BracketList+Icon"/>
    <dgm:cxn modelId="{B8FD071D-EE28-46F7-9476-8F3B7D5D3003}" srcId="{7BBCA1C3-1EA0-4715-ACB7-19DD4BB44CCB}" destId="{994562E3-2D40-4551-8E15-C19803117D59}" srcOrd="0" destOrd="0" parTransId="{7EF169B8-C57D-4B33-A584-BCB5EDF9A4ED}" sibTransId="{20B95045-031E-4BCE-AA29-31A821D36F13}"/>
    <dgm:cxn modelId="{38809CAF-A2CD-4D34-AD13-91D73947D1BD}" type="presOf" srcId="{994562E3-2D40-4551-8E15-C19803117D59}" destId="{065158A0-452E-4B87-83DE-4C0FB01B3D6D}" srcOrd="0" destOrd="0" presId="urn:diagrams.loki3.com/BracketList+Icon"/>
    <dgm:cxn modelId="{035728EA-DE30-4C6A-B1FF-2FEC38C54E49}" srcId="{6FF06A33-0716-40EA-9897-77A5B8EA5A8A}" destId="{0F96EAB0-8B59-4DFF-B8AA-EF73AD45C3F5}" srcOrd="0" destOrd="0" parTransId="{2D2BC055-E6C8-4431-B20B-9344C608818C}" sibTransId="{2B28CC3A-B7EC-4993-8FDF-C4E8AAFBE7F2}"/>
    <dgm:cxn modelId="{60BC6B27-001D-4EA0-800E-E318E128EDFF}" type="presOf" srcId="{7BBCA1C3-1EA0-4715-ACB7-19DD4BB44CCB}" destId="{1CFB5BA0-D663-4DDA-9F1F-674447376B55}" srcOrd="0" destOrd="0" presId="urn:diagrams.loki3.com/BracketList+Icon"/>
    <dgm:cxn modelId="{BBB9883A-12D3-42B5-AFAD-2AE9D292BAC9}" type="presOf" srcId="{D44F9C85-2D97-4894-B710-3AF433172B1B}" destId="{5CB92CA1-9BF3-4B38-9DF9-803E6CDF4502}" srcOrd="0" destOrd="0" presId="urn:diagrams.loki3.com/BracketList+Icon"/>
    <dgm:cxn modelId="{D9738F01-8FA0-4CAC-B5B3-B9233F1E0D77}" srcId="{962D2A25-2760-4A7D-9550-04342E03A7FC}" destId="{6FF06A33-0716-40EA-9897-77A5B8EA5A8A}" srcOrd="1" destOrd="0" parTransId="{34F67F5F-FCF0-485B-90B6-7857761CEB0B}" sibTransId="{F16EFB10-5B31-443E-B35F-A7C2823391C0}"/>
    <dgm:cxn modelId="{3D2364AF-DDE7-4522-9642-E2BB3BDFD6C8}" type="presOf" srcId="{DA10D284-BC36-45C7-BAA9-5D2FE43D006A}" destId="{BA2218EE-E6C4-4505-B6CE-7363718D69FF}" srcOrd="0" destOrd="0" presId="urn:diagrams.loki3.com/BracketList+Icon"/>
    <dgm:cxn modelId="{BD079886-E83C-432F-B2FE-1DB9492666B9}" type="presOf" srcId="{962D2A25-2760-4A7D-9550-04342E03A7FC}" destId="{C1F625DF-51FA-4550-9D51-25AEAE060CC3}" srcOrd="0" destOrd="0" presId="urn:diagrams.loki3.com/BracketList+Icon"/>
    <dgm:cxn modelId="{2FFCBEF0-E682-47D0-A9E8-7BEF9CAA1986}" srcId="{962D2A25-2760-4A7D-9550-04342E03A7FC}" destId="{D44F9C85-2D97-4894-B710-3AF433172B1B}" srcOrd="2" destOrd="0" parTransId="{585C8855-0863-4470-BDC1-E63632A8D7A0}" sibTransId="{3F49792B-8D9B-463B-98BD-6A9E9EFF70B5}"/>
    <dgm:cxn modelId="{9D2EAF96-05CF-4043-ADF6-91FBC7930DC3}" srcId="{D44F9C85-2D97-4894-B710-3AF433172B1B}" destId="{DA10D284-BC36-45C7-BAA9-5D2FE43D006A}" srcOrd="0" destOrd="0" parTransId="{45E44153-17F2-4228-81B6-74F5E3F4FD23}" sibTransId="{B80CA103-8350-40CE-AFA2-6B10869215D6}"/>
    <dgm:cxn modelId="{12CC659C-6950-40BA-BAF8-5A51D9205F7B}" srcId="{962D2A25-2760-4A7D-9550-04342E03A7FC}" destId="{7BBCA1C3-1EA0-4715-ACB7-19DD4BB44CCB}" srcOrd="0" destOrd="0" parTransId="{19010465-C4B0-4DB8-9F2E-4DCAFC739EDC}" sibTransId="{C4C6CCD6-91A4-4116-A875-0B32A5A4680D}"/>
    <dgm:cxn modelId="{2ED791D8-D571-4DF5-B76E-32E75A89ACEC}" type="presParOf" srcId="{C1F625DF-51FA-4550-9D51-25AEAE060CC3}" destId="{7084C6BD-0F63-40DD-A0FD-BAEB4ACBFCFD}" srcOrd="0" destOrd="0" presId="urn:diagrams.loki3.com/BracketList+Icon"/>
    <dgm:cxn modelId="{BB3F435D-6A5F-4309-8422-4F33C4B500EE}" type="presParOf" srcId="{7084C6BD-0F63-40DD-A0FD-BAEB4ACBFCFD}" destId="{1CFB5BA0-D663-4DDA-9F1F-674447376B55}" srcOrd="0" destOrd="0" presId="urn:diagrams.loki3.com/BracketList+Icon"/>
    <dgm:cxn modelId="{0C24C0E6-736C-4554-A850-7D9CF24F7D52}" type="presParOf" srcId="{7084C6BD-0F63-40DD-A0FD-BAEB4ACBFCFD}" destId="{99A86391-8B69-42BD-BE70-2DF1F90CB300}" srcOrd="1" destOrd="0" presId="urn:diagrams.loki3.com/BracketList+Icon"/>
    <dgm:cxn modelId="{941680B3-08F0-4F25-8B9D-FC2CAF3B902A}" type="presParOf" srcId="{7084C6BD-0F63-40DD-A0FD-BAEB4ACBFCFD}" destId="{8E848F81-3AE5-4878-8308-D7DD8B441C83}" srcOrd="2" destOrd="0" presId="urn:diagrams.loki3.com/BracketList+Icon"/>
    <dgm:cxn modelId="{B0680677-C888-4615-A2C0-3AED10E4B5D6}" type="presParOf" srcId="{7084C6BD-0F63-40DD-A0FD-BAEB4ACBFCFD}" destId="{065158A0-452E-4B87-83DE-4C0FB01B3D6D}" srcOrd="3" destOrd="0" presId="urn:diagrams.loki3.com/BracketList+Icon"/>
    <dgm:cxn modelId="{FE1DFAAC-A5B1-41F6-97C2-D8474037CEFC}" type="presParOf" srcId="{C1F625DF-51FA-4550-9D51-25AEAE060CC3}" destId="{8B8CC162-12D5-4849-A2EC-8D3F3DEE8710}" srcOrd="1" destOrd="0" presId="urn:diagrams.loki3.com/BracketList+Icon"/>
    <dgm:cxn modelId="{D3C86329-055D-4A19-90F0-BAC1FB7EFAD0}" type="presParOf" srcId="{C1F625DF-51FA-4550-9D51-25AEAE060CC3}" destId="{1D4047FE-C738-42D2-9C91-AD4BD19F91DD}" srcOrd="2" destOrd="0" presId="urn:diagrams.loki3.com/BracketList+Icon"/>
    <dgm:cxn modelId="{0A2DB689-645C-459F-9CD2-3F7B13126A5B}" type="presParOf" srcId="{1D4047FE-C738-42D2-9C91-AD4BD19F91DD}" destId="{DC112971-E749-4F5B-A08A-B42AA258DA0E}" srcOrd="0" destOrd="0" presId="urn:diagrams.loki3.com/BracketList+Icon"/>
    <dgm:cxn modelId="{2ABC40B8-7CB5-4BB5-AB56-4C64E103005C}" type="presParOf" srcId="{1D4047FE-C738-42D2-9C91-AD4BD19F91DD}" destId="{682DAD47-9E30-4934-BCFE-A824BE915D51}" srcOrd="1" destOrd="0" presId="urn:diagrams.loki3.com/BracketList+Icon"/>
    <dgm:cxn modelId="{2F2D5209-7511-4865-8533-C3E56DD9B749}" type="presParOf" srcId="{1D4047FE-C738-42D2-9C91-AD4BD19F91DD}" destId="{17B7D299-AB55-4840-97AB-C689BA317D50}" srcOrd="2" destOrd="0" presId="urn:diagrams.loki3.com/BracketList+Icon"/>
    <dgm:cxn modelId="{6B67A905-C656-464E-8D62-8815A4185C3F}" type="presParOf" srcId="{1D4047FE-C738-42D2-9C91-AD4BD19F91DD}" destId="{EF71839B-C059-4273-BEE2-52466BF6E828}" srcOrd="3" destOrd="0" presId="urn:diagrams.loki3.com/BracketList+Icon"/>
    <dgm:cxn modelId="{111878A4-F4E6-46DD-853A-C4CE0AF3B02F}" type="presParOf" srcId="{C1F625DF-51FA-4550-9D51-25AEAE060CC3}" destId="{3EDDE95A-572A-459D-A322-C92D0BA67DD5}" srcOrd="3" destOrd="0" presId="urn:diagrams.loki3.com/BracketList+Icon"/>
    <dgm:cxn modelId="{18CD2CEC-5150-4CCF-8EAE-35EC42B07049}" type="presParOf" srcId="{C1F625DF-51FA-4550-9D51-25AEAE060CC3}" destId="{A87FD8F9-D285-411A-A3E7-78F12AEE35B5}" srcOrd="4" destOrd="0" presId="urn:diagrams.loki3.com/BracketList+Icon"/>
    <dgm:cxn modelId="{6B54238D-8881-4B97-8C1B-CDC9B8FF2086}" type="presParOf" srcId="{A87FD8F9-D285-411A-A3E7-78F12AEE35B5}" destId="{5CB92CA1-9BF3-4B38-9DF9-803E6CDF4502}" srcOrd="0" destOrd="0" presId="urn:diagrams.loki3.com/BracketList+Icon"/>
    <dgm:cxn modelId="{A05E5A94-8F2F-4C25-A819-97A76037E659}" type="presParOf" srcId="{A87FD8F9-D285-411A-A3E7-78F12AEE35B5}" destId="{C3A62C44-5116-49F6-B5BE-70F6236399A7}" srcOrd="1" destOrd="0" presId="urn:diagrams.loki3.com/BracketList+Icon"/>
    <dgm:cxn modelId="{CEF5CF1B-CD0B-474C-8D41-7A57C5A0B33A}" type="presParOf" srcId="{A87FD8F9-D285-411A-A3E7-78F12AEE35B5}" destId="{6F92BF36-5C47-4C7A-B8FC-21887D0637D9}" srcOrd="2" destOrd="0" presId="urn:diagrams.loki3.com/BracketList+Icon"/>
    <dgm:cxn modelId="{FE75A1C7-EAD0-463E-96CB-D0ABCD3DFF34}" type="presParOf" srcId="{A87FD8F9-D285-411A-A3E7-78F12AEE35B5}" destId="{BA2218EE-E6C4-4505-B6CE-7363718D69FF}" srcOrd="3" destOrd="0" presId="urn:diagrams.loki3.com/BracketList+Icon"/>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B5BA0-D663-4DDA-9F1F-674447376B55}">
      <dsp:nvSpPr>
        <dsp:cNvPr id="0" name=""/>
        <dsp:cNvSpPr/>
      </dsp:nvSpPr>
      <dsp:spPr>
        <a:xfrm>
          <a:off x="0" y="8737"/>
          <a:ext cx="1431290" cy="549450"/>
        </a:xfrm>
        <a:prstGeom prst="rect">
          <a:avLst/>
        </a:prstGeom>
        <a:solidFill>
          <a:schemeClr val="accent2"/>
        </a:solidFill>
        <a:ln w="25400" cap="flat" cmpd="sng" algn="ctr">
          <a:solidFill>
            <a:schemeClr val="accent4">
              <a:lumMod val="75000"/>
            </a:schemeClr>
          </a:solidFill>
          <a:prstDash val="solid"/>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lvl="0" algn="l" defTabSz="400050">
            <a:lnSpc>
              <a:spcPct val="90000"/>
            </a:lnSpc>
            <a:spcBef>
              <a:spcPct val="0"/>
            </a:spcBef>
            <a:spcAft>
              <a:spcPct val="35000"/>
            </a:spcAft>
          </a:pPr>
          <a:r>
            <a:rPr lang="en-GB" sz="900" kern="1200" dirty="0">
              <a:solidFill>
                <a:sysClr val="window" lastClr="FFFFFF"/>
              </a:solidFill>
              <a:latin typeface="Calibri"/>
              <a:ea typeface="+mn-ea"/>
              <a:cs typeface="+mn-cs"/>
            </a:rPr>
            <a:t>People who have </a:t>
          </a:r>
          <a:r>
            <a:rPr lang="en-GB" sz="900" b="1" kern="1200" dirty="0">
              <a:solidFill>
                <a:sysClr val="window" lastClr="FFFFFF"/>
              </a:solidFill>
              <a:latin typeface="Calibri"/>
              <a:ea typeface="+mn-ea"/>
              <a:cs typeface="+mn-cs"/>
            </a:rPr>
            <a:t>INCREASED EXPOSURE </a:t>
          </a:r>
          <a:r>
            <a:rPr lang="en-GB" sz="900" kern="1200" dirty="0">
              <a:solidFill>
                <a:sysClr val="window" lastClr="FFFFFF"/>
              </a:solidFill>
              <a:latin typeface="Calibri"/>
              <a:ea typeface="+mn-ea"/>
              <a:cs typeface="+mn-cs"/>
            </a:rPr>
            <a:t>to TB </a:t>
          </a:r>
          <a:r>
            <a:rPr lang="en-GB" sz="900" b="1" kern="1200" dirty="0">
              <a:solidFill>
                <a:sysClr val="window" lastClr="FFFFFF"/>
              </a:solidFill>
              <a:latin typeface="Calibri"/>
              <a:ea typeface="+mn-ea"/>
              <a:cs typeface="+mn-cs"/>
            </a:rPr>
            <a:t>due to where they live or work </a:t>
          </a:r>
          <a:endParaRPr lang="en-US" sz="900" kern="1200" dirty="0">
            <a:solidFill>
              <a:sysClr val="window" lastClr="FFFFFF"/>
            </a:solidFill>
            <a:latin typeface="Calibri"/>
            <a:ea typeface="+mn-ea"/>
            <a:cs typeface="+mn-cs"/>
          </a:endParaRPr>
        </a:p>
      </dsp:txBody>
      <dsp:txXfrm>
        <a:off x="0" y="8737"/>
        <a:ext cx="1431290" cy="549450"/>
      </dsp:txXfrm>
    </dsp:sp>
    <dsp:sp modelId="{99A86391-8B69-42BD-BE70-2DF1F90CB300}">
      <dsp:nvSpPr>
        <dsp:cNvPr id="0" name=""/>
        <dsp:cNvSpPr/>
      </dsp:nvSpPr>
      <dsp:spPr>
        <a:xfrm>
          <a:off x="1499524" y="8506"/>
          <a:ext cx="286258" cy="549450"/>
        </a:xfrm>
        <a:prstGeom prst="leftBrace">
          <a:avLst>
            <a:gd name="adj1" fmla="val 35000"/>
            <a:gd name="adj2" fmla="val 50000"/>
          </a:avLst>
        </a:prstGeom>
        <a:noFill/>
        <a:ln w="25400" cap="flat" cmpd="sng" algn="ctr">
          <a:solidFill>
            <a:schemeClr val="accent4">
              <a:lumMod val="50000"/>
            </a:schemeClr>
          </a:solidFill>
          <a:prstDash val="solid"/>
        </a:ln>
        <a:effectLst/>
      </dsp:spPr>
      <dsp:style>
        <a:lnRef idx="2">
          <a:scrgbClr r="0" g="0" b="0"/>
        </a:lnRef>
        <a:fillRef idx="0">
          <a:scrgbClr r="0" g="0" b="0"/>
        </a:fillRef>
        <a:effectRef idx="0">
          <a:scrgbClr r="0" g="0" b="0"/>
        </a:effectRef>
        <a:fontRef idx="minor"/>
      </dsp:style>
    </dsp:sp>
    <dsp:sp modelId="{065158A0-452E-4B87-83DE-4C0FB01B3D6D}">
      <dsp:nvSpPr>
        <dsp:cNvPr id="0" name=""/>
        <dsp:cNvSpPr/>
      </dsp:nvSpPr>
      <dsp:spPr>
        <a:xfrm>
          <a:off x="1832051" y="8737"/>
          <a:ext cx="3893108" cy="549450"/>
        </a:xfrm>
        <a:prstGeom prst="rect">
          <a:avLst/>
        </a:prstGeom>
        <a:solidFill>
          <a:schemeClr val="accent2">
            <a:lumMod val="40000"/>
            <a:lumOff val="6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IN" sz="900" kern="1200" dirty="0">
              <a:solidFill>
                <a:sysClr val="windowText" lastClr="000000">
                  <a:hueOff val="0"/>
                  <a:satOff val="0"/>
                  <a:lumOff val="0"/>
                  <a:alphaOff val="0"/>
                </a:sysClr>
              </a:solidFill>
              <a:latin typeface="Calibri"/>
              <a:ea typeface="+mn-ea"/>
              <a:cs typeface="+mn-cs"/>
            </a:rPr>
            <a:t>Prisoners, sex workers, Slum </a:t>
          </a:r>
          <a:r>
            <a:rPr lang="en-IN" sz="900" kern="1200" dirty="0" err="1">
              <a:solidFill>
                <a:sysClr val="windowText" lastClr="000000">
                  <a:hueOff val="0"/>
                  <a:satOff val="0"/>
                  <a:lumOff val="0"/>
                  <a:alphaOff val="0"/>
                </a:sysClr>
              </a:solidFill>
              <a:latin typeface="Calibri"/>
              <a:ea typeface="+mn-ea"/>
              <a:cs typeface="+mn-cs"/>
            </a:rPr>
            <a:t>dwellers, miners</a:t>
          </a:r>
          <a:r>
            <a:rPr lang="en-IN" sz="900" kern="1200" dirty="0">
              <a:solidFill>
                <a:sysClr val="windowText" lastClr="000000">
                  <a:hueOff val="0"/>
                  <a:satOff val="0"/>
                  <a:lumOff val="0"/>
                  <a:alphaOff val="0"/>
                </a:sysClr>
              </a:solidFill>
              <a:latin typeface="Calibri"/>
              <a:ea typeface="+mn-ea"/>
              <a:cs typeface="+mn-cs"/>
            </a:rPr>
            <a:t>, hospital visitors, healthcare workers, and community health workers </a:t>
          </a:r>
          <a:endParaRPr lang="en-US" sz="900" kern="1200" dirty="0">
            <a:solidFill>
              <a:sysClr val="windowText" lastClr="000000">
                <a:hueOff val="0"/>
                <a:satOff val="0"/>
                <a:lumOff val="0"/>
                <a:alphaOff val="0"/>
              </a:sysClr>
            </a:solidFill>
            <a:latin typeface="Calibri"/>
            <a:ea typeface="+mn-ea"/>
            <a:cs typeface="+mn-cs"/>
          </a:endParaRPr>
        </a:p>
      </dsp:txBody>
      <dsp:txXfrm>
        <a:off x="1832051" y="8737"/>
        <a:ext cx="3893108" cy="549450"/>
      </dsp:txXfrm>
    </dsp:sp>
    <dsp:sp modelId="{DC112971-E749-4F5B-A08A-B42AA258DA0E}">
      <dsp:nvSpPr>
        <dsp:cNvPr id="0" name=""/>
        <dsp:cNvSpPr/>
      </dsp:nvSpPr>
      <dsp:spPr>
        <a:xfrm>
          <a:off x="0" y="601387"/>
          <a:ext cx="1431290" cy="628853"/>
        </a:xfrm>
        <a:prstGeom prst="rect">
          <a:avLst/>
        </a:prstGeom>
        <a:solidFill>
          <a:schemeClr val="accent6">
            <a:lumMod val="75000"/>
          </a:schemeClr>
        </a:solidFill>
        <a:ln w="25400" cap="flat" cmpd="sng" algn="ctr">
          <a:solidFill>
            <a:schemeClr val="accent6">
              <a:lumMod val="75000"/>
            </a:schemeClr>
          </a:solidFill>
          <a:prstDash val="solid"/>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lvl="0" algn="l" defTabSz="400050">
            <a:lnSpc>
              <a:spcPct val="90000"/>
            </a:lnSpc>
            <a:spcBef>
              <a:spcPct val="0"/>
            </a:spcBef>
            <a:spcAft>
              <a:spcPct val="35000"/>
            </a:spcAft>
          </a:pPr>
          <a:r>
            <a:rPr lang="en-GB" sz="900" kern="1200" dirty="0">
              <a:solidFill>
                <a:sysClr val="window" lastClr="FFFFFF"/>
              </a:solidFill>
              <a:latin typeface="Calibri"/>
              <a:ea typeface="+mn-ea"/>
              <a:cs typeface="+mn-cs"/>
            </a:rPr>
            <a:t>People who have </a:t>
          </a:r>
          <a:r>
            <a:rPr lang="en-GB" sz="900" b="1" kern="1200" dirty="0">
              <a:solidFill>
                <a:sysClr val="window" lastClr="FFFFFF"/>
              </a:solidFill>
              <a:latin typeface="Calibri"/>
              <a:ea typeface="+mn-ea"/>
              <a:cs typeface="+mn-cs"/>
            </a:rPr>
            <a:t>LIMITED ACCESS TO QUALITY TB SERVICES </a:t>
          </a:r>
          <a:endParaRPr lang="en-US" sz="900" kern="1200" dirty="0">
            <a:solidFill>
              <a:sysClr val="window" lastClr="FFFFFF"/>
            </a:solidFill>
            <a:latin typeface="Calibri"/>
            <a:ea typeface="+mn-ea"/>
            <a:cs typeface="+mn-cs"/>
          </a:endParaRPr>
        </a:p>
      </dsp:txBody>
      <dsp:txXfrm>
        <a:off x="0" y="601387"/>
        <a:ext cx="1431290" cy="628853"/>
      </dsp:txXfrm>
    </dsp:sp>
    <dsp:sp modelId="{682DAD47-9E30-4934-BCFE-A824BE915D51}">
      <dsp:nvSpPr>
        <dsp:cNvPr id="0" name=""/>
        <dsp:cNvSpPr/>
      </dsp:nvSpPr>
      <dsp:spPr>
        <a:xfrm>
          <a:off x="1485878" y="621161"/>
          <a:ext cx="286258" cy="589305"/>
        </a:xfrm>
        <a:prstGeom prst="leftBrace">
          <a:avLst>
            <a:gd name="adj1" fmla="val 35000"/>
            <a:gd name="adj2" fmla="val 50000"/>
          </a:avLst>
        </a:prstGeom>
        <a:noFill/>
        <a:ln w="25400" cap="flat" cmpd="sng" algn="ctr">
          <a:solidFill>
            <a:schemeClr val="accent4">
              <a:lumMod val="50000"/>
            </a:schemeClr>
          </a:solidFill>
          <a:prstDash val="solid"/>
        </a:ln>
        <a:effectLst/>
      </dsp:spPr>
      <dsp:style>
        <a:lnRef idx="2">
          <a:scrgbClr r="0" g="0" b="0"/>
        </a:lnRef>
        <a:fillRef idx="0">
          <a:scrgbClr r="0" g="0" b="0"/>
        </a:fillRef>
        <a:effectRef idx="0">
          <a:scrgbClr r="0" g="0" b="0"/>
        </a:effectRef>
        <a:fontRef idx="minor"/>
      </dsp:style>
    </dsp:sp>
    <dsp:sp modelId="{EF71839B-C059-4273-BEE2-52466BF6E828}">
      <dsp:nvSpPr>
        <dsp:cNvPr id="0" name=""/>
        <dsp:cNvSpPr/>
      </dsp:nvSpPr>
      <dsp:spPr>
        <a:xfrm>
          <a:off x="1832051" y="607509"/>
          <a:ext cx="3893108" cy="616609"/>
        </a:xfrm>
        <a:prstGeom prst="rect">
          <a:avLst/>
        </a:prstGeom>
        <a:solidFill>
          <a:schemeClr val="accent6">
            <a:lumMod val="40000"/>
            <a:lumOff val="60000"/>
          </a:schemeClr>
        </a:solidFill>
        <a:ln w="25400" cap="flat" cmpd="sng" algn="ctr">
          <a:solidFill>
            <a:schemeClr val="accent6">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dirty="0">
              <a:solidFill>
                <a:sysClr val="windowText" lastClr="000000">
                  <a:hueOff val="0"/>
                  <a:satOff val="0"/>
                  <a:lumOff val="0"/>
                  <a:alphaOff val="0"/>
                </a:sysClr>
              </a:solidFill>
              <a:latin typeface="Calibri"/>
              <a:ea typeface="+mn-ea"/>
              <a:cs typeface="+mn-cs"/>
            </a:rPr>
            <a:t>Migrant workers, women in settings with gender disparity, children, </a:t>
          </a:r>
          <a:r>
            <a:rPr lang="en-GB" sz="900" kern="1200" dirty="0" err="1">
              <a:solidFill>
                <a:sysClr val="windowText" lastClr="000000">
                  <a:hueOff val="0"/>
                  <a:satOff val="0"/>
                  <a:lumOff val="0"/>
                  <a:alphaOff val="0"/>
                </a:sysClr>
              </a:solidFill>
              <a:latin typeface="Calibri"/>
              <a:ea typeface="+mn-ea"/>
              <a:cs typeface="+mn-cs"/>
            </a:rPr>
            <a:t>Physicaly</a:t>
          </a:r>
          <a:r>
            <a:rPr lang="en-GB" sz="900" kern="1200" dirty="0">
              <a:solidFill>
                <a:sysClr val="windowText" lastClr="000000">
                  <a:hueOff val="0"/>
                  <a:satOff val="0"/>
                  <a:lumOff val="0"/>
                  <a:alphaOff val="0"/>
                </a:sysClr>
              </a:solidFill>
              <a:latin typeface="Calibri"/>
              <a:ea typeface="+mn-ea"/>
              <a:cs typeface="+mn-cs"/>
            </a:rPr>
            <a:t> </a:t>
          </a:r>
          <a:r>
            <a:rPr lang="en-GB" sz="900" kern="1200" dirty="0" err="1">
              <a:solidFill>
                <a:sysClr val="windowText" lastClr="000000">
                  <a:hueOff val="0"/>
                  <a:satOff val="0"/>
                  <a:lumOff val="0"/>
                  <a:alphaOff val="0"/>
                </a:sysClr>
              </a:solidFill>
              <a:latin typeface="Calibri"/>
              <a:ea typeface="+mn-ea"/>
              <a:cs typeface="+mn-cs"/>
            </a:rPr>
            <a:t>challenged, Tribals</a:t>
          </a:r>
          <a:r>
            <a:rPr lang="en-GB" sz="900" kern="1200" dirty="0">
              <a:solidFill>
                <a:sysClr val="windowText" lastClr="000000">
                  <a:hueOff val="0"/>
                  <a:satOff val="0"/>
                  <a:lumOff val="0"/>
                  <a:alphaOff val="0"/>
                </a:sysClr>
              </a:solidFill>
              <a:latin typeface="Calibri"/>
              <a:ea typeface="+mn-ea"/>
              <a:cs typeface="+mn-cs"/>
            </a:rPr>
            <a:t> and </a:t>
          </a:r>
          <a:r>
            <a:rPr lang="en-GB" sz="900" kern="1200" dirty="0" err="1">
              <a:solidFill>
                <a:sysClr val="windowText" lastClr="000000">
                  <a:hueOff val="0"/>
                  <a:satOff val="0"/>
                  <a:lumOff val="0"/>
                  <a:alphaOff val="0"/>
                </a:sysClr>
              </a:solidFill>
              <a:latin typeface="Calibri"/>
              <a:ea typeface="+mn-ea"/>
              <a:cs typeface="+mn-cs"/>
            </a:rPr>
            <a:t>poulations</a:t>
          </a:r>
          <a:r>
            <a:rPr lang="en-GB" sz="900" kern="1200" dirty="0">
              <a:solidFill>
                <a:sysClr val="windowText" lastClr="000000">
                  <a:hueOff val="0"/>
                  <a:satOff val="0"/>
                  <a:lumOff val="0"/>
                  <a:alphaOff val="0"/>
                </a:sysClr>
              </a:solidFill>
              <a:latin typeface="Calibri"/>
              <a:ea typeface="+mn-ea"/>
              <a:cs typeface="+mn-cs"/>
            </a:rPr>
            <a:t> living in hard to reach </a:t>
          </a:r>
          <a:r>
            <a:rPr lang="en-GB" sz="900" kern="1200" dirty="0" err="1">
              <a:solidFill>
                <a:sysClr val="windowText" lastClr="000000">
                  <a:hueOff val="0"/>
                  <a:satOff val="0"/>
                  <a:lumOff val="0"/>
                  <a:alphaOff val="0"/>
                </a:sysClr>
              </a:solidFill>
              <a:latin typeface="Calibri"/>
              <a:ea typeface="+mn-ea"/>
              <a:cs typeface="+mn-cs"/>
            </a:rPr>
            <a:t>areas, refugees</a:t>
          </a:r>
          <a:r>
            <a:rPr lang="en-GB" sz="900" kern="1200" dirty="0">
              <a:solidFill>
                <a:sysClr val="windowText" lastClr="000000">
                  <a:hueOff val="0"/>
                  <a:satOff val="0"/>
                  <a:lumOff val="0"/>
                  <a:alphaOff val="0"/>
                </a:sysClr>
              </a:solidFill>
              <a:latin typeface="Calibri"/>
              <a:ea typeface="+mn-ea"/>
              <a:cs typeface="+mn-cs"/>
            </a:rPr>
            <a:t> or internally displaced people, illegal miners, and undocumented migrants </a:t>
          </a:r>
          <a:endParaRPr lang="en-US" sz="900" kern="1200" dirty="0">
            <a:solidFill>
              <a:sysClr val="windowText" lastClr="000000">
                <a:hueOff val="0"/>
                <a:satOff val="0"/>
                <a:lumOff val="0"/>
                <a:alphaOff val="0"/>
              </a:sysClr>
            </a:solidFill>
            <a:latin typeface="Calibri"/>
            <a:ea typeface="+mn-ea"/>
            <a:cs typeface="+mn-cs"/>
          </a:endParaRPr>
        </a:p>
      </dsp:txBody>
      <dsp:txXfrm>
        <a:off x="1832051" y="607509"/>
        <a:ext cx="3893108" cy="616609"/>
      </dsp:txXfrm>
    </dsp:sp>
    <dsp:sp modelId="{5CB92CA1-9BF3-4B38-9DF9-803E6CDF4502}">
      <dsp:nvSpPr>
        <dsp:cNvPr id="0" name=""/>
        <dsp:cNvSpPr/>
      </dsp:nvSpPr>
      <dsp:spPr>
        <a:xfrm>
          <a:off x="0" y="1273440"/>
          <a:ext cx="1431290" cy="683099"/>
        </a:xfrm>
        <a:prstGeom prst="rect">
          <a:avLst/>
        </a:prstGeom>
        <a:solidFill>
          <a:schemeClr val="bg2">
            <a:lumMod val="25000"/>
          </a:schemeClr>
        </a:solidFill>
        <a:ln w="25400" cap="flat" cmpd="sng" algn="ctr">
          <a:solidFill>
            <a:schemeClr val="bg2">
              <a:lumMod val="25000"/>
            </a:schemeClr>
          </a:solidFill>
          <a:prstDash val="solid"/>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lvl="0" algn="l" defTabSz="400050">
            <a:lnSpc>
              <a:spcPct val="90000"/>
            </a:lnSpc>
            <a:spcBef>
              <a:spcPct val="0"/>
            </a:spcBef>
            <a:spcAft>
              <a:spcPct val="35000"/>
            </a:spcAft>
          </a:pPr>
          <a:r>
            <a:rPr lang="en-GB" sz="900" kern="1200" dirty="0">
              <a:solidFill>
                <a:sysClr val="window" lastClr="FFFFFF"/>
              </a:solidFill>
              <a:latin typeface="Calibri"/>
              <a:ea typeface="+mn-ea"/>
              <a:cs typeface="+mn-cs"/>
            </a:rPr>
            <a:t>People at </a:t>
          </a:r>
          <a:r>
            <a:rPr lang="en-GB" sz="900" b="1" kern="1200" dirty="0">
              <a:solidFill>
                <a:sysClr val="window" lastClr="FFFFFF"/>
              </a:solidFill>
              <a:latin typeface="Calibri"/>
              <a:ea typeface="+mn-ea"/>
              <a:cs typeface="+mn-cs"/>
            </a:rPr>
            <a:t>INCREASED RISK </a:t>
          </a:r>
          <a:r>
            <a:rPr lang="en-GB" sz="900" kern="1200" dirty="0">
              <a:solidFill>
                <a:sysClr val="window" lastClr="FFFFFF"/>
              </a:solidFill>
              <a:latin typeface="Calibri"/>
              <a:ea typeface="+mn-ea"/>
              <a:cs typeface="+mn-cs"/>
            </a:rPr>
            <a:t>of TB because of </a:t>
          </a:r>
          <a:r>
            <a:rPr lang="en-GB" sz="900" b="1" kern="1200" dirty="0">
              <a:solidFill>
                <a:sysClr val="window" lastClr="FFFFFF"/>
              </a:solidFill>
              <a:latin typeface="Calibri"/>
              <a:ea typeface="+mn-ea"/>
              <a:cs typeface="+mn-cs"/>
            </a:rPr>
            <a:t>biological or behavioural factors </a:t>
          </a:r>
          <a:r>
            <a:rPr lang="en-GB" sz="900" kern="1200" dirty="0">
              <a:solidFill>
                <a:sysClr val="window" lastClr="FFFFFF"/>
              </a:solidFill>
              <a:latin typeface="Calibri"/>
              <a:ea typeface="+mn-ea"/>
              <a:cs typeface="+mn-cs"/>
            </a:rPr>
            <a:t>that compromise immune function </a:t>
          </a:r>
          <a:endParaRPr lang="en-US" sz="900" kern="1200" dirty="0">
            <a:solidFill>
              <a:sysClr val="window" lastClr="FFFFFF"/>
            </a:solidFill>
            <a:latin typeface="Calibri"/>
            <a:ea typeface="+mn-ea"/>
            <a:cs typeface="+mn-cs"/>
          </a:endParaRPr>
        </a:p>
      </dsp:txBody>
      <dsp:txXfrm>
        <a:off x="0" y="1273440"/>
        <a:ext cx="1431290" cy="683099"/>
      </dsp:txXfrm>
    </dsp:sp>
    <dsp:sp modelId="{C3A62C44-5116-49F6-B5BE-70F6236399A7}">
      <dsp:nvSpPr>
        <dsp:cNvPr id="0" name=""/>
        <dsp:cNvSpPr/>
      </dsp:nvSpPr>
      <dsp:spPr>
        <a:xfrm>
          <a:off x="1479053" y="1273686"/>
          <a:ext cx="286258" cy="683099"/>
        </a:xfrm>
        <a:prstGeom prst="leftBrace">
          <a:avLst>
            <a:gd name="adj1" fmla="val 35000"/>
            <a:gd name="adj2" fmla="val 50000"/>
          </a:avLst>
        </a:prstGeom>
        <a:noFill/>
        <a:ln w="25400" cap="flat" cmpd="sng" algn="ctr">
          <a:solidFill>
            <a:schemeClr val="accent4">
              <a:lumMod val="50000"/>
            </a:schemeClr>
          </a:solidFill>
          <a:prstDash val="solid"/>
        </a:ln>
        <a:effectLst/>
      </dsp:spPr>
      <dsp:style>
        <a:lnRef idx="2">
          <a:scrgbClr r="0" g="0" b="0"/>
        </a:lnRef>
        <a:fillRef idx="0">
          <a:scrgbClr r="0" g="0" b="0"/>
        </a:fillRef>
        <a:effectRef idx="0">
          <a:scrgbClr r="0" g="0" b="0"/>
        </a:effectRef>
        <a:fontRef idx="minor"/>
      </dsp:style>
    </dsp:sp>
    <dsp:sp modelId="{BA2218EE-E6C4-4505-B6CE-7363718D69FF}">
      <dsp:nvSpPr>
        <dsp:cNvPr id="0" name=""/>
        <dsp:cNvSpPr/>
      </dsp:nvSpPr>
      <dsp:spPr>
        <a:xfrm>
          <a:off x="1832051" y="1273440"/>
          <a:ext cx="3893108" cy="683099"/>
        </a:xfrm>
        <a:prstGeom prst="rect">
          <a:avLst/>
        </a:prstGeom>
        <a:solidFill>
          <a:schemeClr val="bg2">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dirty="0">
              <a:solidFill>
                <a:sysClr val="windowText" lastClr="000000">
                  <a:hueOff val="0"/>
                  <a:satOff val="0"/>
                  <a:lumOff val="0"/>
                  <a:alphaOff val="0"/>
                </a:sysClr>
              </a:solidFill>
              <a:latin typeface="Calibri"/>
              <a:ea typeface="+mn-ea"/>
              <a:cs typeface="+mn-cs"/>
            </a:rPr>
            <a:t>People who live with HIV ,have diabetes or silicosis, undergo immunosuppressive therapy , are undernourished , use tobacco , suffer from alcohol-use disorders, and inject drugs</a:t>
          </a:r>
          <a:endParaRPr lang="en-US" sz="900" kern="1200" dirty="0">
            <a:solidFill>
              <a:sysClr val="windowText" lastClr="000000">
                <a:hueOff val="0"/>
                <a:satOff val="0"/>
                <a:lumOff val="0"/>
                <a:alphaOff val="0"/>
              </a:sysClr>
            </a:solidFill>
            <a:latin typeface="Calibri"/>
            <a:ea typeface="+mn-ea"/>
            <a:cs typeface="+mn-cs"/>
          </a:endParaRPr>
        </a:p>
      </dsp:txBody>
      <dsp:txXfrm>
        <a:off x="1832051" y="1273440"/>
        <a:ext cx="3893108" cy="683099"/>
      </dsp:txXfrm>
    </dsp:sp>
  </dsp:spTree>
</dsp:drawing>
</file>

<file path=word/diagrams/layout1.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FG Color palette">
      <a:dk1>
        <a:sysClr val="windowText" lastClr="000000"/>
      </a:dk1>
      <a:lt1>
        <a:sysClr val="window" lastClr="FFFFFF"/>
      </a:lt1>
      <a:dk2>
        <a:srgbClr val="1F497D"/>
      </a:dk2>
      <a:lt2>
        <a:srgbClr val="EEECE1"/>
      </a:lt2>
      <a:accent1>
        <a:srgbClr val="2B3990"/>
      </a:accent1>
      <a:accent2>
        <a:srgbClr val="F78E1E"/>
      </a:accent2>
      <a:accent3>
        <a:srgbClr val="7F7F7F"/>
      </a:accent3>
      <a:accent4>
        <a:srgbClr val="FBD5B5"/>
      </a:accent4>
      <a:accent5>
        <a:srgbClr val="8DB3E2"/>
      </a:accent5>
      <a:accent6>
        <a:srgbClr val="F79646"/>
      </a:accent6>
      <a:hlink>
        <a:srgbClr val="DFD1A7"/>
      </a:hlink>
      <a:folHlink>
        <a:srgbClr val="A5A5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ED733-CEFA-4A23-B5C3-C2AA1D18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2443</TotalTime>
  <Pages>165</Pages>
  <Words>59849</Words>
  <Characters>341143</Characters>
  <Application>Microsoft Office Word</Application>
  <DocSecurity>0</DocSecurity>
  <Lines>2842</Lines>
  <Paragraphs>800</Paragraphs>
  <ScaleCrop>false</ScaleCrop>
  <HeadingPairs>
    <vt:vector size="2" baseType="variant">
      <vt:variant>
        <vt:lpstr>Title</vt:lpstr>
      </vt:variant>
      <vt:variant>
        <vt:i4>1</vt:i4>
      </vt:variant>
    </vt:vector>
  </HeadingPairs>
  <TitlesOfParts>
    <vt:vector size="1" baseType="lpstr">
      <vt:lpstr>NSP 2020 - 2025</vt:lpstr>
    </vt:vector>
  </TitlesOfParts>
  <Manager>RS</Manager>
  <Company>Raj Singh Consulting</Company>
  <LinksUpToDate>false</LinksUpToDate>
  <CharactersWithSpaces>400192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NSP 2020 - 2025</dc:title>
  <dc:subject/>
  <dc:creator>Dr Raj Singh</dc:creator>
  <cp:keywords/>
  <dc:description/>
  <cp:lastModifiedBy>Dr Raj Singh</cp:lastModifiedBy>
  <cp:revision>162</cp:revision>
  <cp:lastPrinted>2020-06-29T13:01:00Z</cp:lastPrinted>
  <dcterms:created xsi:type="dcterms:W3CDTF">2020-06-22T08:04:00Z</dcterms:created>
  <dcterms:modified xsi:type="dcterms:W3CDTF">2020-08-28T08:26:00Z</dcterms:modified>
</cp:coreProperties>
</file>